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727A" w14:textId="21831A5D" w:rsidR="00CF4683" w:rsidRPr="00F662A7" w:rsidRDefault="00CF4683" w:rsidP="003C6D2A">
      <w:pPr>
        <w:rPr>
          <w:rFonts w:ascii="Times New Roman" w:hAnsi="Times New Roman" w:cs="Times New Roman"/>
          <w:b/>
          <w:bCs/>
          <w:sz w:val="44"/>
          <w:szCs w:val="44"/>
        </w:rPr>
      </w:pPr>
      <w:r w:rsidRPr="00F662A7">
        <w:rPr>
          <w:rFonts w:ascii="Times New Roman" w:hAnsi="Times New Roman" w:cs="Times New Roman"/>
          <w:b/>
          <w:bCs/>
          <w:sz w:val="44"/>
          <w:szCs w:val="44"/>
        </w:rPr>
        <w:t>An autopsy-based study of Estimation of height from the length of sternum bone in an adult Indian population</w:t>
      </w:r>
    </w:p>
    <w:p w14:paraId="1FDA99DE" w14:textId="77777777" w:rsidR="00F662A7" w:rsidRDefault="00F662A7" w:rsidP="00F662A7">
      <w:pPr>
        <w:rPr>
          <w:rFonts w:ascii="Times New Roman" w:hAnsi="Times New Roman" w:cs="Times New Roman"/>
          <w:b/>
          <w:bCs/>
          <w:sz w:val="21"/>
          <w:szCs w:val="21"/>
        </w:rPr>
      </w:pPr>
      <w:r>
        <w:rPr>
          <w:rFonts w:ascii="Times New Roman" w:hAnsi="Times New Roman" w:cs="Times New Roman"/>
          <w:b/>
          <w:bCs/>
          <w:sz w:val="21"/>
          <w:szCs w:val="21"/>
        </w:rPr>
        <w:t xml:space="preserve">Abstract </w:t>
      </w:r>
    </w:p>
    <w:p w14:paraId="6C1592FE" w14:textId="5279A5CD" w:rsidR="00F662A7" w:rsidRPr="00F662A7" w:rsidRDefault="00F662A7" w:rsidP="00F662A7">
      <w:pPr>
        <w:rPr>
          <w:rFonts w:ascii="Times New Roman" w:hAnsi="Times New Roman" w:cs="Times New Roman"/>
          <w:sz w:val="21"/>
          <w:szCs w:val="21"/>
        </w:rPr>
      </w:pPr>
      <w:r w:rsidRPr="00F662A7">
        <w:rPr>
          <w:rFonts w:ascii="Times New Roman" w:hAnsi="Times New Roman" w:cs="Times New Roman"/>
          <w:b/>
          <w:bCs/>
          <w:sz w:val="21"/>
          <w:szCs w:val="21"/>
        </w:rPr>
        <w:t>Background and Aims</w:t>
      </w:r>
      <w:r w:rsidRPr="00F662A7">
        <w:rPr>
          <w:rFonts w:ascii="Times New Roman" w:hAnsi="Times New Roman" w:cs="Times New Roman"/>
          <w:sz w:val="21"/>
          <w:szCs w:val="21"/>
        </w:rPr>
        <w:br/>
        <w:t>Stature is a critical and consistent anthropometric parameter utilized in personal identification, particularly in forensic investigations involving unidentified remains from mass disasters, criminal incidents, or accidents. Accurate estimation of stature is essential in such contexts. A well-documented correlation exists between stature and various skeletal dimensions, especially those of long bones, which are commonly used to formulate regression models due to their high predictive reliability. Recently, the sternum – a centrally located, flat bone of the thoracic skeleton – has attracted forensic attention due to its robust nature and pronounced sexual dimorphism. Notably, sternal measurements have shown a positive correlation with stature, offering an alternative means for stature estimation.</w:t>
      </w:r>
    </w:p>
    <w:p w14:paraId="12B51289" w14:textId="52DFF8AE" w:rsidR="00F662A7" w:rsidRPr="00F662A7" w:rsidRDefault="00F662A7" w:rsidP="00F662A7">
      <w:pPr>
        <w:rPr>
          <w:rFonts w:ascii="Times New Roman" w:hAnsi="Times New Roman" w:cs="Times New Roman"/>
          <w:sz w:val="21"/>
          <w:szCs w:val="21"/>
        </w:rPr>
      </w:pPr>
      <w:r w:rsidRPr="00F662A7">
        <w:rPr>
          <w:rFonts w:ascii="Times New Roman" w:hAnsi="Times New Roman" w:cs="Times New Roman"/>
          <w:b/>
          <w:bCs/>
          <w:sz w:val="21"/>
          <w:szCs w:val="21"/>
        </w:rPr>
        <w:t>Materials and Methods</w:t>
      </w:r>
      <w:r w:rsidRPr="00F662A7">
        <w:rPr>
          <w:rFonts w:ascii="Times New Roman" w:hAnsi="Times New Roman" w:cs="Times New Roman"/>
          <w:sz w:val="21"/>
          <w:szCs w:val="21"/>
        </w:rPr>
        <w:br/>
        <w:t>This study analyses sternal measurements to estimate stature in a forensic context using data from 200 medicolegal autopsy cases, comprising 100 males and 100 females, aged 21 to 80 years.</w:t>
      </w:r>
    </w:p>
    <w:p w14:paraId="4794D9C7" w14:textId="0C6F7315" w:rsidR="00F662A7" w:rsidRPr="00F662A7" w:rsidRDefault="00F662A7" w:rsidP="00F662A7">
      <w:pPr>
        <w:rPr>
          <w:rFonts w:ascii="Times New Roman" w:hAnsi="Times New Roman" w:cs="Times New Roman"/>
          <w:sz w:val="21"/>
          <w:szCs w:val="21"/>
        </w:rPr>
      </w:pPr>
      <w:r w:rsidRPr="00F662A7">
        <w:rPr>
          <w:rFonts w:ascii="Times New Roman" w:hAnsi="Times New Roman" w:cs="Times New Roman"/>
          <w:b/>
          <w:bCs/>
          <w:sz w:val="21"/>
          <w:szCs w:val="21"/>
        </w:rPr>
        <w:t>Results</w:t>
      </w:r>
      <w:r w:rsidRPr="00F662A7">
        <w:rPr>
          <w:rFonts w:ascii="Times New Roman" w:hAnsi="Times New Roman" w:cs="Times New Roman"/>
          <w:sz w:val="21"/>
          <w:szCs w:val="21"/>
        </w:rPr>
        <w:br/>
        <w:t>Findings indicate that males have significantly greater values in body length (LB), manubrium length (LM), and mesosternum length (LMS), with mean measurements of 158.14 cm, 4.38 cm, and 10.09 cm, respectively. Interestingly, total sternal length (TSL) was similar across genders—14.89 cm in males and 14.26 cm in females—highlighting potential differences in developmental biology. Moderate correlations were observed between each sternal parameter and stature, with the TSL exhibiting the strongest linear relationship in both sexes.</w:t>
      </w:r>
    </w:p>
    <w:p w14:paraId="34737020" w14:textId="2A9EB5D6" w:rsidR="00F662A7" w:rsidRPr="00F662A7" w:rsidRDefault="00F662A7" w:rsidP="00F662A7">
      <w:pPr>
        <w:rPr>
          <w:rFonts w:ascii="Times New Roman" w:hAnsi="Times New Roman" w:cs="Times New Roman"/>
          <w:sz w:val="21"/>
          <w:szCs w:val="21"/>
        </w:rPr>
      </w:pPr>
      <w:r w:rsidRPr="00F662A7">
        <w:rPr>
          <w:rFonts w:ascii="Times New Roman" w:hAnsi="Times New Roman" w:cs="Times New Roman"/>
          <w:b/>
          <w:bCs/>
          <w:sz w:val="21"/>
          <w:szCs w:val="21"/>
        </w:rPr>
        <w:t>Conclusion</w:t>
      </w:r>
      <w:r w:rsidRPr="00F662A7">
        <w:rPr>
          <w:rFonts w:ascii="Times New Roman" w:hAnsi="Times New Roman" w:cs="Times New Roman"/>
          <w:sz w:val="21"/>
          <w:szCs w:val="21"/>
        </w:rPr>
        <w:br/>
        <w:t>The study confirms that sternal dimensions, particularly TSL, are reliable indicators for stature estimation. Linear regression equations were derived for males, females, and combined datasets, reinforcing the sternum’s forensic applicability.</w:t>
      </w:r>
    </w:p>
    <w:p w14:paraId="4ADD57E1" w14:textId="6F0EA2A6" w:rsidR="00F662A7" w:rsidRPr="00F662A7" w:rsidRDefault="00F662A7" w:rsidP="003C6D2A">
      <w:pPr>
        <w:rPr>
          <w:rFonts w:ascii="Times New Roman" w:hAnsi="Times New Roman" w:cs="Times New Roman"/>
        </w:rPr>
      </w:pPr>
      <w:r w:rsidRPr="00F662A7">
        <w:rPr>
          <w:rFonts w:ascii="Times New Roman" w:hAnsi="Times New Roman" w:cs="Times New Roman"/>
          <w:b/>
          <w:bCs/>
        </w:rPr>
        <w:t xml:space="preserve">Keywords: </w:t>
      </w:r>
      <w:r w:rsidRPr="00F662A7">
        <w:rPr>
          <w:rFonts w:ascii="Times New Roman" w:hAnsi="Times New Roman" w:cs="Times New Roman"/>
        </w:rPr>
        <w:t>Stature, Sternal bone measurements, linear regression equations.</w:t>
      </w:r>
    </w:p>
    <w:p w14:paraId="731A977D" w14:textId="77777777" w:rsidR="00F662A7" w:rsidRDefault="00F662A7" w:rsidP="003C6D2A">
      <w:pPr>
        <w:rPr>
          <w:rFonts w:ascii="Times New Roman" w:hAnsi="Times New Roman" w:cs="Times New Roman"/>
          <w:b/>
          <w:bCs/>
        </w:rPr>
      </w:pPr>
    </w:p>
    <w:p w14:paraId="34CE0453" w14:textId="77777777" w:rsidR="00F662A7" w:rsidRDefault="00F662A7" w:rsidP="003C6D2A">
      <w:pPr>
        <w:rPr>
          <w:rFonts w:ascii="Times New Roman" w:hAnsi="Times New Roman" w:cs="Times New Roman"/>
          <w:b/>
          <w:bCs/>
        </w:rPr>
      </w:pPr>
    </w:p>
    <w:p w14:paraId="5CD237C6" w14:textId="77777777" w:rsidR="00F662A7" w:rsidRDefault="00F662A7" w:rsidP="003C6D2A">
      <w:pPr>
        <w:rPr>
          <w:rFonts w:ascii="Times New Roman" w:hAnsi="Times New Roman" w:cs="Times New Roman"/>
          <w:b/>
          <w:bCs/>
        </w:rPr>
      </w:pPr>
    </w:p>
    <w:p w14:paraId="69ABED13" w14:textId="77777777" w:rsidR="00F662A7" w:rsidRDefault="00F662A7" w:rsidP="003C6D2A">
      <w:pPr>
        <w:rPr>
          <w:rFonts w:ascii="Times New Roman" w:hAnsi="Times New Roman" w:cs="Times New Roman"/>
          <w:b/>
          <w:bCs/>
        </w:rPr>
      </w:pPr>
    </w:p>
    <w:p w14:paraId="02D0C98E" w14:textId="77777777" w:rsidR="00F662A7" w:rsidRDefault="00F662A7" w:rsidP="003C6D2A">
      <w:pPr>
        <w:rPr>
          <w:rFonts w:ascii="Times New Roman" w:hAnsi="Times New Roman" w:cs="Times New Roman"/>
          <w:b/>
          <w:bCs/>
        </w:rPr>
      </w:pPr>
    </w:p>
    <w:p w14:paraId="514D0AE3" w14:textId="77777777" w:rsidR="00F662A7" w:rsidRDefault="00F662A7" w:rsidP="003C6D2A">
      <w:pPr>
        <w:rPr>
          <w:rFonts w:ascii="Times New Roman" w:hAnsi="Times New Roman" w:cs="Times New Roman"/>
          <w:b/>
          <w:bCs/>
        </w:rPr>
      </w:pPr>
    </w:p>
    <w:p w14:paraId="1A3A35CC" w14:textId="77777777" w:rsidR="00F662A7" w:rsidRDefault="00F662A7" w:rsidP="003C6D2A">
      <w:pPr>
        <w:rPr>
          <w:rFonts w:ascii="Times New Roman" w:hAnsi="Times New Roman" w:cs="Times New Roman"/>
          <w:b/>
          <w:bCs/>
        </w:rPr>
      </w:pPr>
    </w:p>
    <w:p w14:paraId="045DBE1B" w14:textId="77777777" w:rsidR="00F662A7" w:rsidRDefault="00F662A7" w:rsidP="003C6D2A">
      <w:pPr>
        <w:rPr>
          <w:rFonts w:ascii="Times New Roman" w:hAnsi="Times New Roman" w:cs="Times New Roman"/>
          <w:b/>
          <w:bCs/>
        </w:rPr>
      </w:pPr>
    </w:p>
    <w:p w14:paraId="4F8D0888" w14:textId="77777777" w:rsidR="00F662A7" w:rsidRDefault="00F662A7" w:rsidP="003C6D2A">
      <w:pPr>
        <w:rPr>
          <w:rFonts w:ascii="Times New Roman" w:hAnsi="Times New Roman" w:cs="Times New Roman"/>
          <w:b/>
          <w:bCs/>
        </w:rPr>
      </w:pPr>
    </w:p>
    <w:p w14:paraId="6FE76C91" w14:textId="77777777" w:rsidR="00F662A7" w:rsidRDefault="00F662A7" w:rsidP="003C6D2A">
      <w:pPr>
        <w:rPr>
          <w:rFonts w:ascii="Times New Roman" w:hAnsi="Times New Roman" w:cs="Times New Roman"/>
          <w:b/>
          <w:bCs/>
        </w:rPr>
      </w:pPr>
    </w:p>
    <w:p w14:paraId="3DD9975C" w14:textId="77777777" w:rsidR="00F662A7" w:rsidRPr="00F662A7" w:rsidRDefault="00F662A7" w:rsidP="003C6D2A">
      <w:pPr>
        <w:rPr>
          <w:rFonts w:ascii="Times New Roman" w:hAnsi="Times New Roman" w:cs="Times New Roman"/>
          <w:b/>
          <w:bCs/>
        </w:rPr>
      </w:pPr>
    </w:p>
    <w:p w14:paraId="44E553BD" w14:textId="38FEBBAB" w:rsidR="003C1479" w:rsidRPr="00F662A7" w:rsidRDefault="001F2499" w:rsidP="003C6D2A">
      <w:pPr>
        <w:rPr>
          <w:rFonts w:ascii="Times New Roman" w:hAnsi="Times New Roman" w:cs="Times New Roman"/>
          <w:b/>
          <w:bCs/>
          <w:sz w:val="21"/>
          <w:szCs w:val="21"/>
        </w:rPr>
      </w:pPr>
      <w:r w:rsidRPr="00F662A7">
        <w:rPr>
          <w:rFonts w:ascii="Times New Roman" w:hAnsi="Times New Roman" w:cs="Times New Roman"/>
          <w:b/>
          <w:bCs/>
          <w:sz w:val="21"/>
          <w:szCs w:val="21"/>
        </w:rPr>
        <w:lastRenderedPageBreak/>
        <w:t>Introduction</w:t>
      </w:r>
    </w:p>
    <w:p w14:paraId="398734D9" w14:textId="52744937" w:rsidR="003C6D2A" w:rsidRPr="00F662A7" w:rsidRDefault="003C6D2A" w:rsidP="003C6D2A">
      <w:pPr>
        <w:rPr>
          <w:rFonts w:ascii="Times New Roman" w:hAnsi="Times New Roman" w:cs="Times New Roman"/>
          <w:sz w:val="21"/>
          <w:szCs w:val="21"/>
        </w:rPr>
      </w:pPr>
      <w:r w:rsidRPr="00F662A7">
        <w:rPr>
          <w:rFonts w:ascii="Times New Roman" w:hAnsi="Times New Roman" w:cs="Times New Roman"/>
          <w:sz w:val="21"/>
          <w:szCs w:val="21"/>
        </w:rPr>
        <w:t>Stature, or standing height, is one of the most fundamental and stable anthropometric traits used in the identification of individuals. Defined as the vertical distance between the vertex of the skull and the heel in an upright posture, stature serves not only as an essential individual attribute but also as a reflection of broader population characteristics such as nutritional status, health, and heredity. In forensic investigations, accurate estimation of stature is of paramount importance, particularly in cases involving unidentified human remains recovered from mass disasters, criminal incidents, or accidents.</w:t>
      </w:r>
      <w:r w:rsidR="00744F09" w:rsidRPr="00F662A7">
        <w:rPr>
          <w:rFonts w:ascii="Times New Roman" w:hAnsi="Times New Roman" w:cs="Times New Roman"/>
          <w:sz w:val="21"/>
          <w:szCs w:val="21"/>
        </w:rPr>
        <w:fldChar w:fldCharType="begin"/>
      </w:r>
      <w:r w:rsidR="00744F09" w:rsidRPr="00F662A7">
        <w:rPr>
          <w:rFonts w:ascii="Times New Roman" w:hAnsi="Times New Roman" w:cs="Times New Roman"/>
          <w:sz w:val="21"/>
          <w:szCs w:val="21"/>
        </w:rPr>
        <w:instrText xml:space="preserve"> ADDIN ZOTERO_ITEM CSL_CITATION {"citationID":"nN2VxsfH","properties":{"formattedCitation":"\\super 1,2\\nosupersub{}","plainCitation":"1,2","noteIndex":0},"citationItems":[{"id":221,"uris":["http://zotero.org/users/13259389/items/GD3UG7JF"],"itemData":{"id":221,"type":"article-journal","abstract":"In medico-legal autopsies, establishing personal identity of the victims is often required. Estimation of stature from extremities and their parts plays an important role in identifying the dead in forensic examinations. The study examines the relationship between stature and dimensions of hands and feet among Rajputs of Himachal Pradesh -- a North Indian endogamous group. The purpose for understanding these examinations was the paucity in the literature of studies that allow the reconstruction of stature from various dimensions of hands and feet amongst Rajputs. Hand length, hand breadth, foot length and foot breadth of 246 subjects comprising 123 males and 123 females ranging in age from 17 to 20 years were taken independently on left and right side of each individual. Statistical analyses indicated that the bilateral variation was insignificant for all the measurements except hand breadth in both the sexes (P&lt;0.01). Sex differences were found to be highly significant for all the measurements (P&lt;0.01). Linear and multiple regression equations for stature estimation were calculated using the above mentioned variables. The correlation coefficients between stature and all the measurements of hands and feet were found to be positive and statistically significant. The highest correlation coefficient between stature and foot length and lowest SEE (standard error of estimate) indicate that the foot length provides highest reliability and accuracy in estimating stature of an unknown individual. The regression equations were checked for their accuracy by comparing the estimated stature and actual stature.","container-title":"Journal of Forensic and Legal Medicine","DOI":"10.1016/j.jcfm.2006.10.008","ISSN":"1752-928X","issue":"6","journalAbbreviation":"J Forensic Leg Med","language":"eng","note":"PMID: 17239650","page":"327-332","source":"PubMed","title":"Estimation of stature from dimensions of hands and feet in a North Indian population","volume":"14","author":[{"family":"Krishan","given":"Kewal"},{"family":"Sharma","given":"Abhilasha"}],"issued":{"date-parts":[["2007",8]]}}},{"id":207,"uris":["http://zotero.org/users/13259389/items/KCHQKSQQ"],"itemData":{"id":207,"type":"article-journal","abstract":"The stature of deceased along with various sternal measurements was taken to obtain a linear regression equation to estimate the height of an individual in Southern Indian population. The cross-sectional study was conducted on 210 sternums obtained from medico-legal autopsies conducted at JIPMER, Pondicherry, India. A significant and positive correlation was observed between the stature of deceased (STAD) and all measurements of sternal lengths (P&lt;0.05 for LM, LB, LMB) for both sexes. The stature with LMB showed highest correlation (R=0.490) for males and LB showed the highest correlation (R=0.472) in females. This study will be of more helpful to forensic experts and anthropologists when only the trunk of the body was recovered with no available long bones.","container-title":"Journal of Indian Academy of Forensic Medicine","DOI":"10.5958/0974-0848.2020.00023.8","journalAbbreviation":"Journal of Indian Academy of Forensic Medicine","page":"80-83","source":"ResearchGate","title":"Estimation of stature from various sternal lengths: An autopsy based study in South Indian population","title-short":"Estimation of stature from various sternal lengths","volume":"42","author":[{"family":"Chaudhari","given":"Vinod"}],"issued":{"date-parts":[["2020",12,23]]}}}],"schema":"https://github.com/citation-style-language/schema/raw/master/csl-citation.json"} </w:instrText>
      </w:r>
      <w:r w:rsidR="00744F09" w:rsidRPr="00F662A7">
        <w:rPr>
          <w:rFonts w:ascii="Times New Roman" w:hAnsi="Times New Roman" w:cs="Times New Roman"/>
          <w:sz w:val="21"/>
          <w:szCs w:val="21"/>
        </w:rPr>
        <w:fldChar w:fldCharType="separate"/>
      </w:r>
      <w:r w:rsidR="00744F09" w:rsidRPr="00F662A7">
        <w:rPr>
          <w:rFonts w:ascii="Times New Roman" w:hAnsi="Times New Roman" w:cs="Times New Roman"/>
          <w:kern w:val="0"/>
          <w:sz w:val="21"/>
          <w:szCs w:val="21"/>
          <w:vertAlign w:val="superscript"/>
        </w:rPr>
        <w:t>1,2</w:t>
      </w:r>
      <w:r w:rsidR="00744F09" w:rsidRPr="00F662A7">
        <w:rPr>
          <w:rFonts w:ascii="Times New Roman" w:hAnsi="Times New Roman" w:cs="Times New Roman"/>
          <w:sz w:val="21"/>
          <w:szCs w:val="21"/>
        </w:rPr>
        <w:fldChar w:fldCharType="end"/>
      </w:r>
    </w:p>
    <w:p w14:paraId="13032C1F" w14:textId="303E553B" w:rsidR="003C6D2A" w:rsidRPr="00F662A7" w:rsidRDefault="003C6D2A" w:rsidP="003C6D2A">
      <w:pPr>
        <w:rPr>
          <w:rFonts w:ascii="Times New Roman" w:hAnsi="Times New Roman" w:cs="Times New Roman"/>
          <w:sz w:val="21"/>
          <w:szCs w:val="21"/>
        </w:rPr>
      </w:pPr>
      <w:r w:rsidRPr="00F662A7">
        <w:rPr>
          <w:rFonts w:ascii="Times New Roman" w:hAnsi="Times New Roman" w:cs="Times New Roman"/>
          <w:sz w:val="21"/>
          <w:szCs w:val="21"/>
        </w:rPr>
        <w:t>A well-established correlation exists between stature and the dimensions of various body parts, notably the long bones of the limbs, including the femur, tibia, humerus, radius, and ulna. These bones have traditionally been employed to derive regression models for estimating stature due to their high predictive accuracy. However, the effectiveness of such models is largely population-specific, given the variations in skeletal dimensions influenced by genetic, environmental, and socioeconomic factors. Consequently, stature estimation equations developed for one population often lack reliability when applied to another, underlining the necessity for population-specific studies.</w:t>
      </w:r>
      <w:r w:rsidR="00744F09" w:rsidRPr="00F662A7">
        <w:rPr>
          <w:rFonts w:ascii="Times New Roman" w:hAnsi="Times New Roman" w:cs="Times New Roman"/>
          <w:sz w:val="21"/>
          <w:szCs w:val="21"/>
        </w:rPr>
        <w:fldChar w:fldCharType="begin"/>
      </w:r>
      <w:r w:rsidR="00744F09" w:rsidRPr="00F662A7">
        <w:rPr>
          <w:rFonts w:ascii="Times New Roman" w:hAnsi="Times New Roman" w:cs="Times New Roman"/>
          <w:sz w:val="21"/>
          <w:szCs w:val="21"/>
        </w:rPr>
        <w:instrText xml:space="preserve"> ADDIN ZOTERO_ITEM CSL_CITATION {"citationID":"Ojtk3HNw","properties":{"formattedCitation":"\\super 3\\nosupersub{}","plainCitation":"3","noteIndex":0},"citationItems":[{"id":219,"uris":["http://zotero.org/users/13259389/items/S8WRQX5X"],"itemData":{"id":219,"type":"article-journal","abstract":"The estimation of stature is a very important step in developing a biological profile for forensic identification. However, little previous work has been done on stature estimation among modern Thai people, despite a growing number of forensic cases in Thailand in recent years. The current study was carried out on a sample of 200 skeletons from a northern Thai population (132 males and 68 females), ranging in age from 19 to 94 years. The maximum lengths of six long bones (humerus, radius, ulna, femur, tibia and fibula) were measured and stature reconstruction formulae generated using linear regression. These equations were then tested on a holdout sample of 15 females and 15 males. Results reveal that the three lower limb bones are the most accurate estimators of stature among the males, with the fibula equation producing the lowest standard error of the estimate (SE=4.89cm), followed by the femur (SE=5.06cm). Results for females were mixed. The femur produced the lowest standard error among the females (SE=5.21cm), followed by the radius (SE=5.63cm). However, when tested against the holdout sample (n=30), the femur equations were considerably more accurate, with a mean absolute error of 3.5cm and a median absolute error of 2.4cm. Females exhibited a higher standard error of the estimate than reported in many previous studies. This higher error may be the result of a recent secular trend in stature affecting the females of our sample somewhat more than the males.","container-title":"Forensic Science International","DOI":"10.1016/j.forsciint.2011.04.025","ISSN":"1872-6283","issue":"1-3","journalAbbreviation":"Forensic Sci Int","language":"eng","note":"PMID: 21616616","page":"279.e1-7","source":"PubMed","title":"Stature estimation from long bone lengths in a Thai population","volume":"210","author":[{"family":"Mahakkanukrauh","given":"Pasuk"},{"family":"Khanpetch","given":"Pongsak"},{"family":"Prasitwattanseree","given":"Sukon"},{"family":"Vichairat","given":"Karnda"},{"family":"Troy Case","given":"D."}],"issued":{"date-parts":[["2011",7,15]]}}}],"schema":"https://github.com/citation-style-language/schema/raw/master/csl-citation.json"} </w:instrText>
      </w:r>
      <w:r w:rsidR="00744F09" w:rsidRPr="00F662A7">
        <w:rPr>
          <w:rFonts w:ascii="Times New Roman" w:hAnsi="Times New Roman" w:cs="Times New Roman"/>
          <w:sz w:val="21"/>
          <w:szCs w:val="21"/>
        </w:rPr>
        <w:fldChar w:fldCharType="separate"/>
      </w:r>
      <w:r w:rsidR="00744F09" w:rsidRPr="00F662A7">
        <w:rPr>
          <w:rFonts w:ascii="Times New Roman" w:hAnsi="Times New Roman" w:cs="Times New Roman"/>
          <w:kern w:val="0"/>
          <w:sz w:val="21"/>
          <w:szCs w:val="21"/>
          <w:vertAlign w:val="superscript"/>
        </w:rPr>
        <w:t>3</w:t>
      </w:r>
      <w:r w:rsidR="00744F09" w:rsidRPr="00F662A7">
        <w:rPr>
          <w:rFonts w:ascii="Times New Roman" w:hAnsi="Times New Roman" w:cs="Times New Roman"/>
          <w:sz w:val="21"/>
          <w:szCs w:val="21"/>
        </w:rPr>
        <w:fldChar w:fldCharType="end"/>
      </w:r>
    </w:p>
    <w:p w14:paraId="7BC05914" w14:textId="77777777" w:rsidR="003C6D2A" w:rsidRPr="00F662A7" w:rsidRDefault="003C6D2A" w:rsidP="003C6D2A">
      <w:pPr>
        <w:rPr>
          <w:rFonts w:ascii="Times New Roman" w:hAnsi="Times New Roman" w:cs="Times New Roman"/>
          <w:sz w:val="21"/>
          <w:szCs w:val="21"/>
        </w:rPr>
      </w:pPr>
      <w:r w:rsidRPr="00F662A7">
        <w:rPr>
          <w:rFonts w:ascii="Times New Roman" w:hAnsi="Times New Roman" w:cs="Times New Roman"/>
          <w:sz w:val="21"/>
          <w:szCs w:val="21"/>
        </w:rPr>
        <w:t>Two principal approaches are utilized in forensic anthropology to estimate stature: the anatomical method and the mathematical method. The anatomical method necessitates nearly complete skeletal remains, limiting its application in cases where the body is fragmented or partially decomposed. In contrast, the mathematical method relies on regression equations derived from specific skeletal measurements, making it more adaptable in forensic contexts involving incomplete remains. Although long bones are generally preferred for such analyses, their absence due to trauma or destruction in high-impact events demands alternative sources of measurement.</w:t>
      </w:r>
    </w:p>
    <w:p w14:paraId="1D2660D5" w14:textId="77777777" w:rsidR="003C6D2A" w:rsidRPr="00F662A7" w:rsidRDefault="003C6D2A" w:rsidP="003C6D2A">
      <w:pPr>
        <w:rPr>
          <w:rFonts w:ascii="Times New Roman" w:hAnsi="Times New Roman" w:cs="Times New Roman"/>
          <w:sz w:val="21"/>
          <w:szCs w:val="21"/>
        </w:rPr>
      </w:pPr>
      <w:r w:rsidRPr="00F662A7">
        <w:rPr>
          <w:rFonts w:ascii="Times New Roman" w:hAnsi="Times New Roman" w:cs="Times New Roman"/>
          <w:sz w:val="21"/>
          <w:szCs w:val="21"/>
        </w:rPr>
        <w:t>The sternum, a centrally located flat bone of the thoracic skeleton, has gained forensic relevance in recent years due to its structural resilience and marked sexual dimorphism. Composed of the manubrium, mesosternum (body), and xiphoid process, the sternum demonstrates a positive correlation with stature. Previous studies have shown that the combined length of the manubrium and body provides the highest correlation coefficients with stature across both sexes. Additionally, sternal measurements have shown promising results in sex estimation, with accuracies reaching up to 90% for specific dimensions. These attributes make the sternum a valuable alternative for stature estimation when long bones are unavailable.</w:t>
      </w:r>
    </w:p>
    <w:p w14:paraId="645D9BED" w14:textId="6A6FB268" w:rsidR="003C6D2A" w:rsidRPr="00F662A7" w:rsidRDefault="003C6D2A" w:rsidP="003C6D2A">
      <w:pPr>
        <w:rPr>
          <w:rFonts w:ascii="Times New Roman" w:hAnsi="Times New Roman" w:cs="Times New Roman"/>
          <w:sz w:val="21"/>
          <w:szCs w:val="21"/>
        </w:rPr>
      </w:pPr>
      <w:r w:rsidRPr="00F662A7">
        <w:rPr>
          <w:rFonts w:ascii="Times New Roman" w:hAnsi="Times New Roman" w:cs="Times New Roman"/>
          <w:sz w:val="21"/>
          <w:szCs w:val="21"/>
        </w:rPr>
        <w:t xml:space="preserve">While molecular techniques such as DNA analysis are increasingly used in personal identification, they are not always feasible due to issues such as sample degradation, contamination, lack of antemortem reference data, and high cost. Thus, </w:t>
      </w:r>
      <w:r w:rsidR="00DA6B0E" w:rsidRPr="00F662A7">
        <w:rPr>
          <w:rFonts w:ascii="Times New Roman" w:hAnsi="Times New Roman" w:cs="Times New Roman"/>
          <w:sz w:val="21"/>
          <w:szCs w:val="21"/>
        </w:rPr>
        <w:t>morphometric,</w:t>
      </w:r>
      <w:r w:rsidRPr="00F662A7">
        <w:rPr>
          <w:rFonts w:ascii="Times New Roman" w:hAnsi="Times New Roman" w:cs="Times New Roman"/>
          <w:sz w:val="21"/>
          <w:szCs w:val="21"/>
        </w:rPr>
        <w:t xml:space="preserve"> and metric methods remain indispensable tools in forensic anthropology, especially for adult skeletons.</w:t>
      </w:r>
    </w:p>
    <w:p w14:paraId="7633B70D" w14:textId="1E375F39" w:rsidR="003C6D2A" w:rsidRPr="00F662A7" w:rsidRDefault="003C6D2A" w:rsidP="003C6D2A">
      <w:pPr>
        <w:rPr>
          <w:rFonts w:ascii="Times New Roman" w:hAnsi="Times New Roman" w:cs="Times New Roman"/>
          <w:sz w:val="21"/>
          <w:szCs w:val="21"/>
        </w:rPr>
      </w:pPr>
      <w:r w:rsidRPr="00F662A7">
        <w:rPr>
          <w:rFonts w:ascii="Times New Roman" w:hAnsi="Times New Roman" w:cs="Times New Roman"/>
          <w:sz w:val="21"/>
          <w:szCs w:val="21"/>
        </w:rPr>
        <w:t>Despite the growing relevance of sternal measurements in forensic science, data from the Indian population remains limited. In light of this, the present study, conducted with ethical approval, aims to derive population-specific regression equations for estimating stature based on sternal lengths in adult Indian individuals. This research intends to provide a reliable and practical tool for forensic experts in India, enhancing identification efforts in medico-legal investigations and mass casualty scenarios.</w:t>
      </w:r>
      <w:r w:rsidR="00744F09" w:rsidRPr="00F662A7">
        <w:rPr>
          <w:rFonts w:ascii="Times New Roman" w:hAnsi="Times New Roman" w:cs="Times New Roman"/>
          <w:sz w:val="21"/>
          <w:szCs w:val="21"/>
        </w:rPr>
        <w:fldChar w:fldCharType="begin"/>
      </w:r>
      <w:r w:rsidR="00F0638B" w:rsidRPr="00F662A7">
        <w:rPr>
          <w:rFonts w:ascii="Times New Roman" w:hAnsi="Times New Roman" w:cs="Times New Roman"/>
          <w:sz w:val="21"/>
          <w:szCs w:val="21"/>
        </w:rPr>
        <w:instrText xml:space="preserve"> ADDIN ZOTERO_ITEM CSL_CITATION {"citationID":"kwf0YH9P","properties":{"formattedCitation":"\\super 4\\uc0\\u8211{}6\\nosupersub{}","plainCitation":"4–6","noteIndex":0},"citationItems":[{"id":202,"uris":["http://zotero.org/users/13259389/items/5N64IFZT"],"itemData":{"id":202,"type":"article-journal","abstract":"Nonmetric traits are quasi-continuous skeletal traits that cannot be measured, but are observed as ranks or scores. In the present study, 8 nonmetric traits of sternum were examined from 343 sternums collected from the autopsy cases. More males, particularly older subjects, had a mesosternal foramen. The frequency of mesosternal foramen, arch-shaped prominence on the manubrium and radial strips on mesosternum significantly increased but that of lateral projection of manubrium decreased in the 30+ year age-group (older individuals). The denticulate costal incisures were found mostly in females and younger subjects; however, the crescent incisures and arch shaped prominence of manubrium were noticed mainly in males and older subjects. Majority of subjects had 'deep and narrow' jugular notch and xiphi-sternum was 'bifid' or 'oblong' in males and 'small sized' in females and younger subjects. Xiphi-sternum was generally found absent in females and younger subjects. The different shapes of costal incisures, jugular notch and xiphoid process were found to have significant sex and age differences. The number of cases with fused elements significantly increased with advancing age in both sexes. The sternal elements' fusion showed a variable pattern and hence was not found to be a reliable criterion. Chi-square analysis revealed significant differences between two age-groups of individual sex in the distribution of 3 of the 8 nonmetric traits. Significant sex and age differences were noticed in the frequency of occurrence of mesosternal foramina between the younger and older age groups in both the sexes. The logistic regression analysis of the scores classified 73.8% sternums to their sex category and 70.0% sternums to their age-group. Though present findings may not be enough for absolute personal identification, these traits can still serve as important identification tools if antemortem radiographs/CT or MRI scans are available for comparisons, or help classify an unknown sternum to its sex or age category based on the morphological features discussed in present study.","container-title":"Forensic Science International","DOI":"10.1016/j.forsciint.2013.02.002","ISSN":"1872-6283","issue":"1-3","journalAbbreviation":"Forensic Sci Int","language":"eng","note":"PMID: 23453187","page":"181.e1-12","source":"PubMed","title":"Sex and age related non-metric variation of the human sternum in a Northwest Indian postmortem sample: a pilot study","title-short":"Sex and age related non-metric variation of the human sternum in a Northwest Indian postmortem sample","volume":"228","author":[{"family":"Singh","given":"Jagmahender"},{"family":"Pathak","given":"R. K."}],"issued":{"date-parts":[["2013",5,10]]}}},{"id":262,"uris":["http://zotero.org/users/13259389/items/E5VE9SAJ"],"itemData":{"id":262,"type":"article-journal","abstract":"Sex determination is an important initial step in forensic investigation of unknown human skeletal remains. The present analysis is an attempt to determine the sex of the sternum using sternal index as a parameter in a Maharashtrian population of India. Sternal index is calculated in 115 adult sternums of confirmed sex (75 male and 40 female) for sexual dimorphism. The sternal index is derived by dividing the length of manubrium by the length of mesosternum and multiplying it by 100. Although the sternal index is found to be significantly higher in females, the analysis suggests that sex determination cannot be made conclusively from the sternal index in the Maharashtra region of western India. The study further concludes that the applicability of Hyrtl's law in sex determination is limited.","container-title":"Journal of Forensic and Legal Medicine","DOI":"10.1016/j.jflm.2008.08.004","ISSN":"1752-928X","issue":"2","journalAbbreviation":"J Forensic Leg Med","language":"eng","note":"PMID: 19134997","page":"56-58","source":"PubMed","title":"Sternal index: Is it a reliable indicator of sex in the Maharashtrian population of India?","title-short":"Sternal index","volume":"16","author":[{"family":"Hunnargi","given":"Shahin A."},{"family":"Menezes","given":"Ritesh G."},{"family":"Kanchan","given":"Tanuj"},{"family":"Lobo","given":"Stany W."},{"family":"Uysal","given":"Selma"},{"family":"Herekar","given":"N. G."},{"family":"Krishan","given":"Kewal"},{"family":"Garg","given":"R. K."}],"issued":{"date-parts":[["2009",2]]}}},{"id":99,"uris":["http://zotero.org/users/13259389/items/AMEUWV9Y"],"itemData":{"id":99,"type":"article-journal","abstract":"The aim of this study was to derive regression equations for estimating stature and further to estimate sex from four measured sternal lengths. This study included intact sterna from 65 males and 30 females, aged between 25 and 40 years, obtained during medico-legal autopsies. Stature and four sternal lengths, length of the manubrium (LM), length of the body (LB), length of the manubrium and body (LMB) and total sternal length, of each cadaver were measured. Stature and all measured sternal lengths were greater in males compared to females (p &lt; 0.001). All sternal lengths were positively correlated with stature in sexes. LMB had the highest correlation coefficient in both males and females (correlation coefficient: 0.721 and 0.740, respectively). In both sexes, linear regression analysis for stature estimation revealed equations with the highest R (2) values when derived from LMB (R (2) = 0.521 for males and R (2) = 0.547 for females). On the other hand, only the multiple linear regression equation derived from the combination of the LB and LMB had the higher R (2) value (R (2) = 0.640) for stature estimation in females. Receiver-operating curve analysis for all measurements was statistically significant (p &lt; 0.05 for all). These findings suggested that measured sternal lengths can be used for estimation of sex. However, LB and LMB measurements were found to be the most reliable sternal lengths for estimating sex with an accuracy rate of 90 %. Our results revealed that the sternum is a useful tool for estimating stature and sex when other skeletal bones are not available.","container-title":"Anatomical Science International","DOI":"10.1007/s12565-014-0235-0","ISSN":"1447-073X","issue":"2","journalAbbreviation":"Anat Sci Int","language":"eng","note":"PMID: 24748542","page":"89-96","source":"PubMed","title":"Estimation of stature and sex from sternal lengths: an autopsy study","title-short":"Estimation of stature and sex from sternal lengths","volume":"90","author":[{"family":"Yonguc","given":"Goksin Nilufer"},{"family":"Kurtulus","given":"Ayse"},{"family":"Bayazit","given":"Onur"},{"family":"Adiguzel","given":"Esat"},{"family":"Unal","given":"Ilker"},{"family":"Demir","given":"Sumeyra"},{"family":"Acar","given":"Kemalettin"}],"issued":{"date-parts":[["2015",3]]}}}],"schema":"https://github.com/citation-style-language/schema/raw/master/csl-citation.json"} </w:instrText>
      </w:r>
      <w:r w:rsidR="00744F09" w:rsidRPr="00F662A7">
        <w:rPr>
          <w:rFonts w:ascii="Times New Roman" w:hAnsi="Times New Roman" w:cs="Times New Roman"/>
          <w:sz w:val="21"/>
          <w:szCs w:val="21"/>
        </w:rPr>
        <w:fldChar w:fldCharType="separate"/>
      </w:r>
      <w:r w:rsidR="00F0638B" w:rsidRPr="00F662A7">
        <w:rPr>
          <w:rFonts w:ascii="Times New Roman" w:hAnsi="Times New Roman" w:cs="Times New Roman"/>
          <w:kern w:val="0"/>
          <w:sz w:val="21"/>
          <w:szCs w:val="21"/>
          <w:vertAlign w:val="superscript"/>
        </w:rPr>
        <w:t>4–6</w:t>
      </w:r>
      <w:r w:rsidR="00744F09" w:rsidRPr="00F662A7">
        <w:rPr>
          <w:rFonts w:ascii="Times New Roman" w:hAnsi="Times New Roman" w:cs="Times New Roman"/>
          <w:sz w:val="21"/>
          <w:szCs w:val="21"/>
        </w:rPr>
        <w:fldChar w:fldCharType="end"/>
      </w:r>
    </w:p>
    <w:p w14:paraId="38DE8499" w14:textId="77777777" w:rsidR="003C1479" w:rsidRPr="00F662A7" w:rsidRDefault="003C1479" w:rsidP="003C6D2A">
      <w:pPr>
        <w:rPr>
          <w:rFonts w:ascii="Times New Roman" w:hAnsi="Times New Roman" w:cs="Times New Roman"/>
          <w:sz w:val="21"/>
          <w:szCs w:val="21"/>
        </w:rPr>
      </w:pPr>
    </w:p>
    <w:p w14:paraId="303A76A2" w14:textId="77777777" w:rsidR="003C1479" w:rsidRDefault="003C1479" w:rsidP="003C6D2A">
      <w:pPr>
        <w:rPr>
          <w:rFonts w:ascii="Times New Roman" w:hAnsi="Times New Roman" w:cs="Times New Roman"/>
          <w:sz w:val="21"/>
          <w:szCs w:val="21"/>
        </w:rPr>
      </w:pPr>
    </w:p>
    <w:p w14:paraId="6895F5F8" w14:textId="77777777" w:rsidR="00F662A7" w:rsidRDefault="00F662A7" w:rsidP="003C6D2A">
      <w:pPr>
        <w:rPr>
          <w:rFonts w:ascii="Times New Roman" w:hAnsi="Times New Roman" w:cs="Times New Roman"/>
          <w:sz w:val="21"/>
          <w:szCs w:val="21"/>
        </w:rPr>
      </w:pPr>
    </w:p>
    <w:p w14:paraId="0894292E" w14:textId="77777777" w:rsidR="00F662A7" w:rsidRDefault="00F662A7" w:rsidP="003C6D2A">
      <w:pPr>
        <w:rPr>
          <w:rFonts w:ascii="Times New Roman" w:hAnsi="Times New Roman" w:cs="Times New Roman"/>
          <w:sz w:val="21"/>
          <w:szCs w:val="21"/>
        </w:rPr>
      </w:pPr>
    </w:p>
    <w:p w14:paraId="0EEB5128" w14:textId="77777777" w:rsidR="00F662A7" w:rsidRDefault="00F662A7" w:rsidP="003C6D2A">
      <w:pPr>
        <w:rPr>
          <w:rFonts w:ascii="Times New Roman" w:hAnsi="Times New Roman" w:cs="Times New Roman"/>
          <w:sz w:val="21"/>
          <w:szCs w:val="21"/>
        </w:rPr>
      </w:pPr>
    </w:p>
    <w:p w14:paraId="18D8F5A2" w14:textId="77777777" w:rsidR="00F662A7" w:rsidRDefault="00F662A7" w:rsidP="003C6D2A">
      <w:pPr>
        <w:rPr>
          <w:rFonts w:ascii="Times New Roman" w:hAnsi="Times New Roman" w:cs="Times New Roman"/>
          <w:sz w:val="21"/>
          <w:szCs w:val="21"/>
        </w:rPr>
      </w:pPr>
    </w:p>
    <w:p w14:paraId="7019C8F6" w14:textId="77777777" w:rsidR="00F662A7" w:rsidRPr="00F662A7" w:rsidRDefault="00F662A7" w:rsidP="003C6D2A">
      <w:pPr>
        <w:rPr>
          <w:rFonts w:ascii="Times New Roman" w:hAnsi="Times New Roman" w:cs="Times New Roman"/>
          <w:sz w:val="21"/>
          <w:szCs w:val="21"/>
        </w:rPr>
      </w:pPr>
    </w:p>
    <w:p w14:paraId="408278D8" w14:textId="77777777" w:rsidR="00CF4683" w:rsidRPr="00F662A7" w:rsidRDefault="00CF4683" w:rsidP="003C6D2A">
      <w:pPr>
        <w:rPr>
          <w:rFonts w:ascii="Times New Roman" w:hAnsi="Times New Roman" w:cs="Times New Roman"/>
          <w:sz w:val="21"/>
          <w:szCs w:val="21"/>
        </w:rPr>
      </w:pPr>
    </w:p>
    <w:p w14:paraId="6478E058" w14:textId="77777777" w:rsidR="00E37B77" w:rsidRPr="00F662A7" w:rsidRDefault="00E37B77" w:rsidP="00E37B77">
      <w:pPr>
        <w:rPr>
          <w:rFonts w:ascii="Times New Roman" w:hAnsi="Times New Roman" w:cs="Times New Roman"/>
          <w:sz w:val="21"/>
          <w:szCs w:val="21"/>
        </w:rPr>
      </w:pPr>
      <w:r w:rsidRPr="00F662A7">
        <w:rPr>
          <w:rFonts w:ascii="Times New Roman" w:hAnsi="Times New Roman" w:cs="Times New Roman"/>
          <w:b/>
          <w:bCs/>
          <w:sz w:val="21"/>
          <w:szCs w:val="21"/>
        </w:rPr>
        <w:lastRenderedPageBreak/>
        <w:t>Materials and Methods</w:t>
      </w:r>
    </w:p>
    <w:p w14:paraId="0C4388AF" w14:textId="36BBAA4D" w:rsidR="00E37B77" w:rsidRPr="00F662A7" w:rsidRDefault="00E37B77" w:rsidP="00E37B77">
      <w:pPr>
        <w:rPr>
          <w:rFonts w:ascii="Times New Roman" w:hAnsi="Times New Roman" w:cs="Times New Roman"/>
          <w:sz w:val="21"/>
          <w:szCs w:val="21"/>
        </w:rPr>
      </w:pPr>
      <w:r w:rsidRPr="00F662A7">
        <w:rPr>
          <w:rFonts w:ascii="Times New Roman" w:hAnsi="Times New Roman" w:cs="Times New Roman"/>
          <w:b/>
          <w:bCs/>
          <w:sz w:val="21"/>
          <w:szCs w:val="21"/>
        </w:rPr>
        <w:t>Sample Selection and Data Collection</w:t>
      </w:r>
      <w:r w:rsidRPr="00F662A7">
        <w:rPr>
          <w:rFonts w:ascii="Times New Roman" w:hAnsi="Times New Roman" w:cs="Times New Roman"/>
          <w:sz w:val="21"/>
          <w:szCs w:val="21"/>
        </w:rPr>
        <w:br/>
        <w:t xml:space="preserve">The study was conducted on 200 medicolegal autopsy cases at a tertiary care </w:t>
      </w:r>
      <w:r w:rsidR="00DD077B" w:rsidRPr="00F662A7">
        <w:rPr>
          <w:rFonts w:ascii="Times New Roman" w:hAnsi="Times New Roman" w:cs="Times New Roman"/>
          <w:sz w:val="21"/>
          <w:szCs w:val="21"/>
        </w:rPr>
        <w:t>centre</w:t>
      </w:r>
      <w:r w:rsidRPr="00F662A7">
        <w:rPr>
          <w:rFonts w:ascii="Times New Roman" w:hAnsi="Times New Roman" w:cs="Times New Roman"/>
          <w:sz w:val="21"/>
          <w:szCs w:val="21"/>
        </w:rPr>
        <w:t>, comprising 100 male and 100 female cadavers aged between 21 and 80 years. Ethical clearance was obtained, and informed consent was secured from the legal next of kin via signature or thumb impression. Only cases without any evident trauma or anomaly of the sternum were included. Cases involving individuals below 21 or above 80 years, and those with decomposed, mutilated, burned, or compressed bodies were excluded.</w:t>
      </w:r>
    </w:p>
    <w:p w14:paraId="15DF4697" w14:textId="7AAC0C14" w:rsidR="00E37B77" w:rsidRPr="00F662A7" w:rsidRDefault="00E37B77" w:rsidP="00E37B77">
      <w:pPr>
        <w:rPr>
          <w:rFonts w:ascii="Times New Roman" w:hAnsi="Times New Roman" w:cs="Times New Roman"/>
          <w:sz w:val="21"/>
          <w:szCs w:val="21"/>
        </w:rPr>
      </w:pPr>
      <w:r w:rsidRPr="00F662A7">
        <w:rPr>
          <w:rFonts w:ascii="Times New Roman" w:hAnsi="Times New Roman" w:cs="Times New Roman"/>
          <w:b/>
          <w:bCs/>
          <w:sz w:val="21"/>
          <w:szCs w:val="21"/>
        </w:rPr>
        <w:t>Anthropometric Measurements</w:t>
      </w:r>
      <w:r w:rsidRPr="00F662A7">
        <w:rPr>
          <w:rFonts w:ascii="Times New Roman" w:hAnsi="Times New Roman" w:cs="Times New Roman"/>
          <w:sz w:val="21"/>
          <w:szCs w:val="21"/>
        </w:rPr>
        <w:br/>
        <w:t xml:space="preserve">All measurements were recorded by the same investigator to reduce inter-observer variability, under standardized lighting conditions, and at similar times to avoid diurnal variation. Stature (length of body) was measured from vertex to heel in a supine position using a steel tape and wooden blocks. Sternal measurements were taken using a sliding </w:t>
      </w:r>
      <w:r w:rsidR="00DD077B" w:rsidRPr="00F662A7">
        <w:rPr>
          <w:rFonts w:ascii="Times New Roman" w:hAnsi="Times New Roman" w:cs="Times New Roman"/>
          <w:sz w:val="21"/>
          <w:szCs w:val="21"/>
        </w:rPr>
        <w:t>calliper</w:t>
      </w:r>
      <w:r w:rsidRPr="00F662A7">
        <w:rPr>
          <w:rFonts w:ascii="Times New Roman" w:hAnsi="Times New Roman" w:cs="Times New Roman"/>
          <w:sz w:val="21"/>
          <w:szCs w:val="21"/>
        </w:rPr>
        <w:t xml:space="preserve"> and included:</w:t>
      </w:r>
    </w:p>
    <w:p w14:paraId="31A3DE5B" w14:textId="4A3D543F" w:rsidR="00E37B77" w:rsidRPr="00F662A7" w:rsidRDefault="00E37B77" w:rsidP="00E37B77">
      <w:pPr>
        <w:numPr>
          <w:ilvl w:val="0"/>
          <w:numId w:val="1"/>
        </w:numPr>
        <w:rPr>
          <w:rFonts w:ascii="Times New Roman" w:hAnsi="Times New Roman" w:cs="Times New Roman"/>
          <w:sz w:val="21"/>
          <w:szCs w:val="21"/>
        </w:rPr>
      </w:pPr>
      <w:r w:rsidRPr="00F662A7">
        <w:rPr>
          <w:rFonts w:ascii="Times New Roman" w:hAnsi="Times New Roman" w:cs="Times New Roman"/>
          <w:b/>
          <w:bCs/>
          <w:sz w:val="21"/>
          <w:szCs w:val="21"/>
        </w:rPr>
        <w:t>Total Sternal Length (</w:t>
      </w:r>
      <w:r w:rsidR="00DD077B" w:rsidRPr="00F662A7">
        <w:rPr>
          <w:rFonts w:ascii="Times New Roman" w:hAnsi="Times New Roman" w:cs="Times New Roman"/>
          <w:b/>
          <w:bCs/>
          <w:sz w:val="21"/>
          <w:szCs w:val="21"/>
        </w:rPr>
        <w:t>TSL</w:t>
      </w:r>
      <w:r w:rsidRPr="00F662A7">
        <w:rPr>
          <w:rFonts w:ascii="Times New Roman" w:hAnsi="Times New Roman" w:cs="Times New Roman"/>
          <w:b/>
          <w:bCs/>
          <w:sz w:val="21"/>
          <w:szCs w:val="21"/>
        </w:rPr>
        <w:t>)</w:t>
      </w:r>
      <w:r w:rsidRPr="00F662A7">
        <w:rPr>
          <w:rFonts w:ascii="Times New Roman" w:hAnsi="Times New Roman" w:cs="Times New Roman"/>
          <w:sz w:val="21"/>
          <w:szCs w:val="21"/>
        </w:rPr>
        <w:t xml:space="preserve">: From the suprasternal notch to the </w:t>
      </w:r>
      <w:r w:rsidR="00DD077B" w:rsidRPr="00F662A7">
        <w:rPr>
          <w:rFonts w:ascii="Times New Roman" w:hAnsi="Times New Roman" w:cs="Times New Roman"/>
          <w:sz w:val="21"/>
          <w:szCs w:val="21"/>
        </w:rPr>
        <w:t>Xiphisternal</w:t>
      </w:r>
      <w:r w:rsidRPr="00F662A7">
        <w:rPr>
          <w:rFonts w:ascii="Times New Roman" w:hAnsi="Times New Roman" w:cs="Times New Roman"/>
          <w:sz w:val="21"/>
          <w:szCs w:val="21"/>
        </w:rPr>
        <w:t xml:space="preserve"> joint.</w:t>
      </w:r>
    </w:p>
    <w:p w14:paraId="7696182E" w14:textId="77777777" w:rsidR="00E37B77" w:rsidRPr="00F662A7" w:rsidRDefault="00E37B77" w:rsidP="00E37B77">
      <w:pPr>
        <w:numPr>
          <w:ilvl w:val="0"/>
          <w:numId w:val="1"/>
        </w:numPr>
        <w:rPr>
          <w:rFonts w:ascii="Times New Roman" w:hAnsi="Times New Roman" w:cs="Times New Roman"/>
          <w:sz w:val="21"/>
          <w:szCs w:val="21"/>
        </w:rPr>
      </w:pPr>
      <w:r w:rsidRPr="00F662A7">
        <w:rPr>
          <w:rFonts w:ascii="Times New Roman" w:hAnsi="Times New Roman" w:cs="Times New Roman"/>
          <w:b/>
          <w:bCs/>
          <w:sz w:val="21"/>
          <w:szCs w:val="21"/>
        </w:rPr>
        <w:t>Length of Manubrium (LM)</w:t>
      </w:r>
      <w:r w:rsidRPr="00F662A7">
        <w:rPr>
          <w:rFonts w:ascii="Times New Roman" w:hAnsi="Times New Roman" w:cs="Times New Roman"/>
          <w:sz w:val="21"/>
          <w:szCs w:val="21"/>
        </w:rPr>
        <w:t>: From the suprasternal notch to the manubriosternal joint.</w:t>
      </w:r>
    </w:p>
    <w:p w14:paraId="772A95B8" w14:textId="7ECD22B6" w:rsidR="00E37B77" w:rsidRPr="00F662A7" w:rsidRDefault="00E37B77" w:rsidP="00E37B77">
      <w:pPr>
        <w:numPr>
          <w:ilvl w:val="0"/>
          <w:numId w:val="1"/>
        </w:numPr>
        <w:rPr>
          <w:rFonts w:ascii="Times New Roman" w:hAnsi="Times New Roman" w:cs="Times New Roman"/>
          <w:sz w:val="21"/>
          <w:szCs w:val="21"/>
        </w:rPr>
      </w:pPr>
      <w:r w:rsidRPr="00F662A7">
        <w:rPr>
          <w:rFonts w:ascii="Times New Roman" w:hAnsi="Times New Roman" w:cs="Times New Roman"/>
          <w:b/>
          <w:bCs/>
          <w:sz w:val="21"/>
          <w:szCs w:val="21"/>
        </w:rPr>
        <w:t>Length of Mesosternum (LMS)</w:t>
      </w:r>
      <w:r w:rsidRPr="00F662A7">
        <w:rPr>
          <w:rFonts w:ascii="Times New Roman" w:hAnsi="Times New Roman" w:cs="Times New Roman"/>
          <w:sz w:val="21"/>
          <w:szCs w:val="21"/>
        </w:rPr>
        <w:t xml:space="preserve">: From the manubriosternal joint to the </w:t>
      </w:r>
      <w:r w:rsidR="00DD077B" w:rsidRPr="00F662A7">
        <w:rPr>
          <w:rFonts w:ascii="Times New Roman" w:hAnsi="Times New Roman" w:cs="Times New Roman"/>
          <w:sz w:val="21"/>
          <w:szCs w:val="21"/>
        </w:rPr>
        <w:t>Xiphisternal</w:t>
      </w:r>
      <w:r w:rsidRPr="00F662A7">
        <w:rPr>
          <w:rFonts w:ascii="Times New Roman" w:hAnsi="Times New Roman" w:cs="Times New Roman"/>
          <w:sz w:val="21"/>
          <w:szCs w:val="21"/>
        </w:rPr>
        <w:t xml:space="preserve"> joint.</w:t>
      </w:r>
      <w:r w:rsidRPr="00F662A7">
        <w:rPr>
          <w:rFonts w:ascii="Times New Roman" w:hAnsi="Times New Roman" w:cs="Times New Roman"/>
          <w:sz w:val="21"/>
          <w:szCs w:val="21"/>
        </w:rPr>
        <w:br/>
        <w:t>Each measurement was repeated three times for consistency and accuracy.</w:t>
      </w:r>
    </w:p>
    <w:p w14:paraId="56C7D915" w14:textId="49BCC3B6" w:rsidR="00F92917" w:rsidRPr="00F662A7" w:rsidRDefault="00F92917" w:rsidP="00F92917">
      <w:pPr>
        <w:rPr>
          <w:rFonts w:ascii="Times New Roman" w:hAnsi="Times New Roman" w:cs="Times New Roman"/>
          <w:sz w:val="21"/>
          <w:szCs w:val="21"/>
        </w:rPr>
      </w:pPr>
    </w:p>
    <w:p w14:paraId="176CF18A" w14:textId="3ABBCC90" w:rsidR="00F92917" w:rsidRPr="00F662A7" w:rsidRDefault="00F92917" w:rsidP="00F92917">
      <w:pPr>
        <w:rPr>
          <w:rFonts w:ascii="Times New Roman" w:hAnsi="Times New Roman" w:cs="Times New Roman"/>
          <w:sz w:val="21"/>
          <w:szCs w:val="21"/>
        </w:rPr>
      </w:pPr>
      <w:r w:rsidRPr="00F662A7">
        <w:rPr>
          <w:rFonts w:ascii="Times New Roman" w:hAnsi="Times New Roman" w:cs="Times New Roman"/>
          <w:sz w:val="21"/>
          <w:szCs w:val="21"/>
        </w:rPr>
        <w:t>Fig 1. Measurement of Length of Body (LB)</w:t>
      </w:r>
    </w:p>
    <w:p w14:paraId="3D8C6A38" w14:textId="4B334E1F" w:rsidR="00F92917" w:rsidRPr="00F662A7" w:rsidRDefault="00F92917" w:rsidP="00F92917">
      <w:pPr>
        <w:rPr>
          <w:rFonts w:ascii="Times New Roman" w:hAnsi="Times New Roman" w:cs="Times New Roman"/>
          <w:sz w:val="21"/>
          <w:szCs w:val="21"/>
        </w:rPr>
      </w:pPr>
    </w:p>
    <w:p w14:paraId="162DE2C1" w14:textId="1D57E41E" w:rsidR="00F92917" w:rsidRPr="00F662A7" w:rsidRDefault="00F92917" w:rsidP="00F92917">
      <w:pPr>
        <w:rPr>
          <w:rFonts w:ascii="Times New Roman" w:hAnsi="Times New Roman" w:cs="Times New Roman"/>
          <w:sz w:val="21"/>
          <w:szCs w:val="21"/>
        </w:rPr>
      </w:pPr>
      <w:r w:rsidRPr="00F662A7">
        <w:rPr>
          <w:rFonts w:ascii="Times New Roman" w:hAnsi="Times New Roman" w:cs="Times New Roman"/>
          <w:sz w:val="21"/>
          <w:szCs w:val="21"/>
        </w:rPr>
        <w:t>Fig 2. Measurement of Total length of Sternum (TSL) (excluding xiphisternum)</w:t>
      </w:r>
    </w:p>
    <w:p w14:paraId="4A0B0C90" w14:textId="059A410C" w:rsidR="00F92917" w:rsidRPr="00F662A7" w:rsidRDefault="00F92917" w:rsidP="00F92917">
      <w:pPr>
        <w:rPr>
          <w:rFonts w:ascii="Times New Roman" w:hAnsi="Times New Roman" w:cs="Times New Roman"/>
          <w:sz w:val="21"/>
          <w:szCs w:val="21"/>
        </w:rPr>
      </w:pPr>
    </w:p>
    <w:p w14:paraId="0DD85647" w14:textId="7CE807CC" w:rsidR="00F92917" w:rsidRPr="00F662A7" w:rsidRDefault="00F92917" w:rsidP="00F92917">
      <w:pPr>
        <w:rPr>
          <w:rFonts w:ascii="Times New Roman" w:hAnsi="Times New Roman" w:cs="Times New Roman"/>
          <w:sz w:val="21"/>
          <w:szCs w:val="21"/>
        </w:rPr>
      </w:pPr>
      <w:r w:rsidRPr="00F662A7">
        <w:rPr>
          <w:rFonts w:ascii="Times New Roman" w:hAnsi="Times New Roman" w:cs="Times New Roman"/>
          <w:sz w:val="21"/>
          <w:szCs w:val="21"/>
        </w:rPr>
        <w:t>Fig 3. Measurement of Length of Manubrium (LM)</w:t>
      </w:r>
    </w:p>
    <w:p w14:paraId="054A66EC" w14:textId="4CB764D4" w:rsidR="00F92917" w:rsidRPr="00F662A7" w:rsidRDefault="00F92917" w:rsidP="00F92917">
      <w:pPr>
        <w:rPr>
          <w:rFonts w:ascii="Times New Roman" w:hAnsi="Times New Roman" w:cs="Times New Roman"/>
          <w:sz w:val="21"/>
          <w:szCs w:val="21"/>
        </w:rPr>
      </w:pPr>
    </w:p>
    <w:p w14:paraId="203727B7" w14:textId="5AE73564" w:rsidR="00F92917" w:rsidRPr="00F662A7" w:rsidRDefault="00F92917" w:rsidP="00F92917">
      <w:pPr>
        <w:rPr>
          <w:rFonts w:ascii="Times New Roman" w:hAnsi="Times New Roman" w:cs="Times New Roman"/>
          <w:sz w:val="21"/>
          <w:szCs w:val="21"/>
        </w:rPr>
      </w:pPr>
      <w:r w:rsidRPr="00F662A7">
        <w:rPr>
          <w:rFonts w:ascii="Times New Roman" w:hAnsi="Times New Roman" w:cs="Times New Roman"/>
          <w:sz w:val="21"/>
          <w:szCs w:val="21"/>
        </w:rPr>
        <w:t>Fig 4. Fig 8. Measurement of Length of Mesosternum (LMS)</w:t>
      </w:r>
    </w:p>
    <w:p w14:paraId="08F5FA2B" w14:textId="77777777" w:rsidR="003C1479" w:rsidRPr="00F662A7" w:rsidRDefault="003C1479" w:rsidP="00D10933">
      <w:pPr>
        <w:rPr>
          <w:rFonts w:ascii="Times New Roman" w:hAnsi="Times New Roman" w:cs="Times New Roman"/>
          <w:b/>
          <w:bCs/>
          <w:sz w:val="21"/>
          <w:szCs w:val="21"/>
        </w:rPr>
      </w:pPr>
    </w:p>
    <w:p w14:paraId="301EA3A4" w14:textId="77777777" w:rsidR="00CF4683" w:rsidRPr="00F662A7" w:rsidRDefault="00CF4683" w:rsidP="00D10933">
      <w:pPr>
        <w:rPr>
          <w:rFonts w:ascii="Times New Roman" w:hAnsi="Times New Roman" w:cs="Times New Roman"/>
          <w:b/>
          <w:bCs/>
          <w:sz w:val="21"/>
          <w:szCs w:val="21"/>
        </w:rPr>
      </w:pPr>
    </w:p>
    <w:p w14:paraId="0A8CE09A" w14:textId="77777777" w:rsidR="00CF4683" w:rsidRDefault="00CF4683" w:rsidP="00D10933">
      <w:pPr>
        <w:rPr>
          <w:rFonts w:ascii="Times New Roman" w:hAnsi="Times New Roman" w:cs="Times New Roman"/>
          <w:b/>
          <w:bCs/>
          <w:sz w:val="21"/>
          <w:szCs w:val="21"/>
        </w:rPr>
      </w:pPr>
    </w:p>
    <w:p w14:paraId="23313A9F" w14:textId="77777777" w:rsidR="00F662A7" w:rsidRDefault="00F662A7" w:rsidP="00D10933">
      <w:pPr>
        <w:rPr>
          <w:rFonts w:ascii="Times New Roman" w:hAnsi="Times New Roman" w:cs="Times New Roman"/>
          <w:b/>
          <w:bCs/>
          <w:sz w:val="21"/>
          <w:szCs w:val="21"/>
        </w:rPr>
      </w:pPr>
    </w:p>
    <w:p w14:paraId="26FC7B5F" w14:textId="77777777" w:rsidR="00F662A7" w:rsidRDefault="00F662A7" w:rsidP="00D10933">
      <w:pPr>
        <w:rPr>
          <w:rFonts w:ascii="Times New Roman" w:hAnsi="Times New Roman" w:cs="Times New Roman"/>
          <w:b/>
          <w:bCs/>
          <w:sz w:val="21"/>
          <w:szCs w:val="21"/>
        </w:rPr>
      </w:pPr>
    </w:p>
    <w:p w14:paraId="3EBFDC35" w14:textId="77777777" w:rsidR="00F662A7" w:rsidRDefault="00F662A7" w:rsidP="00D10933">
      <w:pPr>
        <w:rPr>
          <w:rFonts w:ascii="Times New Roman" w:hAnsi="Times New Roman" w:cs="Times New Roman"/>
          <w:b/>
          <w:bCs/>
          <w:sz w:val="21"/>
          <w:szCs w:val="21"/>
        </w:rPr>
      </w:pPr>
    </w:p>
    <w:p w14:paraId="157C8925" w14:textId="77777777" w:rsidR="00F662A7" w:rsidRDefault="00F662A7" w:rsidP="00D10933">
      <w:pPr>
        <w:rPr>
          <w:rFonts w:ascii="Times New Roman" w:hAnsi="Times New Roman" w:cs="Times New Roman"/>
          <w:b/>
          <w:bCs/>
          <w:sz w:val="21"/>
          <w:szCs w:val="21"/>
        </w:rPr>
      </w:pPr>
    </w:p>
    <w:p w14:paraId="2D897931" w14:textId="77777777" w:rsidR="00F662A7" w:rsidRDefault="00F662A7" w:rsidP="00D10933">
      <w:pPr>
        <w:rPr>
          <w:rFonts w:ascii="Times New Roman" w:hAnsi="Times New Roman" w:cs="Times New Roman"/>
          <w:b/>
          <w:bCs/>
          <w:sz w:val="21"/>
          <w:szCs w:val="21"/>
        </w:rPr>
      </w:pPr>
    </w:p>
    <w:p w14:paraId="72F881EF" w14:textId="77777777" w:rsidR="00F662A7" w:rsidRDefault="00F662A7" w:rsidP="00D10933">
      <w:pPr>
        <w:rPr>
          <w:rFonts w:ascii="Times New Roman" w:hAnsi="Times New Roman" w:cs="Times New Roman"/>
          <w:b/>
          <w:bCs/>
          <w:sz w:val="21"/>
          <w:szCs w:val="21"/>
        </w:rPr>
      </w:pPr>
    </w:p>
    <w:p w14:paraId="34D4039B" w14:textId="77777777" w:rsidR="00F662A7" w:rsidRDefault="00F662A7" w:rsidP="00D10933">
      <w:pPr>
        <w:rPr>
          <w:rFonts w:ascii="Times New Roman" w:hAnsi="Times New Roman" w:cs="Times New Roman"/>
          <w:b/>
          <w:bCs/>
          <w:sz w:val="21"/>
          <w:szCs w:val="21"/>
        </w:rPr>
      </w:pPr>
    </w:p>
    <w:p w14:paraId="0E82D19C" w14:textId="77777777" w:rsidR="00F662A7" w:rsidRDefault="00F662A7" w:rsidP="00D10933">
      <w:pPr>
        <w:rPr>
          <w:rFonts w:ascii="Times New Roman" w:hAnsi="Times New Roman" w:cs="Times New Roman"/>
          <w:b/>
          <w:bCs/>
          <w:sz w:val="21"/>
          <w:szCs w:val="21"/>
        </w:rPr>
      </w:pPr>
    </w:p>
    <w:p w14:paraId="3D5C1B9F" w14:textId="77777777" w:rsidR="00F662A7" w:rsidRDefault="00F662A7" w:rsidP="00D10933">
      <w:pPr>
        <w:rPr>
          <w:rFonts w:ascii="Times New Roman" w:hAnsi="Times New Roman" w:cs="Times New Roman"/>
          <w:b/>
          <w:bCs/>
          <w:sz w:val="21"/>
          <w:szCs w:val="21"/>
        </w:rPr>
      </w:pPr>
    </w:p>
    <w:p w14:paraId="37CA3B22" w14:textId="77777777" w:rsidR="00F662A7" w:rsidRDefault="00F662A7" w:rsidP="00D10933">
      <w:pPr>
        <w:rPr>
          <w:rFonts w:ascii="Times New Roman" w:hAnsi="Times New Roman" w:cs="Times New Roman"/>
          <w:b/>
          <w:bCs/>
          <w:sz w:val="21"/>
          <w:szCs w:val="21"/>
        </w:rPr>
      </w:pPr>
    </w:p>
    <w:p w14:paraId="37D16985" w14:textId="77777777" w:rsidR="00F662A7" w:rsidRDefault="00F662A7" w:rsidP="00D10933">
      <w:pPr>
        <w:rPr>
          <w:rFonts w:ascii="Times New Roman" w:hAnsi="Times New Roman" w:cs="Times New Roman"/>
          <w:b/>
          <w:bCs/>
          <w:sz w:val="21"/>
          <w:szCs w:val="21"/>
        </w:rPr>
      </w:pPr>
    </w:p>
    <w:p w14:paraId="192E829C" w14:textId="77777777" w:rsidR="00F662A7" w:rsidRDefault="00F662A7" w:rsidP="00D10933">
      <w:pPr>
        <w:rPr>
          <w:rFonts w:ascii="Times New Roman" w:hAnsi="Times New Roman" w:cs="Times New Roman"/>
          <w:b/>
          <w:bCs/>
          <w:sz w:val="21"/>
          <w:szCs w:val="21"/>
        </w:rPr>
      </w:pPr>
    </w:p>
    <w:p w14:paraId="6E94F797" w14:textId="77777777" w:rsidR="00F662A7" w:rsidRDefault="00F662A7" w:rsidP="00D10933">
      <w:pPr>
        <w:rPr>
          <w:rFonts w:ascii="Times New Roman" w:hAnsi="Times New Roman" w:cs="Times New Roman"/>
          <w:b/>
          <w:bCs/>
          <w:sz w:val="21"/>
          <w:szCs w:val="21"/>
        </w:rPr>
      </w:pPr>
    </w:p>
    <w:p w14:paraId="5651878B" w14:textId="77777777" w:rsidR="00F662A7" w:rsidRDefault="00F662A7" w:rsidP="00D10933">
      <w:pPr>
        <w:rPr>
          <w:rFonts w:ascii="Times New Roman" w:hAnsi="Times New Roman" w:cs="Times New Roman"/>
          <w:b/>
          <w:bCs/>
          <w:sz w:val="21"/>
          <w:szCs w:val="21"/>
        </w:rPr>
      </w:pPr>
    </w:p>
    <w:p w14:paraId="247C1991" w14:textId="77777777" w:rsidR="00F662A7" w:rsidRPr="00F662A7" w:rsidRDefault="00F662A7" w:rsidP="00D10933">
      <w:pPr>
        <w:rPr>
          <w:rFonts w:ascii="Times New Roman" w:hAnsi="Times New Roman" w:cs="Times New Roman"/>
          <w:b/>
          <w:bCs/>
          <w:sz w:val="21"/>
          <w:szCs w:val="21"/>
        </w:rPr>
      </w:pPr>
    </w:p>
    <w:p w14:paraId="6FAB2243" w14:textId="53988C54" w:rsidR="00E37B77" w:rsidRPr="00F662A7" w:rsidRDefault="00E37B77" w:rsidP="00D10933">
      <w:pPr>
        <w:rPr>
          <w:rFonts w:ascii="Times New Roman" w:hAnsi="Times New Roman" w:cs="Times New Roman"/>
          <w:sz w:val="21"/>
          <w:szCs w:val="21"/>
        </w:rPr>
      </w:pPr>
      <w:r w:rsidRPr="00F662A7">
        <w:rPr>
          <w:rFonts w:ascii="Times New Roman" w:hAnsi="Times New Roman" w:cs="Times New Roman"/>
          <w:b/>
          <w:bCs/>
          <w:sz w:val="21"/>
          <w:szCs w:val="21"/>
        </w:rPr>
        <w:t>Statistical Analysis</w:t>
      </w:r>
      <w:r w:rsidRPr="00F662A7">
        <w:rPr>
          <w:rFonts w:ascii="Times New Roman" w:hAnsi="Times New Roman" w:cs="Times New Roman"/>
          <w:sz w:val="21"/>
          <w:szCs w:val="21"/>
        </w:rPr>
        <w:br/>
        <w:t xml:space="preserve">Data were </w:t>
      </w:r>
      <w:r w:rsidR="00DD077B" w:rsidRPr="00F662A7">
        <w:rPr>
          <w:rFonts w:ascii="Times New Roman" w:hAnsi="Times New Roman" w:cs="Times New Roman"/>
          <w:sz w:val="21"/>
          <w:szCs w:val="21"/>
        </w:rPr>
        <w:t>analysed</w:t>
      </w:r>
      <w:r w:rsidRPr="00F662A7">
        <w:rPr>
          <w:rFonts w:ascii="Times New Roman" w:hAnsi="Times New Roman" w:cs="Times New Roman"/>
          <w:sz w:val="21"/>
          <w:szCs w:val="21"/>
        </w:rPr>
        <w:t xml:space="preserve"> using descriptive statistics including arithmetic mean, median, and mode to summarize the findings. Dispersion was assessed through range, standard deviation (SD), and coefficient of variation. To examine statistical differences between sexes, independent sample t-tests were applied. Correlation between stature and sternal dimensions was assessed using Pearson’s correlation coefficient (r)</w:t>
      </w:r>
      <w:r w:rsidR="00D10933" w:rsidRPr="00F662A7">
        <w:rPr>
          <w:rFonts w:ascii="Times New Roman" w:hAnsi="Times New Roman" w:cs="Times New Roman"/>
          <w:sz w:val="21"/>
          <w:szCs w:val="21"/>
        </w:rPr>
        <w:t>.</w:t>
      </w:r>
    </w:p>
    <w:p w14:paraId="134E666B" w14:textId="77777777" w:rsidR="00E37B77" w:rsidRPr="00F662A7" w:rsidRDefault="00E37B77" w:rsidP="00E37B77">
      <w:pPr>
        <w:rPr>
          <w:rFonts w:ascii="Times New Roman" w:hAnsi="Times New Roman" w:cs="Times New Roman"/>
          <w:sz w:val="21"/>
          <w:szCs w:val="21"/>
        </w:rPr>
      </w:pPr>
      <w:r w:rsidRPr="00F662A7">
        <w:rPr>
          <w:rFonts w:ascii="Times New Roman" w:hAnsi="Times New Roman" w:cs="Times New Roman"/>
          <w:sz w:val="21"/>
          <w:szCs w:val="21"/>
        </w:rPr>
        <w:t>Linear regression analysis was employed to derive sex-specific regression equations for predicting stature from sternal dimensions. The regression coefficients were used to calculate the rate of change in stature per unit change in sternal measurements. Standard error of estimate (SEE) was calculated to assess the accuracy of the predictive models.</w:t>
      </w:r>
    </w:p>
    <w:p w14:paraId="7101CB47" w14:textId="54D1ED11" w:rsidR="00E37B77" w:rsidRPr="00F662A7" w:rsidRDefault="00D10933" w:rsidP="00E37B77">
      <w:pPr>
        <w:rPr>
          <w:rFonts w:ascii="Times New Roman" w:hAnsi="Times New Roman" w:cs="Times New Roman"/>
          <w:b/>
          <w:bCs/>
          <w:sz w:val="21"/>
          <w:szCs w:val="21"/>
        </w:rPr>
      </w:pPr>
      <w:r w:rsidRPr="00F662A7">
        <w:rPr>
          <w:rFonts w:ascii="Times New Roman" w:hAnsi="Times New Roman" w:cs="Times New Roman"/>
          <w:b/>
          <w:bCs/>
          <w:sz w:val="21"/>
          <w:szCs w:val="21"/>
        </w:rPr>
        <w:t xml:space="preserve">Analysis and Result </w:t>
      </w:r>
    </w:p>
    <w:p w14:paraId="543FF0DE" w14:textId="7DC85C82" w:rsidR="00D10933" w:rsidRPr="00F662A7" w:rsidRDefault="00D10933" w:rsidP="00E37B77">
      <w:pPr>
        <w:rPr>
          <w:rFonts w:ascii="Times New Roman" w:hAnsi="Times New Roman" w:cs="Times New Roman"/>
          <w:sz w:val="21"/>
          <w:szCs w:val="21"/>
        </w:rPr>
      </w:pPr>
      <w:r w:rsidRPr="00F662A7">
        <w:rPr>
          <w:rFonts w:ascii="Times New Roman" w:hAnsi="Times New Roman" w:cs="Times New Roman"/>
          <w:sz w:val="21"/>
          <w:szCs w:val="21"/>
        </w:rPr>
        <w:t xml:space="preserve">Table no 1. Distribution of variables. </w:t>
      </w:r>
    </w:p>
    <w:tbl>
      <w:tblPr>
        <w:tblStyle w:val="TableGrid"/>
        <w:tblW w:w="9129" w:type="dxa"/>
        <w:tblLook w:val="04A0" w:firstRow="1" w:lastRow="0" w:firstColumn="1" w:lastColumn="0" w:noHBand="0" w:noVBand="1"/>
      </w:tblPr>
      <w:tblGrid>
        <w:gridCol w:w="1266"/>
        <w:gridCol w:w="1040"/>
        <w:gridCol w:w="1529"/>
        <w:gridCol w:w="976"/>
        <w:gridCol w:w="1401"/>
        <w:gridCol w:w="1058"/>
        <w:gridCol w:w="1859"/>
      </w:tblGrid>
      <w:tr w:rsidR="00D10933" w:rsidRPr="00F662A7" w14:paraId="70E897F1" w14:textId="77777777" w:rsidTr="00C00964">
        <w:trPr>
          <w:trHeight w:val="716"/>
        </w:trPr>
        <w:tc>
          <w:tcPr>
            <w:tcW w:w="1266" w:type="dxa"/>
            <w:vMerge w:val="restart"/>
            <w:vAlign w:val="center"/>
          </w:tcPr>
          <w:p w14:paraId="2F056A34"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Variables</w:t>
            </w:r>
          </w:p>
        </w:tc>
        <w:tc>
          <w:tcPr>
            <w:tcW w:w="2569" w:type="dxa"/>
            <w:gridSpan w:val="2"/>
            <w:vAlign w:val="center"/>
          </w:tcPr>
          <w:p w14:paraId="7DC80A2E"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Males (N=100)</w:t>
            </w:r>
          </w:p>
        </w:tc>
        <w:tc>
          <w:tcPr>
            <w:tcW w:w="2377" w:type="dxa"/>
            <w:gridSpan w:val="2"/>
            <w:vAlign w:val="center"/>
          </w:tcPr>
          <w:p w14:paraId="7E3B76E0"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Females (N=100)</w:t>
            </w:r>
          </w:p>
        </w:tc>
        <w:tc>
          <w:tcPr>
            <w:tcW w:w="2917" w:type="dxa"/>
            <w:gridSpan w:val="2"/>
            <w:vAlign w:val="center"/>
          </w:tcPr>
          <w:p w14:paraId="4A4C6C6E"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Total Sample (N=200)</w:t>
            </w:r>
          </w:p>
        </w:tc>
      </w:tr>
      <w:tr w:rsidR="00D10933" w:rsidRPr="00F662A7" w14:paraId="7C5A09C5" w14:textId="77777777" w:rsidTr="00D10933">
        <w:trPr>
          <w:trHeight w:val="838"/>
        </w:trPr>
        <w:tc>
          <w:tcPr>
            <w:tcW w:w="1266" w:type="dxa"/>
            <w:vMerge/>
            <w:vAlign w:val="center"/>
          </w:tcPr>
          <w:p w14:paraId="2619EC8B" w14:textId="77777777" w:rsidR="00D10933" w:rsidRPr="00F662A7" w:rsidRDefault="00D10933" w:rsidP="00D10933">
            <w:pPr>
              <w:spacing w:after="160" w:line="259" w:lineRule="auto"/>
              <w:rPr>
                <w:rFonts w:ascii="Times New Roman" w:hAnsi="Times New Roman" w:cs="Times New Roman"/>
                <w:b/>
                <w:bCs/>
                <w:sz w:val="21"/>
                <w:szCs w:val="21"/>
              </w:rPr>
            </w:pPr>
          </w:p>
        </w:tc>
        <w:tc>
          <w:tcPr>
            <w:tcW w:w="1040" w:type="dxa"/>
            <w:vAlign w:val="center"/>
          </w:tcPr>
          <w:p w14:paraId="4B944ADD"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Range</w:t>
            </w:r>
          </w:p>
        </w:tc>
        <w:tc>
          <w:tcPr>
            <w:tcW w:w="1529" w:type="dxa"/>
            <w:vAlign w:val="center"/>
          </w:tcPr>
          <w:p w14:paraId="1308ED3C"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Mean ± SD</w:t>
            </w:r>
          </w:p>
        </w:tc>
        <w:tc>
          <w:tcPr>
            <w:tcW w:w="976" w:type="dxa"/>
            <w:vAlign w:val="center"/>
          </w:tcPr>
          <w:p w14:paraId="5881CE51"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Range</w:t>
            </w:r>
          </w:p>
        </w:tc>
        <w:tc>
          <w:tcPr>
            <w:tcW w:w="1401" w:type="dxa"/>
            <w:vAlign w:val="center"/>
          </w:tcPr>
          <w:p w14:paraId="06D4EA1F"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Mean ± SD</w:t>
            </w:r>
          </w:p>
        </w:tc>
        <w:tc>
          <w:tcPr>
            <w:tcW w:w="1058" w:type="dxa"/>
            <w:vAlign w:val="center"/>
          </w:tcPr>
          <w:p w14:paraId="312661EF"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Range</w:t>
            </w:r>
          </w:p>
        </w:tc>
        <w:tc>
          <w:tcPr>
            <w:tcW w:w="1859" w:type="dxa"/>
            <w:vAlign w:val="center"/>
          </w:tcPr>
          <w:p w14:paraId="2887C9EB"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Mean ± SD</w:t>
            </w:r>
          </w:p>
        </w:tc>
      </w:tr>
      <w:tr w:rsidR="00D10933" w:rsidRPr="00F662A7" w14:paraId="1BF9556A" w14:textId="77777777" w:rsidTr="00D10933">
        <w:trPr>
          <w:trHeight w:val="838"/>
        </w:trPr>
        <w:tc>
          <w:tcPr>
            <w:tcW w:w="1266" w:type="dxa"/>
            <w:vAlign w:val="center"/>
          </w:tcPr>
          <w:p w14:paraId="2535BCC2"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LB</w:t>
            </w:r>
          </w:p>
        </w:tc>
        <w:tc>
          <w:tcPr>
            <w:tcW w:w="1040" w:type="dxa"/>
            <w:vAlign w:val="center"/>
          </w:tcPr>
          <w:p w14:paraId="1997316D"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182.50-149.50</w:t>
            </w:r>
          </w:p>
        </w:tc>
        <w:tc>
          <w:tcPr>
            <w:tcW w:w="1529" w:type="dxa"/>
            <w:vAlign w:val="center"/>
          </w:tcPr>
          <w:p w14:paraId="584FD8FF"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162.28±6.24</w:t>
            </w:r>
          </w:p>
        </w:tc>
        <w:tc>
          <w:tcPr>
            <w:tcW w:w="976" w:type="dxa"/>
            <w:vAlign w:val="center"/>
          </w:tcPr>
          <w:p w14:paraId="0A448389"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177.5-138</w:t>
            </w:r>
          </w:p>
        </w:tc>
        <w:tc>
          <w:tcPr>
            <w:tcW w:w="1401" w:type="dxa"/>
            <w:vAlign w:val="center"/>
          </w:tcPr>
          <w:p w14:paraId="0176CA88"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154±5.76</w:t>
            </w:r>
          </w:p>
        </w:tc>
        <w:tc>
          <w:tcPr>
            <w:tcW w:w="1058" w:type="dxa"/>
            <w:vAlign w:val="center"/>
          </w:tcPr>
          <w:p w14:paraId="454479E1"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182.50-138</w:t>
            </w:r>
          </w:p>
        </w:tc>
        <w:tc>
          <w:tcPr>
            <w:tcW w:w="1859" w:type="dxa"/>
            <w:vAlign w:val="center"/>
          </w:tcPr>
          <w:p w14:paraId="6F048899"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158.14.±7.29</w:t>
            </w:r>
          </w:p>
        </w:tc>
      </w:tr>
      <w:tr w:rsidR="00D10933" w:rsidRPr="00F662A7" w14:paraId="2C6B2CB1" w14:textId="77777777" w:rsidTr="00D10933">
        <w:trPr>
          <w:trHeight w:val="838"/>
        </w:trPr>
        <w:tc>
          <w:tcPr>
            <w:tcW w:w="1266" w:type="dxa"/>
            <w:vAlign w:val="center"/>
          </w:tcPr>
          <w:p w14:paraId="474E727D"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LM</w:t>
            </w:r>
          </w:p>
        </w:tc>
        <w:tc>
          <w:tcPr>
            <w:tcW w:w="1040" w:type="dxa"/>
            <w:vAlign w:val="center"/>
          </w:tcPr>
          <w:p w14:paraId="278AFAFB"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6.34-3.13</w:t>
            </w:r>
          </w:p>
        </w:tc>
        <w:tc>
          <w:tcPr>
            <w:tcW w:w="1529" w:type="dxa"/>
            <w:vAlign w:val="center"/>
          </w:tcPr>
          <w:p w14:paraId="19CB334C"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4.51±0.71</w:t>
            </w:r>
          </w:p>
        </w:tc>
        <w:tc>
          <w:tcPr>
            <w:tcW w:w="976" w:type="dxa"/>
            <w:vAlign w:val="center"/>
          </w:tcPr>
          <w:p w14:paraId="237BA25C"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5.51-2.89</w:t>
            </w:r>
          </w:p>
        </w:tc>
        <w:tc>
          <w:tcPr>
            <w:tcW w:w="1401" w:type="dxa"/>
            <w:vAlign w:val="center"/>
          </w:tcPr>
          <w:p w14:paraId="59105C4B"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4.25±0.69</w:t>
            </w:r>
          </w:p>
        </w:tc>
        <w:tc>
          <w:tcPr>
            <w:tcW w:w="1058" w:type="dxa"/>
            <w:vAlign w:val="center"/>
          </w:tcPr>
          <w:p w14:paraId="63B17DEA"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6.34-2.89</w:t>
            </w:r>
          </w:p>
        </w:tc>
        <w:tc>
          <w:tcPr>
            <w:tcW w:w="1859" w:type="dxa"/>
            <w:vAlign w:val="center"/>
          </w:tcPr>
          <w:p w14:paraId="2B385D97"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4.38±0.71</w:t>
            </w:r>
          </w:p>
        </w:tc>
      </w:tr>
      <w:tr w:rsidR="00D10933" w:rsidRPr="00F662A7" w14:paraId="3E18F370" w14:textId="77777777" w:rsidTr="00D10933">
        <w:trPr>
          <w:trHeight w:val="879"/>
        </w:trPr>
        <w:tc>
          <w:tcPr>
            <w:tcW w:w="1266" w:type="dxa"/>
            <w:vAlign w:val="center"/>
          </w:tcPr>
          <w:p w14:paraId="269E5D0A"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LMS</w:t>
            </w:r>
          </w:p>
        </w:tc>
        <w:tc>
          <w:tcPr>
            <w:tcW w:w="1040" w:type="dxa"/>
            <w:vAlign w:val="center"/>
          </w:tcPr>
          <w:p w14:paraId="24642133"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11.89-7.25</w:t>
            </w:r>
          </w:p>
        </w:tc>
        <w:tc>
          <w:tcPr>
            <w:tcW w:w="1529" w:type="dxa"/>
            <w:vAlign w:val="center"/>
          </w:tcPr>
          <w:p w14:paraId="305A6FD4"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10.17±0.91</w:t>
            </w:r>
          </w:p>
        </w:tc>
        <w:tc>
          <w:tcPr>
            <w:tcW w:w="976" w:type="dxa"/>
            <w:vAlign w:val="center"/>
          </w:tcPr>
          <w:p w14:paraId="1880EABD"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11.94-8</w:t>
            </w:r>
          </w:p>
        </w:tc>
        <w:tc>
          <w:tcPr>
            <w:tcW w:w="1401" w:type="dxa"/>
            <w:vAlign w:val="center"/>
          </w:tcPr>
          <w:p w14:paraId="24BA1C85"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10.01±0.87</w:t>
            </w:r>
          </w:p>
        </w:tc>
        <w:tc>
          <w:tcPr>
            <w:tcW w:w="1058" w:type="dxa"/>
            <w:vAlign w:val="center"/>
          </w:tcPr>
          <w:p w14:paraId="12E4D537"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11.89-8</w:t>
            </w:r>
          </w:p>
        </w:tc>
        <w:tc>
          <w:tcPr>
            <w:tcW w:w="1859" w:type="dxa"/>
            <w:vAlign w:val="center"/>
          </w:tcPr>
          <w:p w14:paraId="6FD4499D"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10.09±0.89</w:t>
            </w:r>
          </w:p>
        </w:tc>
      </w:tr>
      <w:tr w:rsidR="00D10933" w:rsidRPr="00F662A7" w14:paraId="423C8F73" w14:textId="77777777" w:rsidTr="00D10933">
        <w:trPr>
          <w:trHeight w:val="800"/>
        </w:trPr>
        <w:tc>
          <w:tcPr>
            <w:tcW w:w="1266" w:type="dxa"/>
            <w:vAlign w:val="center"/>
          </w:tcPr>
          <w:p w14:paraId="5E3FDCA3"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TSL</w:t>
            </w:r>
          </w:p>
        </w:tc>
        <w:tc>
          <w:tcPr>
            <w:tcW w:w="1040" w:type="dxa"/>
            <w:vAlign w:val="center"/>
          </w:tcPr>
          <w:p w14:paraId="530047F5"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17.24-12.01</w:t>
            </w:r>
          </w:p>
        </w:tc>
        <w:tc>
          <w:tcPr>
            <w:tcW w:w="1529" w:type="dxa"/>
            <w:vAlign w:val="center"/>
          </w:tcPr>
          <w:p w14:paraId="4CD56DAD"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14.68±1.30</w:t>
            </w:r>
          </w:p>
        </w:tc>
        <w:tc>
          <w:tcPr>
            <w:tcW w:w="976" w:type="dxa"/>
            <w:vAlign w:val="center"/>
          </w:tcPr>
          <w:p w14:paraId="32DD605D" w14:textId="77777777" w:rsidR="00D10933" w:rsidRPr="00F662A7" w:rsidRDefault="00D10933" w:rsidP="00D10933">
            <w:pPr>
              <w:spacing w:after="160" w:line="259" w:lineRule="auto"/>
              <w:rPr>
                <w:rFonts w:ascii="Times New Roman" w:hAnsi="Times New Roman" w:cs="Times New Roman"/>
                <w:b/>
                <w:bCs/>
                <w:sz w:val="21"/>
                <w:szCs w:val="21"/>
              </w:rPr>
            </w:pPr>
            <w:r w:rsidRPr="00F662A7">
              <w:rPr>
                <w:rFonts w:ascii="Times New Roman" w:hAnsi="Times New Roman" w:cs="Times New Roman"/>
                <w:sz w:val="21"/>
                <w:szCs w:val="21"/>
              </w:rPr>
              <w:t>16.76-12.2</w:t>
            </w:r>
          </w:p>
        </w:tc>
        <w:tc>
          <w:tcPr>
            <w:tcW w:w="1401" w:type="dxa"/>
            <w:vAlign w:val="center"/>
          </w:tcPr>
          <w:p w14:paraId="71C69371"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14.26±1.08</w:t>
            </w:r>
          </w:p>
        </w:tc>
        <w:tc>
          <w:tcPr>
            <w:tcW w:w="1058" w:type="dxa"/>
            <w:vAlign w:val="center"/>
          </w:tcPr>
          <w:p w14:paraId="6A135713"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17.24-12.2</w:t>
            </w:r>
          </w:p>
        </w:tc>
        <w:tc>
          <w:tcPr>
            <w:tcW w:w="1859" w:type="dxa"/>
            <w:vAlign w:val="center"/>
          </w:tcPr>
          <w:p w14:paraId="03006C04" w14:textId="77777777" w:rsidR="00D10933" w:rsidRPr="00F662A7" w:rsidRDefault="00D10933" w:rsidP="00D10933">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14.47±1.21</w:t>
            </w:r>
          </w:p>
        </w:tc>
      </w:tr>
    </w:tbl>
    <w:p w14:paraId="7DB921BE" w14:textId="77777777" w:rsidR="00F662A7" w:rsidRDefault="00F662A7" w:rsidP="00D10933">
      <w:pPr>
        <w:rPr>
          <w:rFonts w:ascii="Times New Roman" w:hAnsi="Times New Roman" w:cs="Times New Roman"/>
          <w:sz w:val="21"/>
          <w:szCs w:val="21"/>
        </w:rPr>
      </w:pPr>
    </w:p>
    <w:p w14:paraId="07B421C3" w14:textId="47ED82A0" w:rsidR="00D10933" w:rsidRPr="00F662A7" w:rsidRDefault="00D10933" w:rsidP="00D10933">
      <w:pPr>
        <w:rPr>
          <w:rFonts w:ascii="Times New Roman" w:hAnsi="Times New Roman" w:cs="Times New Roman"/>
          <w:sz w:val="21"/>
          <w:szCs w:val="21"/>
        </w:rPr>
      </w:pPr>
      <w:r w:rsidRPr="00F662A7">
        <w:rPr>
          <w:rFonts w:ascii="Times New Roman" w:hAnsi="Times New Roman" w:cs="Times New Roman"/>
          <w:sz w:val="21"/>
          <w:szCs w:val="21"/>
        </w:rPr>
        <w:t>The study shows (Table no. 1) that males have significantly greater measurements in Length of Body (LB), Length of Manubrium (LM), and Length of Mesosternum (LMS) compared to females, with means of 158.14, 4.38, and 10.09, respectively. In contrast, the Total Sternal Length (TSL) is nearly equal for both genders, with males at 14.89 and females at 14.26. These findings suggest biological differences in growth patterns between males and females. Overall, males exhibit larger body and sternal dimensions.</w:t>
      </w:r>
    </w:p>
    <w:p w14:paraId="75EAB864" w14:textId="77777777" w:rsidR="00F81B4A" w:rsidRPr="00F662A7" w:rsidRDefault="00F81B4A" w:rsidP="00F81B4A">
      <w:pPr>
        <w:rPr>
          <w:rFonts w:ascii="Times New Roman" w:hAnsi="Times New Roman" w:cs="Times New Roman"/>
          <w:sz w:val="21"/>
          <w:szCs w:val="21"/>
        </w:rPr>
      </w:pPr>
      <w:r w:rsidRPr="00F662A7">
        <w:rPr>
          <w:rFonts w:ascii="Times New Roman" w:hAnsi="Times New Roman" w:cs="Times New Roman"/>
          <w:sz w:val="21"/>
          <w:szCs w:val="21"/>
        </w:rPr>
        <w:t>The study shows moderate correlation of all three variables with length of body in total samples and substantial linear relationship.</w:t>
      </w:r>
    </w:p>
    <w:p w14:paraId="7A61E852" w14:textId="3DF4D4BC" w:rsidR="00F81B4A" w:rsidRPr="00F662A7" w:rsidRDefault="00F81B4A" w:rsidP="00D10933">
      <w:pPr>
        <w:rPr>
          <w:rFonts w:ascii="Times New Roman" w:hAnsi="Times New Roman" w:cs="Times New Roman"/>
          <w:sz w:val="21"/>
          <w:szCs w:val="21"/>
        </w:rPr>
      </w:pPr>
      <w:r w:rsidRPr="00F662A7">
        <w:rPr>
          <w:rFonts w:ascii="Times New Roman" w:hAnsi="Times New Roman" w:cs="Times New Roman"/>
          <w:noProof/>
          <w:sz w:val="21"/>
          <w:szCs w:val="21"/>
        </w:rPr>
        <w:lastRenderedPageBreak/>
        <w:drawing>
          <wp:inline distT="0" distB="0" distL="0" distR="0" wp14:anchorId="74920D81" wp14:editId="221D0C92">
            <wp:extent cx="5669893" cy="3408218"/>
            <wp:effectExtent l="0" t="0" r="7620" b="1905"/>
            <wp:docPr id="6202146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0287" cy="3414466"/>
                    </a:xfrm>
                    <a:prstGeom prst="rect">
                      <a:avLst/>
                    </a:prstGeom>
                    <a:noFill/>
                  </pic:spPr>
                </pic:pic>
              </a:graphicData>
            </a:graphic>
          </wp:inline>
        </w:drawing>
      </w:r>
    </w:p>
    <w:p w14:paraId="2A715E40" w14:textId="44F9AF79" w:rsidR="00F81B4A" w:rsidRPr="00F662A7" w:rsidRDefault="00F81B4A" w:rsidP="00F81B4A">
      <w:pPr>
        <w:rPr>
          <w:rFonts w:ascii="Times New Roman" w:hAnsi="Times New Roman" w:cs="Times New Roman"/>
          <w:sz w:val="21"/>
          <w:szCs w:val="21"/>
        </w:rPr>
      </w:pPr>
      <w:r w:rsidRPr="00F662A7">
        <w:rPr>
          <w:rFonts w:ascii="Times New Roman" w:hAnsi="Times New Roman" w:cs="Times New Roman"/>
          <w:sz w:val="21"/>
          <w:szCs w:val="21"/>
        </w:rPr>
        <w:t>Graph 1. Correlation between length of body and length of manubrium(cm) in total sample</w:t>
      </w:r>
      <w:r w:rsidRPr="00F662A7">
        <w:rPr>
          <w:rFonts w:ascii="Times New Roman" w:hAnsi="Times New Roman" w:cs="Times New Roman"/>
          <w:b/>
          <w:bCs/>
          <w:sz w:val="21"/>
          <w:szCs w:val="21"/>
        </w:rPr>
        <w:t>(N=200)</w:t>
      </w:r>
    </w:p>
    <w:p w14:paraId="58415C3F" w14:textId="5E7CB47A" w:rsidR="00F81B4A" w:rsidRPr="00F662A7" w:rsidRDefault="00F81B4A" w:rsidP="00F81B4A">
      <w:pPr>
        <w:rPr>
          <w:rFonts w:ascii="Times New Roman" w:hAnsi="Times New Roman" w:cs="Times New Roman"/>
          <w:sz w:val="21"/>
          <w:szCs w:val="21"/>
        </w:rPr>
      </w:pPr>
      <w:r w:rsidRPr="00F662A7">
        <w:rPr>
          <w:rFonts w:ascii="Times New Roman" w:hAnsi="Times New Roman" w:cs="Times New Roman"/>
          <w:noProof/>
          <w:sz w:val="21"/>
          <w:szCs w:val="21"/>
        </w:rPr>
        <w:drawing>
          <wp:inline distT="0" distB="0" distL="0" distR="0" wp14:anchorId="7124931F" wp14:editId="232CEE32">
            <wp:extent cx="5621482" cy="3460173"/>
            <wp:effectExtent l="0" t="0" r="17780" b="6985"/>
            <wp:docPr id="368309081" name="Chart 1">
              <a:extLst xmlns:a="http://schemas.openxmlformats.org/drawingml/2006/main">
                <a:ext uri="{FF2B5EF4-FFF2-40B4-BE49-F238E27FC236}">
                  <a16:creationId xmlns:a16="http://schemas.microsoft.com/office/drawing/2014/main" id="{09754396-FE33-8F37-015A-6C251FC82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EA657A" w14:textId="748A2D22" w:rsidR="00F81B4A" w:rsidRPr="00F662A7" w:rsidRDefault="00F81B4A" w:rsidP="00F81B4A">
      <w:pPr>
        <w:rPr>
          <w:rFonts w:ascii="Times New Roman" w:hAnsi="Times New Roman" w:cs="Times New Roman"/>
          <w:sz w:val="21"/>
          <w:szCs w:val="21"/>
        </w:rPr>
      </w:pPr>
      <w:r w:rsidRPr="00F662A7">
        <w:rPr>
          <w:rFonts w:ascii="Times New Roman" w:hAnsi="Times New Roman" w:cs="Times New Roman"/>
          <w:sz w:val="21"/>
          <w:szCs w:val="21"/>
        </w:rPr>
        <w:t>Graph 2. Correlation between length of body and length of mesosternum(cm) in total sample</w:t>
      </w:r>
      <w:r w:rsidRPr="00F662A7">
        <w:rPr>
          <w:rFonts w:ascii="Times New Roman" w:hAnsi="Times New Roman" w:cs="Times New Roman"/>
          <w:b/>
          <w:bCs/>
          <w:sz w:val="21"/>
          <w:szCs w:val="21"/>
        </w:rPr>
        <w:t>(N=200)</w:t>
      </w:r>
    </w:p>
    <w:p w14:paraId="18D14964" w14:textId="2FF94FEE" w:rsidR="00F81B4A" w:rsidRPr="00F662A7" w:rsidRDefault="00F81B4A" w:rsidP="00F81B4A">
      <w:pPr>
        <w:rPr>
          <w:rFonts w:ascii="Times New Roman" w:hAnsi="Times New Roman" w:cs="Times New Roman"/>
          <w:sz w:val="21"/>
          <w:szCs w:val="21"/>
        </w:rPr>
      </w:pPr>
      <w:r w:rsidRPr="00F662A7">
        <w:rPr>
          <w:rFonts w:ascii="Times New Roman" w:hAnsi="Times New Roman" w:cs="Times New Roman"/>
          <w:noProof/>
          <w:sz w:val="21"/>
          <w:szCs w:val="21"/>
        </w:rPr>
        <w:lastRenderedPageBreak/>
        <w:drawing>
          <wp:inline distT="0" distB="0" distL="0" distR="0" wp14:anchorId="0A7C25B2" wp14:editId="57BED509">
            <wp:extent cx="5683827" cy="3532909"/>
            <wp:effectExtent l="0" t="0" r="12700" b="10795"/>
            <wp:docPr id="19889084" name="Chart 1">
              <a:extLst xmlns:a="http://schemas.openxmlformats.org/drawingml/2006/main">
                <a:ext uri="{FF2B5EF4-FFF2-40B4-BE49-F238E27FC236}">
                  <a16:creationId xmlns:a16="http://schemas.microsoft.com/office/drawing/2014/main" id="{E8E43BCF-BB70-3D85-042D-AE50B797A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5FFD9A" w14:textId="424A3377" w:rsidR="00F81B4A" w:rsidRPr="00F662A7" w:rsidRDefault="00F81B4A" w:rsidP="00D10933">
      <w:pPr>
        <w:rPr>
          <w:rFonts w:ascii="Times New Roman" w:hAnsi="Times New Roman" w:cs="Times New Roman"/>
          <w:sz w:val="21"/>
          <w:szCs w:val="21"/>
        </w:rPr>
      </w:pPr>
      <w:r w:rsidRPr="00F662A7">
        <w:rPr>
          <w:rFonts w:ascii="Times New Roman" w:hAnsi="Times New Roman" w:cs="Times New Roman"/>
          <w:sz w:val="21"/>
          <w:szCs w:val="21"/>
        </w:rPr>
        <w:t>Graph 3. Correlation between length of body and total length of sternum(cm) in total sample</w:t>
      </w:r>
      <w:r w:rsidRPr="00F662A7">
        <w:rPr>
          <w:rFonts w:ascii="Times New Roman" w:hAnsi="Times New Roman" w:cs="Times New Roman"/>
          <w:b/>
          <w:bCs/>
          <w:sz w:val="21"/>
          <w:szCs w:val="21"/>
        </w:rPr>
        <w:t>(N=200)</w:t>
      </w:r>
    </w:p>
    <w:p w14:paraId="0792D442" w14:textId="53960483" w:rsidR="00D10933" w:rsidRPr="00F662A7" w:rsidRDefault="00D10933" w:rsidP="00D10933">
      <w:pPr>
        <w:rPr>
          <w:rFonts w:ascii="Times New Roman" w:hAnsi="Times New Roman" w:cs="Times New Roman"/>
          <w:sz w:val="21"/>
          <w:szCs w:val="21"/>
        </w:rPr>
      </w:pPr>
      <w:r w:rsidRPr="00F662A7">
        <w:rPr>
          <w:rFonts w:ascii="Times New Roman" w:hAnsi="Times New Roman" w:cs="Times New Roman"/>
          <w:sz w:val="21"/>
          <w:szCs w:val="21"/>
        </w:rPr>
        <w:t xml:space="preserve">Table no. 2 Correlation and Linear regression equation to estimate stature from different sternal lengths. </w:t>
      </w:r>
    </w:p>
    <w:tbl>
      <w:tblPr>
        <w:tblStyle w:val="TableGrid"/>
        <w:tblW w:w="0" w:type="auto"/>
        <w:tblLook w:val="04A0" w:firstRow="1" w:lastRow="0" w:firstColumn="1" w:lastColumn="0" w:noHBand="0" w:noVBand="1"/>
      </w:tblPr>
      <w:tblGrid>
        <w:gridCol w:w="1980"/>
        <w:gridCol w:w="1696"/>
        <w:gridCol w:w="1606"/>
        <w:gridCol w:w="1212"/>
        <w:gridCol w:w="2522"/>
      </w:tblGrid>
      <w:tr w:rsidR="00F81B4A" w:rsidRPr="00F662A7" w14:paraId="57935CC0" w14:textId="77777777" w:rsidTr="00C00964">
        <w:trPr>
          <w:trHeight w:val="1347"/>
        </w:trPr>
        <w:tc>
          <w:tcPr>
            <w:tcW w:w="1980" w:type="dxa"/>
            <w:vAlign w:val="center"/>
          </w:tcPr>
          <w:p w14:paraId="3E3F7CD5"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Sample &amp; Variables</w:t>
            </w:r>
          </w:p>
        </w:tc>
        <w:tc>
          <w:tcPr>
            <w:tcW w:w="1696" w:type="dxa"/>
            <w:vAlign w:val="center"/>
          </w:tcPr>
          <w:p w14:paraId="24A4DBB6"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Pearson’s corelation coefficient (R)</w:t>
            </w:r>
          </w:p>
        </w:tc>
        <w:tc>
          <w:tcPr>
            <w:tcW w:w="1606" w:type="dxa"/>
            <w:vAlign w:val="center"/>
          </w:tcPr>
          <w:p w14:paraId="638D90E8"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Variance (R</w:t>
            </w:r>
            <w:r w:rsidRPr="00F662A7">
              <w:rPr>
                <w:rFonts w:ascii="Times New Roman" w:hAnsi="Times New Roman" w:cs="Times New Roman"/>
                <w:b/>
                <w:bCs/>
                <w:sz w:val="21"/>
                <w:szCs w:val="21"/>
                <w:vertAlign w:val="superscript"/>
              </w:rPr>
              <w:t>2</w:t>
            </w:r>
            <w:r w:rsidRPr="00F662A7">
              <w:rPr>
                <w:rFonts w:ascii="Times New Roman" w:hAnsi="Times New Roman" w:cs="Times New Roman"/>
                <w:b/>
                <w:bCs/>
                <w:sz w:val="21"/>
                <w:szCs w:val="21"/>
              </w:rPr>
              <w:t>)</w:t>
            </w:r>
          </w:p>
        </w:tc>
        <w:tc>
          <w:tcPr>
            <w:tcW w:w="1212" w:type="dxa"/>
            <w:vAlign w:val="center"/>
          </w:tcPr>
          <w:p w14:paraId="48FD1289"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P value</w:t>
            </w:r>
          </w:p>
        </w:tc>
        <w:tc>
          <w:tcPr>
            <w:tcW w:w="2522" w:type="dxa"/>
            <w:vAlign w:val="center"/>
          </w:tcPr>
          <w:p w14:paraId="2FBCEE15"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b/>
                <w:bCs/>
                <w:sz w:val="21"/>
                <w:szCs w:val="21"/>
              </w:rPr>
              <w:t>Linear regression equation</w:t>
            </w:r>
            <w:r w:rsidRPr="00F662A7">
              <w:rPr>
                <w:rFonts w:ascii="Times New Roman" w:hAnsi="Times New Roman" w:cs="Times New Roman"/>
                <w:sz w:val="21"/>
                <w:szCs w:val="21"/>
              </w:rPr>
              <w:t xml:space="preserve"> </w:t>
            </w:r>
          </w:p>
          <w:p w14:paraId="7E066D13"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w:t>
            </w:r>
            <w:r w:rsidRPr="00F662A7">
              <w:rPr>
                <w:rFonts w:ascii="Times New Roman" w:hAnsi="Times New Roman" w:cs="Times New Roman"/>
                <w:b/>
                <w:bCs/>
                <w:sz w:val="21"/>
                <w:szCs w:val="21"/>
              </w:rPr>
              <w:t>Y = Stature)</w:t>
            </w:r>
          </w:p>
        </w:tc>
      </w:tr>
      <w:tr w:rsidR="00F81B4A" w:rsidRPr="00F662A7" w14:paraId="4F77BBB7" w14:textId="77777777" w:rsidTr="00C00964">
        <w:trPr>
          <w:trHeight w:val="908"/>
        </w:trPr>
        <w:tc>
          <w:tcPr>
            <w:tcW w:w="1980" w:type="dxa"/>
            <w:vAlign w:val="center"/>
          </w:tcPr>
          <w:p w14:paraId="4B5A0C7D"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Male(N=100)</w:t>
            </w:r>
          </w:p>
          <w:p w14:paraId="589DEFF9"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LM=X</w:t>
            </w:r>
            <w:r w:rsidRPr="00F662A7">
              <w:rPr>
                <w:rFonts w:ascii="Times New Roman" w:hAnsi="Times New Roman" w:cs="Times New Roman"/>
                <w:sz w:val="21"/>
                <w:szCs w:val="21"/>
                <w:vertAlign w:val="subscript"/>
              </w:rPr>
              <w:t>1</w:t>
            </w:r>
          </w:p>
        </w:tc>
        <w:tc>
          <w:tcPr>
            <w:tcW w:w="1696" w:type="dxa"/>
            <w:vAlign w:val="center"/>
          </w:tcPr>
          <w:p w14:paraId="3E0C181F"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0.34</w:t>
            </w:r>
          </w:p>
        </w:tc>
        <w:tc>
          <w:tcPr>
            <w:tcW w:w="1606" w:type="dxa"/>
            <w:vAlign w:val="center"/>
          </w:tcPr>
          <w:p w14:paraId="71062FFB"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0.11</w:t>
            </w:r>
          </w:p>
        </w:tc>
        <w:tc>
          <w:tcPr>
            <w:tcW w:w="1212" w:type="dxa"/>
            <w:vAlign w:val="center"/>
          </w:tcPr>
          <w:p w14:paraId="156B9E68"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0.0005</w:t>
            </w:r>
          </w:p>
        </w:tc>
        <w:tc>
          <w:tcPr>
            <w:tcW w:w="2522" w:type="dxa"/>
            <w:vAlign w:val="center"/>
          </w:tcPr>
          <w:p w14:paraId="5CA8B6C0"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3.007*X</w:t>
            </w:r>
            <w:r w:rsidRPr="00F662A7">
              <w:rPr>
                <w:rFonts w:ascii="Times New Roman" w:hAnsi="Times New Roman" w:cs="Times New Roman"/>
                <w:sz w:val="21"/>
                <w:szCs w:val="21"/>
                <w:vertAlign w:val="subscript"/>
              </w:rPr>
              <w:t>1</w:t>
            </w:r>
            <w:r w:rsidRPr="00F662A7">
              <w:rPr>
                <w:rFonts w:ascii="Times New Roman" w:hAnsi="Times New Roman" w:cs="Times New Roman"/>
                <w:sz w:val="21"/>
                <w:szCs w:val="21"/>
              </w:rPr>
              <w:t xml:space="preserve"> + 148.7</w:t>
            </w:r>
          </w:p>
        </w:tc>
      </w:tr>
      <w:tr w:rsidR="00F81B4A" w:rsidRPr="00F662A7" w14:paraId="070137E0" w14:textId="77777777" w:rsidTr="00C00964">
        <w:trPr>
          <w:trHeight w:val="440"/>
        </w:trPr>
        <w:tc>
          <w:tcPr>
            <w:tcW w:w="1980" w:type="dxa"/>
            <w:vAlign w:val="center"/>
          </w:tcPr>
          <w:p w14:paraId="3F693EC3"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LMS=X</w:t>
            </w:r>
            <w:r w:rsidRPr="00F662A7">
              <w:rPr>
                <w:rFonts w:ascii="Times New Roman" w:hAnsi="Times New Roman" w:cs="Times New Roman"/>
                <w:sz w:val="21"/>
                <w:szCs w:val="21"/>
                <w:vertAlign w:val="subscript"/>
              </w:rPr>
              <w:t>2</w:t>
            </w:r>
          </w:p>
        </w:tc>
        <w:tc>
          <w:tcPr>
            <w:tcW w:w="1696" w:type="dxa"/>
            <w:vAlign w:val="center"/>
          </w:tcPr>
          <w:p w14:paraId="43998C2A"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0.36</w:t>
            </w:r>
          </w:p>
        </w:tc>
        <w:tc>
          <w:tcPr>
            <w:tcW w:w="1606" w:type="dxa"/>
            <w:shd w:val="clear" w:color="auto" w:fill="auto"/>
            <w:vAlign w:val="center"/>
          </w:tcPr>
          <w:p w14:paraId="74A3127A"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0.13</w:t>
            </w:r>
          </w:p>
        </w:tc>
        <w:tc>
          <w:tcPr>
            <w:tcW w:w="1212" w:type="dxa"/>
            <w:shd w:val="clear" w:color="auto" w:fill="auto"/>
            <w:vAlign w:val="center"/>
          </w:tcPr>
          <w:p w14:paraId="2F08CFC0"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0.0002</w:t>
            </w:r>
          </w:p>
        </w:tc>
        <w:tc>
          <w:tcPr>
            <w:tcW w:w="2522" w:type="dxa"/>
            <w:shd w:val="clear" w:color="auto" w:fill="auto"/>
            <w:vAlign w:val="center"/>
          </w:tcPr>
          <w:p w14:paraId="0016D54A"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2.529*X</w:t>
            </w:r>
            <w:r w:rsidRPr="00F662A7">
              <w:rPr>
                <w:rFonts w:ascii="Times New Roman" w:hAnsi="Times New Roman" w:cs="Times New Roman"/>
                <w:sz w:val="21"/>
                <w:szCs w:val="21"/>
                <w:vertAlign w:val="subscript"/>
              </w:rPr>
              <w:t>2</w:t>
            </w:r>
            <w:r w:rsidRPr="00F662A7">
              <w:rPr>
                <w:rFonts w:ascii="Times New Roman" w:hAnsi="Times New Roman" w:cs="Times New Roman"/>
                <w:sz w:val="21"/>
                <w:szCs w:val="21"/>
              </w:rPr>
              <w:t xml:space="preserve"> + 136.6</w:t>
            </w:r>
          </w:p>
        </w:tc>
      </w:tr>
      <w:tr w:rsidR="00F81B4A" w:rsidRPr="00F662A7" w14:paraId="46AE9CF9" w14:textId="77777777" w:rsidTr="00C00964">
        <w:trPr>
          <w:trHeight w:val="440"/>
        </w:trPr>
        <w:tc>
          <w:tcPr>
            <w:tcW w:w="1980" w:type="dxa"/>
            <w:vAlign w:val="center"/>
          </w:tcPr>
          <w:p w14:paraId="54C9447F"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TSL=X</w:t>
            </w:r>
            <w:r w:rsidRPr="00F662A7">
              <w:rPr>
                <w:rFonts w:ascii="Times New Roman" w:hAnsi="Times New Roman" w:cs="Times New Roman"/>
                <w:sz w:val="21"/>
                <w:szCs w:val="21"/>
                <w:vertAlign w:val="subscript"/>
              </w:rPr>
              <w:t>3</w:t>
            </w:r>
          </w:p>
        </w:tc>
        <w:tc>
          <w:tcPr>
            <w:tcW w:w="1696" w:type="dxa"/>
            <w:shd w:val="clear" w:color="auto" w:fill="auto"/>
            <w:vAlign w:val="center"/>
          </w:tcPr>
          <w:p w14:paraId="4855A581"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0.44</w:t>
            </w:r>
          </w:p>
        </w:tc>
        <w:tc>
          <w:tcPr>
            <w:tcW w:w="1606" w:type="dxa"/>
            <w:shd w:val="clear" w:color="auto" w:fill="auto"/>
            <w:vAlign w:val="center"/>
          </w:tcPr>
          <w:p w14:paraId="18BB26AC"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0.19</w:t>
            </w:r>
          </w:p>
        </w:tc>
        <w:tc>
          <w:tcPr>
            <w:tcW w:w="1212" w:type="dxa"/>
            <w:shd w:val="clear" w:color="auto" w:fill="auto"/>
            <w:vAlign w:val="center"/>
          </w:tcPr>
          <w:p w14:paraId="5EC76209"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&lt; 0.0001</w:t>
            </w:r>
          </w:p>
        </w:tc>
        <w:tc>
          <w:tcPr>
            <w:tcW w:w="2522" w:type="dxa"/>
            <w:shd w:val="clear" w:color="auto" w:fill="auto"/>
            <w:vAlign w:val="center"/>
          </w:tcPr>
          <w:p w14:paraId="2208CD09"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2.127*X</w:t>
            </w:r>
            <w:r w:rsidRPr="00F662A7">
              <w:rPr>
                <w:rFonts w:ascii="Times New Roman" w:hAnsi="Times New Roman" w:cs="Times New Roman"/>
                <w:sz w:val="21"/>
                <w:szCs w:val="21"/>
                <w:vertAlign w:val="subscript"/>
              </w:rPr>
              <w:t>3</w:t>
            </w:r>
            <w:r w:rsidRPr="00F662A7">
              <w:rPr>
                <w:rFonts w:ascii="Times New Roman" w:hAnsi="Times New Roman" w:cs="Times New Roman"/>
                <w:sz w:val="21"/>
                <w:szCs w:val="21"/>
              </w:rPr>
              <w:t xml:space="preserve"> + 131.0</w:t>
            </w:r>
          </w:p>
        </w:tc>
      </w:tr>
      <w:tr w:rsidR="00F81B4A" w:rsidRPr="00F662A7" w14:paraId="5D027D3C" w14:textId="77777777" w:rsidTr="00C00964">
        <w:trPr>
          <w:trHeight w:val="880"/>
        </w:trPr>
        <w:tc>
          <w:tcPr>
            <w:tcW w:w="1980" w:type="dxa"/>
            <w:vAlign w:val="center"/>
          </w:tcPr>
          <w:p w14:paraId="33C8D9F8"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Female(N=100)</w:t>
            </w:r>
          </w:p>
          <w:p w14:paraId="3B5ECCF2"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LM=X</w:t>
            </w:r>
            <w:r w:rsidRPr="00F662A7">
              <w:rPr>
                <w:rFonts w:ascii="Times New Roman" w:hAnsi="Times New Roman" w:cs="Times New Roman"/>
                <w:sz w:val="21"/>
                <w:szCs w:val="21"/>
                <w:vertAlign w:val="subscript"/>
              </w:rPr>
              <w:t>4</w:t>
            </w:r>
          </w:p>
        </w:tc>
        <w:tc>
          <w:tcPr>
            <w:tcW w:w="1696" w:type="dxa"/>
            <w:shd w:val="clear" w:color="auto" w:fill="auto"/>
            <w:vAlign w:val="center"/>
          </w:tcPr>
          <w:p w14:paraId="3EE92F30"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0.38</w:t>
            </w:r>
          </w:p>
        </w:tc>
        <w:tc>
          <w:tcPr>
            <w:tcW w:w="1606" w:type="dxa"/>
            <w:shd w:val="clear" w:color="auto" w:fill="auto"/>
            <w:vAlign w:val="center"/>
          </w:tcPr>
          <w:p w14:paraId="12C42506"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0.14</w:t>
            </w:r>
          </w:p>
        </w:tc>
        <w:tc>
          <w:tcPr>
            <w:tcW w:w="1212" w:type="dxa"/>
            <w:shd w:val="clear" w:color="auto" w:fill="auto"/>
            <w:vAlign w:val="center"/>
          </w:tcPr>
          <w:p w14:paraId="09CD0FD4"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&lt; 0.0001</w:t>
            </w:r>
          </w:p>
        </w:tc>
        <w:tc>
          <w:tcPr>
            <w:tcW w:w="2522" w:type="dxa"/>
            <w:shd w:val="clear" w:color="auto" w:fill="auto"/>
            <w:vAlign w:val="center"/>
          </w:tcPr>
          <w:p w14:paraId="1AE4F7C8"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3.202*X</w:t>
            </w:r>
            <w:r w:rsidRPr="00F662A7">
              <w:rPr>
                <w:rFonts w:ascii="Times New Roman" w:hAnsi="Times New Roman" w:cs="Times New Roman"/>
                <w:sz w:val="21"/>
                <w:szCs w:val="21"/>
                <w:vertAlign w:val="subscript"/>
              </w:rPr>
              <w:t>4</w:t>
            </w:r>
            <w:r w:rsidRPr="00F662A7">
              <w:rPr>
                <w:rFonts w:ascii="Times New Roman" w:hAnsi="Times New Roman" w:cs="Times New Roman"/>
                <w:sz w:val="21"/>
                <w:szCs w:val="21"/>
              </w:rPr>
              <w:t xml:space="preserve"> + 140.4</w:t>
            </w:r>
          </w:p>
        </w:tc>
      </w:tr>
      <w:tr w:rsidR="00F81B4A" w:rsidRPr="00F662A7" w14:paraId="3673E7DF" w14:textId="77777777" w:rsidTr="00C00964">
        <w:trPr>
          <w:trHeight w:val="440"/>
        </w:trPr>
        <w:tc>
          <w:tcPr>
            <w:tcW w:w="1980" w:type="dxa"/>
            <w:vAlign w:val="center"/>
          </w:tcPr>
          <w:p w14:paraId="438B4EDF"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LMS=X</w:t>
            </w:r>
            <w:r w:rsidRPr="00F662A7">
              <w:rPr>
                <w:rFonts w:ascii="Times New Roman" w:hAnsi="Times New Roman" w:cs="Times New Roman"/>
                <w:sz w:val="21"/>
                <w:szCs w:val="21"/>
                <w:vertAlign w:val="subscript"/>
              </w:rPr>
              <w:t>5</w:t>
            </w:r>
          </w:p>
        </w:tc>
        <w:tc>
          <w:tcPr>
            <w:tcW w:w="1696" w:type="dxa"/>
            <w:shd w:val="clear" w:color="auto" w:fill="auto"/>
            <w:vAlign w:val="center"/>
          </w:tcPr>
          <w:p w14:paraId="525DA650"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0.27</w:t>
            </w:r>
          </w:p>
        </w:tc>
        <w:tc>
          <w:tcPr>
            <w:tcW w:w="1606" w:type="dxa"/>
            <w:shd w:val="clear" w:color="auto" w:fill="auto"/>
            <w:vAlign w:val="center"/>
          </w:tcPr>
          <w:p w14:paraId="6DC23B14"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0.07</w:t>
            </w:r>
          </w:p>
        </w:tc>
        <w:tc>
          <w:tcPr>
            <w:tcW w:w="1212" w:type="dxa"/>
            <w:shd w:val="clear" w:color="auto" w:fill="auto"/>
            <w:vAlign w:val="center"/>
          </w:tcPr>
          <w:p w14:paraId="4F615D4F"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0.0061</w:t>
            </w:r>
          </w:p>
        </w:tc>
        <w:tc>
          <w:tcPr>
            <w:tcW w:w="2522" w:type="dxa"/>
            <w:shd w:val="clear" w:color="auto" w:fill="auto"/>
            <w:vAlign w:val="center"/>
          </w:tcPr>
          <w:p w14:paraId="65458107"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1.799*X</w:t>
            </w:r>
            <w:r w:rsidRPr="00F662A7">
              <w:rPr>
                <w:rFonts w:ascii="Times New Roman" w:hAnsi="Times New Roman" w:cs="Times New Roman"/>
                <w:sz w:val="21"/>
                <w:szCs w:val="21"/>
                <w:vertAlign w:val="subscript"/>
              </w:rPr>
              <w:t>5</w:t>
            </w:r>
            <w:r w:rsidRPr="00F662A7">
              <w:rPr>
                <w:rFonts w:ascii="Times New Roman" w:hAnsi="Times New Roman" w:cs="Times New Roman"/>
                <w:sz w:val="21"/>
                <w:szCs w:val="21"/>
              </w:rPr>
              <w:t xml:space="preserve"> + 136.0</w:t>
            </w:r>
          </w:p>
        </w:tc>
      </w:tr>
      <w:tr w:rsidR="00F81B4A" w:rsidRPr="00F662A7" w14:paraId="4A444809" w14:textId="77777777" w:rsidTr="00C00964">
        <w:trPr>
          <w:trHeight w:val="440"/>
        </w:trPr>
        <w:tc>
          <w:tcPr>
            <w:tcW w:w="1980" w:type="dxa"/>
            <w:vAlign w:val="center"/>
          </w:tcPr>
          <w:p w14:paraId="1793394B"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TSL=X</w:t>
            </w:r>
            <w:r w:rsidRPr="00F662A7">
              <w:rPr>
                <w:rFonts w:ascii="Times New Roman" w:hAnsi="Times New Roman" w:cs="Times New Roman"/>
                <w:sz w:val="21"/>
                <w:szCs w:val="21"/>
                <w:vertAlign w:val="subscript"/>
              </w:rPr>
              <w:t>6</w:t>
            </w:r>
          </w:p>
        </w:tc>
        <w:tc>
          <w:tcPr>
            <w:tcW w:w="1696" w:type="dxa"/>
            <w:shd w:val="clear" w:color="auto" w:fill="auto"/>
            <w:vAlign w:val="center"/>
          </w:tcPr>
          <w:p w14:paraId="0609BF93"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0.46</w:t>
            </w:r>
          </w:p>
        </w:tc>
        <w:tc>
          <w:tcPr>
            <w:tcW w:w="1606" w:type="dxa"/>
            <w:shd w:val="clear" w:color="auto" w:fill="auto"/>
            <w:vAlign w:val="center"/>
          </w:tcPr>
          <w:p w14:paraId="3F072F43"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0.21</w:t>
            </w:r>
          </w:p>
        </w:tc>
        <w:tc>
          <w:tcPr>
            <w:tcW w:w="1212" w:type="dxa"/>
            <w:shd w:val="clear" w:color="auto" w:fill="auto"/>
            <w:vAlign w:val="center"/>
          </w:tcPr>
          <w:p w14:paraId="11ACF469"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&lt; 0.0001</w:t>
            </w:r>
          </w:p>
        </w:tc>
        <w:tc>
          <w:tcPr>
            <w:tcW w:w="2522" w:type="dxa"/>
            <w:shd w:val="clear" w:color="auto" w:fill="auto"/>
            <w:vAlign w:val="center"/>
          </w:tcPr>
          <w:p w14:paraId="3329162B"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2.498*X</w:t>
            </w:r>
            <w:r w:rsidRPr="00F662A7">
              <w:rPr>
                <w:rFonts w:ascii="Times New Roman" w:hAnsi="Times New Roman" w:cs="Times New Roman"/>
                <w:sz w:val="21"/>
                <w:szCs w:val="21"/>
                <w:vertAlign w:val="subscript"/>
              </w:rPr>
              <w:t>6</w:t>
            </w:r>
            <w:r w:rsidRPr="00F662A7">
              <w:rPr>
                <w:rFonts w:ascii="Times New Roman" w:hAnsi="Times New Roman" w:cs="Times New Roman"/>
                <w:sz w:val="21"/>
                <w:szCs w:val="21"/>
              </w:rPr>
              <w:t xml:space="preserve"> + 118.4</w:t>
            </w:r>
          </w:p>
        </w:tc>
      </w:tr>
      <w:tr w:rsidR="00F81B4A" w:rsidRPr="00F662A7" w14:paraId="049E82A5" w14:textId="77777777" w:rsidTr="00C00964">
        <w:trPr>
          <w:trHeight w:val="685"/>
        </w:trPr>
        <w:tc>
          <w:tcPr>
            <w:tcW w:w="1980" w:type="dxa"/>
            <w:vAlign w:val="center"/>
          </w:tcPr>
          <w:p w14:paraId="388C67FF"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Total(N=200)</w:t>
            </w:r>
          </w:p>
          <w:p w14:paraId="7D7E7C99"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LM=X</w:t>
            </w:r>
            <w:r w:rsidRPr="00F662A7">
              <w:rPr>
                <w:rFonts w:ascii="Times New Roman" w:hAnsi="Times New Roman" w:cs="Times New Roman"/>
                <w:sz w:val="21"/>
                <w:szCs w:val="21"/>
                <w:vertAlign w:val="subscript"/>
              </w:rPr>
              <w:t>7</w:t>
            </w:r>
          </w:p>
        </w:tc>
        <w:tc>
          <w:tcPr>
            <w:tcW w:w="1696" w:type="dxa"/>
            <w:shd w:val="clear" w:color="auto" w:fill="auto"/>
            <w:vAlign w:val="center"/>
          </w:tcPr>
          <w:p w14:paraId="787EE70D"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0.39</w:t>
            </w:r>
          </w:p>
        </w:tc>
        <w:tc>
          <w:tcPr>
            <w:tcW w:w="1606" w:type="dxa"/>
            <w:shd w:val="clear" w:color="auto" w:fill="auto"/>
            <w:vAlign w:val="center"/>
          </w:tcPr>
          <w:p w14:paraId="3772C619"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0.15</w:t>
            </w:r>
          </w:p>
        </w:tc>
        <w:tc>
          <w:tcPr>
            <w:tcW w:w="1212" w:type="dxa"/>
            <w:shd w:val="clear" w:color="auto" w:fill="auto"/>
            <w:vAlign w:val="center"/>
          </w:tcPr>
          <w:p w14:paraId="492687F8"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&lt; 0.0001</w:t>
            </w:r>
          </w:p>
        </w:tc>
        <w:tc>
          <w:tcPr>
            <w:tcW w:w="2522" w:type="dxa"/>
            <w:shd w:val="clear" w:color="auto" w:fill="auto"/>
            <w:vAlign w:val="center"/>
          </w:tcPr>
          <w:p w14:paraId="663B1B98"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4.070*X</w:t>
            </w:r>
            <w:r w:rsidRPr="00F662A7">
              <w:rPr>
                <w:rFonts w:ascii="Times New Roman" w:hAnsi="Times New Roman" w:cs="Times New Roman"/>
                <w:sz w:val="21"/>
                <w:szCs w:val="21"/>
                <w:vertAlign w:val="subscript"/>
              </w:rPr>
              <w:t>7</w:t>
            </w:r>
            <w:r w:rsidRPr="00F662A7">
              <w:rPr>
                <w:rFonts w:ascii="Times New Roman" w:hAnsi="Times New Roman" w:cs="Times New Roman"/>
                <w:sz w:val="21"/>
                <w:szCs w:val="21"/>
              </w:rPr>
              <w:t xml:space="preserve"> + 140.3</w:t>
            </w:r>
          </w:p>
        </w:tc>
      </w:tr>
      <w:tr w:rsidR="00F81B4A" w:rsidRPr="00F662A7" w14:paraId="42402FE4" w14:textId="77777777" w:rsidTr="00C00964">
        <w:trPr>
          <w:trHeight w:val="440"/>
        </w:trPr>
        <w:tc>
          <w:tcPr>
            <w:tcW w:w="1980" w:type="dxa"/>
            <w:vAlign w:val="center"/>
          </w:tcPr>
          <w:p w14:paraId="5006A10C"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LMS=X</w:t>
            </w:r>
            <w:r w:rsidRPr="00F662A7">
              <w:rPr>
                <w:rFonts w:ascii="Times New Roman" w:hAnsi="Times New Roman" w:cs="Times New Roman"/>
                <w:sz w:val="21"/>
                <w:szCs w:val="21"/>
                <w:vertAlign w:val="subscript"/>
              </w:rPr>
              <w:t>8</w:t>
            </w:r>
          </w:p>
        </w:tc>
        <w:tc>
          <w:tcPr>
            <w:tcW w:w="1696" w:type="dxa"/>
            <w:shd w:val="clear" w:color="auto" w:fill="auto"/>
            <w:vAlign w:val="center"/>
          </w:tcPr>
          <w:p w14:paraId="295D308A"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0.31</w:t>
            </w:r>
          </w:p>
        </w:tc>
        <w:tc>
          <w:tcPr>
            <w:tcW w:w="1606" w:type="dxa"/>
            <w:shd w:val="clear" w:color="auto" w:fill="auto"/>
            <w:vAlign w:val="center"/>
          </w:tcPr>
          <w:p w14:paraId="771BD62D"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0.09</w:t>
            </w:r>
          </w:p>
        </w:tc>
        <w:tc>
          <w:tcPr>
            <w:tcW w:w="1212" w:type="dxa"/>
            <w:shd w:val="clear" w:color="auto" w:fill="auto"/>
            <w:vAlign w:val="center"/>
          </w:tcPr>
          <w:p w14:paraId="01F47775"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&lt; 0.0001</w:t>
            </w:r>
          </w:p>
        </w:tc>
        <w:tc>
          <w:tcPr>
            <w:tcW w:w="2522" w:type="dxa"/>
            <w:shd w:val="clear" w:color="auto" w:fill="auto"/>
            <w:vAlign w:val="center"/>
          </w:tcPr>
          <w:p w14:paraId="1A9787C4"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2.578*X</w:t>
            </w:r>
            <w:r w:rsidRPr="00F662A7">
              <w:rPr>
                <w:rFonts w:ascii="Times New Roman" w:hAnsi="Times New Roman" w:cs="Times New Roman"/>
                <w:sz w:val="21"/>
                <w:szCs w:val="21"/>
                <w:vertAlign w:val="subscript"/>
              </w:rPr>
              <w:t>8</w:t>
            </w:r>
            <w:r w:rsidRPr="00F662A7">
              <w:rPr>
                <w:rFonts w:ascii="Times New Roman" w:hAnsi="Times New Roman" w:cs="Times New Roman"/>
                <w:sz w:val="21"/>
                <w:szCs w:val="21"/>
              </w:rPr>
              <w:t xml:space="preserve"> + 132.1</w:t>
            </w:r>
          </w:p>
        </w:tc>
      </w:tr>
      <w:tr w:rsidR="00F81B4A" w:rsidRPr="00F662A7" w14:paraId="537AC3D4" w14:textId="77777777" w:rsidTr="00C00964">
        <w:trPr>
          <w:trHeight w:val="440"/>
        </w:trPr>
        <w:tc>
          <w:tcPr>
            <w:tcW w:w="1980" w:type="dxa"/>
            <w:vAlign w:val="center"/>
          </w:tcPr>
          <w:p w14:paraId="337A0576" w14:textId="77777777" w:rsidR="00F81B4A" w:rsidRPr="00F662A7" w:rsidRDefault="00F81B4A" w:rsidP="00F81B4A">
            <w:pPr>
              <w:spacing w:after="160" w:line="259" w:lineRule="auto"/>
              <w:rPr>
                <w:rFonts w:ascii="Times New Roman" w:hAnsi="Times New Roman" w:cs="Times New Roman"/>
                <w:sz w:val="21"/>
                <w:szCs w:val="21"/>
                <w:vertAlign w:val="subscript"/>
              </w:rPr>
            </w:pPr>
            <w:r w:rsidRPr="00F662A7">
              <w:rPr>
                <w:rFonts w:ascii="Times New Roman" w:hAnsi="Times New Roman" w:cs="Times New Roman"/>
                <w:sz w:val="21"/>
                <w:szCs w:val="21"/>
              </w:rPr>
              <w:t>TSL=X</w:t>
            </w:r>
            <w:r w:rsidRPr="00F662A7">
              <w:rPr>
                <w:rFonts w:ascii="Times New Roman" w:hAnsi="Times New Roman" w:cs="Times New Roman"/>
                <w:sz w:val="21"/>
                <w:szCs w:val="21"/>
                <w:vertAlign w:val="subscript"/>
              </w:rPr>
              <w:t>9</w:t>
            </w:r>
          </w:p>
        </w:tc>
        <w:tc>
          <w:tcPr>
            <w:tcW w:w="1696" w:type="dxa"/>
            <w:shd w:val="clear" w:color="auto" w:fill="auto"/>
            <w:vAlign w:val="center"/>
          </w:tcPr>
          <w:p w14:paraId="6B304C38"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0.46</w:t>
            </w:r>
          </w:p>
        </w:tc>
        <w:tc>
          <w:tcPr>
            <w:tcW w:w="1606" w:type="dxa"/>
            <w:shd w:val="clear" w:color="auto" w:fill="auto"/>
            <w:vAlign w:val="center"/>
          </w:tcPr>
          <w:p w14:paraId="36E8DDB5"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0.22</w:t>
            </w:r>
          </w:p>
        </w:tc>
        <w:tc>
          <w:tcPr>
            <w:tcW w:w="1212" w:type="dxa"/>
            <w:shd w:val="clear" w:color="auto" w:fill="auto"/>
            <w:vAlign w:val="center"/>
          </w:tcPr>
          <w:p w14:paraId="1E8E28D2"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&lt; 0.0001</w:t>
            </w:r>
          </w:p>
        </w:tc>
        <w:tc>
          <w:tcPr>
            <w:tcW w:w="2522" w:type="dxa"/>
            <w:shd w:val="clear" w:color="auto" w:fill="auto"/>
            <w:vAlign w:val="center"/>
          </w:tcPr>
          <w:p w14:paraId="4EC0BF61"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2.806*X</w:t>
            </w:r>
            <w:r w:rsidRPr="00F662A7">
              <w:rPr>
                <w:rFonts w:ascii="Times New Roman" w:hAnsi="Times New Roman" w:cs="Times New Roman"/>
                <w:sz w:val="21"/>
                <w:szCs w:val="21"/>
                <w:vertAlign w:val="subscript"/>
              </w:rPr>
              <w:t>9</w:t>
            </w:r>
            <w:r w:rsidRPr="00F662A7">
              <w:rPr>
                <w:rFonts w:ascii="Times New Roman" w:hAnsi="Times New Roman" w:cs="Times New Roman"/>
                <w:sz w:val="21"/>
                <w:szCs w:val="21"/>
              </w:rPr>
              <w:t xml:space="preserve"> + 117.5</w:t>
            </w:r>
          </w:p>
        </w:tc>
      </w:tr>
    </w:tbl>
    <w:p w14:paraId="7D06C235" w14:textId="77777777" w:rsidR="00F81B4A" w:rsidRPr="00F662A7" w:rsidRDefault="00F81B4A" w:rsidP="00E37B77">
      <w:pPr>
        <w:rPr>
          <w:rFonts w:ascii="Times New Roman" w:hAnsi="Times New Roman" w:cs="Times New Roman"/>
          <w:sz w:val="21"/>
          <w:szCs w:val="21"/>
        </w:rPr>
      </w:pPr>
    </w:p>
    <w:p w14:paraId="38BFB48F" w14:textId="738E9231" w:rsidR="00E37B77" w:rsidRPr="00F662A7" w:rsidRDefault="00F81B4A" w:rsidP="00E37B77">
      <w:pPr>
        <w:rPr>
          <w:rFonts w:ascii="Times New Roman" w:hAnsi="Times New Roman" w:cs="Times New Roman"/>
          <w:sz w:val="21"/>
          <w:szCs w:val="21"/>
        </w:rPr>
      </w:pPr>
      <w:r w:rsidRPr="00F662A7">
        <w:rPr>
          <w:rFonts w:ascii="Times New Roman" w:hAnsi="Times New Roman" w:cs="Times New Roman"/>
          <w:sz w:val="21"/>
          <w:szCs w:val="21"/>
        </w:rPr>
        <w:lastRenderedPageBreak/>
        <w:t xml:space="preserve">Table no. </w:t>
      </w:r>
      <w:r w:rsidR="00F92917" w:rsidRPr="00F662A7">
        <w:rPr>
          <w:rFonts w:ascii="Times New Roman" w:hAnsi="Times New Roman" w:cs="Times New Roman"/>
          <w:sz w:val="21"/>
          <w:szCs w:val="21"/>
        </w:rPr>
        <w:t>3</w:t>
      </w:r>
      <w:r w:rsidRPr="00F662A7">
        <w:rPr>
          <w:rFonts w:ascii="Times New Roman" w:hAnsi="Times New Roman" w:cs="Times New Roman"/>
          <w:sz w:val="21"/>
          <w:szCs w:val="21"/>
        </w:rPr>
        <w:t xml:space="preserve"> Multiple linear regression equation to estimate stature.</w:t>
      </w:r>
    </w:p>
    <w:tbl>
      <w:tblPr>
        <w:tblStyle w:val="TableGrid"/>
        <w:tblW w:w="0" w:type="auto"/>
        <w:tblLook w:val="04A0" w:firstRow="1" w:lastRow="0" w:firstColumn="1" w:lastColumn="0" w:noHBand="0" w:noVBand="1"/>
      </w:tblPr>
      <w:tblGrid>
        <w:gridCol w:w="1596"/>
        <w:gridCol w:w="1627"/>
        <w:gridCol w:w="5793"/>
      </w:tblGrid>
      <w:tr w:rsidR="00F81B4A" w:rsidRPr="00F662A7" w14:paraId="2F65A108" w14:textId="77777777" w:rsidTr="00C00964">
        <w:trPr>
          <w:trHeight w:val="721"/>
        </w:trPr>
        <w:tc>
          <w:tcPr>
            <w:tcW w:w="1302" w:type="dxa"/>
          </w:tcPr>
          <w:p w14:paraId="4C77A43D" w14:textId="77777777" w:rsidR="00F81B4A" w:rsidRPr="00F662A7" w:rsidRDefault="00F81B4A" w:rsidP="00F81B4A">
            <w:pPr>
              <w:spacing w:after="160" w:line="259" w:lineRule="auto"/>
              <w:rPr>
                <w:rFonts w:ascii="Times New Roman" w:hAnsi="Times New Roman" w:cs="Times New Roman"/>
                <w:sz w:val="21"/>
                <w:szCs w:val="21"/>
              </w:rPr>
            </w:pPr>
          </w:p>
        </w:tc>
        <w:tc>
          <w:tcPr>
            <w:tcW w:w="1659" w:type="dxa"/>
          </w:tcPr>
          <w:p w14:paraId="24E49632"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b/>
                <w:bCs/>
                <w:sz w:val="21"/>
                <w:szCs w:val="21"/>
              </w:rPr>
              <w:t>Variance (R</w:t>
            </w:r>
            <w:r w:rsidRPr="00F662A7">
              <w:rPr>
                <w:rFonts w:ascii="Times New Roman" w:hAnsi="Times New Roman" w:cs="Times New Roman"/>
                <w:b/>
                <w:bCs/>
                <w:sz w:val="21"/>
                <w:szCs w:val="21"/>
                <w:vertAlign w:val="superscript"/>
              </w:rPr>
              <w:t>2</w:t>
            </w:r>
            <w:r w:rsidRPr="00F662A7">
              <w:rPr>
                <w:rFonts w:ascii="Times New Roman" w:hAnsi="Times New Roman" w:cs="Times New Roman"/>
                <w:b/>
                <w:bCs/>
                <w:sz w:val="21"/>
                <w:szCs w:val="21"/>
              </w:rPr>
              <w:t>)</w:t>
            </w:r>
          </w:p>
        </w:tc>
        <w:tc>
          <w:tcPr>
            <w:tcW w:w="6038" w:type="dxa"/>
          </w:tcPr>
          <w:p w14:paraId="7062D46D"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b/>
                <w:bCs/>
                <w:sz w:val="21"/>
                <w:szCs w:val="21"/>
              </w:rPr>
              <w:t>Multiple Linear regression equation</w:t>
            </w:r>
            <w:r w:rsidRPr="00F662A7">
              <w:rPr>
                <w:rFonts w:ascii="Times New Roman" w:hAnsi="Times New Roman" w:cs="Times New Roman"/>
                <w:sz w:val="21"/>
                <w:szCs w:val="21"/>
              </w:rPr>
              <w:t xml:space="preserve"> </w:t>
            </w:r>
          </w:p>
          <w:p w14:paraId="1A7C58C1"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w:t>
            </w:r>
            <w:r w:rsidRPr="00F662A7">
              <w:rPr>
                <w:rFonts w:ascii="Times New Roman" w:hAnsi="Times New Roman" w:cs="Times New Roman"/>
                <w:b/>
                <w:bCs/>
                <w:sz w:val="21"/>
                <w:szCs w:val="21"/>
              </w:rPr>
              <w:t>Y = Stature)</w:t>
            </w:r>
          </w:p>
        </w:tc>
      </w:tr>
      <w:tr w:rsidR="00F81B4A" w:rsidRPr="00F662A7" w14:paraId="5BCCD278" w14:textId="77777777" w:rsidTr="00C00964">
        <w:trPr>
          <w:trHeight w:val="371"/>
        </w:trPr>
        <w:tc>
          <w:tcPr>
            <w:tcW w:w="1302" w:type="dxa"/>
          </w:tcPr>
          <w:p w14:paraId="68DF7D3B" w14:textId="77777777" w:rsidR="00F81B4A" w:rsidRPr="00F662A7" w:rsidRDefault="00F81B4A" w:rsidP="00F81B4A">
            <w:pPr>
              <w:spacing w:after="160" w:line="259" w:lineRule="auto"/>
              <w:rPr>
                <w:rFonts w:ascii="Times New Roman" w:hAnsi="Times New Roman" w:cs="Times New Roman"/>
                <w:b/>
                <w:bCs/>
                <w:sz w:val="21"/>
                <w:szCs w:val="21"/>
              </w:rPr>
            </w:pPr>
            <w:bookmarkStart w:id="0" w:name="_Hlk175320529"/>
            <w:r w:rsidRPr="00F662A7">
              <w:rPr>
                <w:rFonts w:ascii="Times New Roman" w:hAnsi="Times New Roman" w:cs="Times New Roman"/>
                <w:b/>
                <w:bCs/>
                <w:sz w:val="21"/>
                <w:szCs w:val="21"/>
              </w:rPr>
              <w:t>Male(N=100)</w:t>
            </w:r>
          </w:p>
        </w:tc>
        <w:tc>
          <w:tcPr>
            <w:tcW w:w="1659" w:type="dxa"/>
          </w:tcPr>
          <w:p w14:paraId="60D42BA8"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0.20</w:t>
            </w:r>
          </w:p>
        </w:tc>
        <w:tc>
          <w:tcPr>
            <w:tcW w:w="6038" w:type="dxa"/>
          </w:tcPr>
          <w:p w14:paraId="469BA319"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131.38 + 2.03*TSL + 0.25*LM</w:t>
            </w:r>
          </w:p>
        </w:tc>
      </w:tr>
      <w:tr w:rsidR="00F81B4A" w:rsidRPr="00F662A7" w14:paraId="6F0E9CEA" w14:textId="77777777" w:rsidTr="00C00964">
        <w:trPr>
          <w:trHeight w:val="350"/>
        </w:trPr>
        <w:tc>
          <w:tcPr>
            <w:tcW w:w="1302" w:type="dxa"/>
          </w:tcPr>
          <w:p w14:paraId="5BB31E02"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Female(N=100)</w:t>
            </w:r>
          </w:p>
        </w:tc>
        <w:tc>
          <w:tcPr>
            <w:tcW w:w="1659" w:type="dxa"/>
          </w:tcPr>
          <w:p w14:paraId="01931975"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0.24</w:t>
            </w:r>
          </w:p>
        </w:tc>
        <w:tc>
          <w:tcPr>
            <w:tcW w:w="6038" w:type="dxa"/>
          </w:tcPr>
          <w:p w14:paraId="0344521C"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119.99 + 1.97*TSL + 1.39*LM</w:t>
            </w:r>
          </w:p>
        </w:tc>
      </w:tr>
      <w:tr w:rsidR="00F81B4A" w:rsidRPr="00F662A7" w14:paraId="33E5E680" w14:textId="77777777" w:rsidTr="00C00964">
        <w:trPr>
          <w:trHeight w:val="350"/>
        </w:trPr>
        <w:tc>
          <w:tcPr>
            <w:tcW w:w="1302" w:type="dxa"/>
          </w:tcPr>
          <w:p w14:paraId="1EA6B0CF" w14:textId="77777777" w:rsidR="00F81B4A" w:rsidRPr="00F662A7" w:rsidRDefault="00F81B4A" w:rsidP="00F81B4A">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Total(N=200)</w:t>
            </w:r>
          </w:p>
        </w:tc>
        <w:tc>
          <w:tcPr>
            <w:tcW w:w="1659" w:type="dxa"/>
          </w:tcPr>
          <w:p w14:paraId="7BD9C0CC"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0.23</w:t>
            </w:r>
          </w:p>
        </w:tc>
        <w:tc>
          <w:tcPr>
            <w:tcW w:w="6038" w:type="dxa"/>
          </w:tcPr>
          <w:p w14:paraId="6BC65CE0" w14:textId="77777777" w:rsidR="00F81B4A" w:rsidRPr="00F662A7" w:rsidRDefault="00F81B4A" w:rsidP="00F81B4A">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 = 119.69 + 2.20*TSL + 1.52*LM</w:t>
            </w:r>
          </w:p>
        </w:tc>
      </w:tr>
      <w:bookmarkEnd w:id="0"/>
    </w:tbl>
    <w:p w14:paraId="620BBA15" w14:textId="77777777" w:rsidR="00F81B4A" w:rsidRPr="00F662A7" w:rsidRDefault="00F81B4A" w:rsidP="00E37B77">
      <w:pPr>
        <w:rPr>
          <w:rFonts w:ascii="Times New Roman" w:hAnsi="Times New Roman" w:cs="Times New Roman"/>
          <w:sz w:val="21"/>
          <w:szCs w:val="21"/>
        </w:rPr>
      </w:pPr>
    </w:p>
    <w:p w14:paraId="4E0FA996" w14:textId="317A475E" w:rsidR="00F81B4A" w:rsidRPr="00F662A7" w:rsidRDefault="00F81B4A" w:rsidP="00E37B77">
      <w:pPr>
        <w:rPr>
          <w:rFonts w:ascii="Times New Roman" w:hAnsi="Times New Roman" w:cs="Times New Roman"/>
          <w:sz w:val="21"/>
          <w:szCs w:val="21"/>
        </w:rPr>
      </w:pPr>
      <w:r w:rsidRPr="00F662A7">
        <w:rPr>
          <w:rFonts w:ascii="Times New Roman" w:hAnsi="Times New Roman" w:cs="Times New Roman"/>
          <w:sz w:val="21"/>
          <w:szCs w:val="21"/>
        </w:rPr>
        <w:t>The multiple linear regression suggests that the reliability and accuracy of predicting the stature were high in males, total samples, and females respectively with using total sternal length and length of manubrium. This study is also useful when sex is not known.</w:t>
      </w:r>
    </w:p>
    <w:p w14:paraId="074EB366" w14:textId="77777777" w:rsidR="00DA6B0E" w:rsidRPr="00F662A7" w:rsidRDefault="00DA6B0E" w:rsidP="00DA6B0E">
      <w:pPr>
        <w:rPr>
          <w:rFonts w:ascii="Times New Roman" w:hAnsi="Times New Roman" w:cs="Times New Roman"/>
          <w:b/>
          <w:bCs/>
          <w:sz w:val="21"/>
          <w:szCs w:val="21"/>
        </w:rPr>
      </w:pPr>
      <w:r w:rsidRPr="00F662A7">
        <w:rPr>
          <w:rFonts w:ascii="Times New Roman" w:hAnsi="Times New Roman" w:cs="Times New Roman"/>
          <w:b/>
          <w:bCs/>
          <w:sz w:val="21"/>
          <w:szCs w:val="21"/>
        </w:rPr>
        <w:t>Discussion</w:t>
      </w:r>
    </w:p>
    <w:p w14:paraId="7144F4D8"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The present investigation was undertaken to evaluate the potential of sternal measurements in estimating stature within an adult Indian population, utilizing a sample of 200 medicolegal autopsy cases (comprising 100 males and 100 females). The findings reinforce the applicability of sternum-based anthropometry in forensic identification, particularly in cases where long bones are absent, damaged, or otherwise unsuitable for analysis.</w:t>
      </w:r>
    </w:p>
    <w:p w14:paraId="7D71E36C"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Statistical analysis revealed a moderate positive correlation between sternal dimensions and stature in both sexes. Pearson’s correlation coefficients were calculated as 0.34 for males and 0.46 for females, while the overall correlation for the combined sample was 0.44. These values suggest a consistent, albeit moderate, association between sternal length and stature, supporting the proposition that stature increases proportionately with sternal dimensions.</w:t>
      </w:r>
    </w:p>
    <w:p w14:paraId="152EA83D"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To enhance the predictive capacity of the model, sex-specific multiple linear regression equations were derived:</w:t>
      </w:r>
    </w:p>
    <w:p w14:paraId="39F8E555" w14:textId="77777777" w:rsidR="00DA6B0E" w:rsidRPr="00F662A7" w:rsidRDefault="00DA6B0E" w:rsidP="00DA6B0E">
      <w:pPr>
        <w:numPr>
          <w:ilvl w:val="0"/>
          <w:numId w:val="6"/>
        </w:numPr>
        <w:rPr>
          <w:rFonts w:ascii="Times New Roman" w:hAnsi="Times New Roman" w:cs="Times New Roman"/>
          <w:sz w:val="21"/>
          <w:szCs w:val="21"/>
        </w:rPr>
      </w:pPr>
      <w:r w:rsidRPr="00F662A7">
        <w:rPr>
          <w:rFonts w:ascii="Times New Roman" w:hAnsi="Times New Roman" w:cs="Times New Roman"/>
          <w:sz w:val="21"/>
          <w:szCs w:val="21"/>
        </w:rPr>
        <w:t>For males: Stature (Y) = 131.38 + 2.03(LM) + 0.25(LMS)</w:t>
      </w:r>
    </w:p>
    <w:p w14:paraId="1C82B80F" w14:textId="77777777" w:rsidR="00DA6B0E" w:rsidRPr="00F662A7" w:rsidRDefault="00DA6B0E" w:rsidP="00DA6B0E">
      <w:pPr>
        <w:numPr>
          <w:ilvl w:val="0"/>
          <w:numId w:val="6"/>
        </w:numPr>
        <w:rPr>
          <w:rFonts w:ascii="Times New Roman" w:hAnsi="Times New Roman" w:cs="Times New Roman"/>
          <w:sz w:val="21"/>
          <w:szCs w:val="21"/>
        </w:rPr>
      </w:pPr>
      <w:r w:rsidRPr="00F662A7">
        <w:rPr>
          <w:rFonts w:ascii="Times New Roman" w:hAnsi="Times New Roman" w:cs="Times New Roman"/>
          <w:sz w:val="21"/>
          <w:szCs w:val="21"/>
        </w:rPr>
        <w:t>For females: Stature (Y) = 119.99 + 1.97(LMS) + 1.39(TSL)</w:t>
      </w:r>
    </w:p>
    <w:p w14:paraId="5DDBEA8B"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These equations underscore the differential contribution of individual sternal components to stature estimation based on sex. The coefficient of determination (R²) for the total sample was 0.23, indicating that approximately 23% of the variability in stature could be accounted for by sternal measurements. While this denotes moderate predictive power, it remains of considerable forensic significance, particularly in circumstances involving fragmented, charred, or decomposed remains where traditional long bones are not accessible.</w:t>
      </w:r>
    </w:p>
    <w:p w14:paraId="58C1C131" w14:textId="289AD584"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A comparative assessment with prior studies across diverse populations reveals substantial inter-populational variability. For instance, Tumram et al. (2021) reported a markedly higher correlation (r = 0.911 in males; r = 0.883 in females) in an Indian population, suggesting enhanced predictive validity within that cohort. Conversely, studies by Singh et al. in North West India reported weaker associations (ranging from 0.191 to 0.318 in males, and 0.229 to 0.318 in females), thereby reflecting intra-national heterogeneity.</w:t>
      </w:r>
      <w:r w:rsidR="00F0638B" w:rsidRPr="00F662A7">
        <w:rPr>
          <w:rFonts w:ascii="Times New Roman" w:hAnsi="Times New Roman" w:cs="Times New Roman"/>
          <w:sz w:val="21"/>
          <w:szCs w:val="21"/>
        </w:rPr>
        <w:fldChar w:fldCharType="begin"/>
      </w:r>
      <w:r w:rsidR="00F0638B" w:rsidRPr="00F662A7">
        <w:rPr>
          <w:rFonts w:ascii="Times New Roman" w:hAnsi="Times New Roman" w:cs="Times New Roman"/>
          <w:sz w:val="21"/>
          <w:szCs w:val="21"/>
        </w:rPr>
        <w:instrText xml:space="preserve"> ADDIN ZOTERO_ITEM CSL_CITATION {"citationID":"14BrkXi5","properties":{"formattedCitation":"\\super 4,7\\nosupersub{}","plainCitation":"4,7","noteIndex":0},"citationItems":[{"id":202,"uris":["http://zotero.org/users/13259389/items/5N64IFZT"],"itemData":{"id":202,"type":"article-journal","abstract":"Nonmetric traits are quasi-continuous skeletal traits that cannot be measured, but are observed as ranks or scores. In the present study, 8 nonmetric traits of sternum were examined from 343 sternums collected from the autopsy cases. More males, particularly older subjects, had a mesosternal foramen. The frequency of mesosternal foramen, arch-shaped prominence on the manubrium and radial strips on mesosternum significantly increased but that of lateral projection of manubrium decreased in the 30+ year age-group (older individuals). The denticulate costal incisures were found mostly in females and younger subjects; however, the crescent incisures and arch shaped prominence of manubrium were noticed mainly in males and older subjects. Majority of subjects had 'deep and narrow' jugular notch and xiphi-sternum was 'bifid' or 'oblong' in males and 'small sized' in females and younger subjects. Xiphi-sternum was generally found absent in females and younger subjects. The different shapes of costal incisures, jugular notch and xiphoid process were found to have significant sex and age differences. The number of cases with fused elements significantly increased with advancing age in both sexes. The sternal elements' fusion showed a variable pattern and hence was not found to be a reliable criterion. Chi-square analysis revealed significant differences between two age-groups of individual sex in the distribution of 3 of the 8 nonmetric traits. Significant sex and age differences were noticed in the frequency of occurrence of mesosternal foramina between the younger and older age groups in both the sexes. The logistic regression analysis of the scores classified 73.8% sternums to their sex category and 70.0% sternums to their age-group. Though present findings may not be enough for absolute personal identification, these traits can still serve as important identification tools if antemortem radiographs/CT or MRI scans are available for comparisons, or help classify an unknown sternum to its sex or age category based on the morphological features discussed in present study.","container-title":"Forensic Science International","DOI":"10.1016/j.forsciint.2013.02.002","ISSN":"1872-6283","issue":"1-3","journalAbbreviation":"Forensic Sci Int","language":"eng","note":"PMID: 23453187","page":"181.e1-12","source":"PubMed","title":"Sex and age related non-metric variation of the human sternum in a Northwest Indian postmortem sample: a pilot study","title-short":"Sex and age related non-metric variation of the human sternum in a Northwest Indian postmortem sample","volume":"228","author":[{"family":"Singh","given":"Jagmahender"},{"family":"Pathak","given":"R. K."}],"issued":{"date-parts":[["2013",5,10]]}}},{"id":20,"uris":["http://zotero.org/users/13259389/items/SQ8Y4FWN"],"itemData":{"id":20,"type":"article-journal","abstract":"Stature estimation is one of the essential early steps during forensic investigation of human skeletal remains. The aim of the present study was to obtain a linear regression formula for estimating stature from sternal length of a central Indian population. The study includes 92 male cadavers brought for medico-legal autopsies. The linear regression equations were derived from manubrium, mesosternum and the total sternal length. The regression model provided a 95% confidence interval of ±14.8 cm and a correlation coefficient of 0.55. Compared with other studies, regression formulae based on the length of the sternum provided considerably larger standard errors than that based on long bone lengths. The study indicates that sternal length in relation with body stature shows a moderate positive correlation and relatively low reliability in estimating stature, and has limited forensic value.","container-title":"Medicine, Science, and the Law","DOI":"10.1177/0025802415595057","ISSN":"2042-1818","issue":"1","journalAbbreviation":"Med Sci Law","language":"eng","note":"PMID: 26209632","page":"46-52","source":"PubMed","title":"Estimation of height from the length of the sternum in an adult Indian population","volume":"56","author":[{"family":"Tumram","given":"Nilesh Keshav"},{"family":"Parchake","given":"Soniya Bhaurao"},{"family":"Bardale","given":"Rajesh Vaijnathrao"},{"family":"Dixit","given":"Pradeep Gangadhar"}],"issued":{"date-parts":[["2016",1]]}}}],"schema":"https://github.com/citation-style-language/schema/raw/master/csl-citation.json"} </w:instrText>
      </w:r>
      <w:r w:rsidR="00F0638B" w:rsidRPr="00F662A7">
        <w:rPr>
          <w:rFonts w:ascii="Times New Roman" w:hAnsi="Times New Roman" w:cs="Times New Roman"/>
          <w:sz w:val="21"/>
          <w:szCs w:val="21"/>
        </w:rPr>
        <w:fldChar w:fldCharType="separate"/>
      </w:r>
      <w:r w:rsidR="00F0638B" w:rsidRPr="00F662A7">
        <w:rPr>
          <w:rFonts w:ascii="Times New Roman" w:hAnsi="Times New Roman" w:cs="Times New Roman"/>
          <w:kern w:val="0"/>
          <w:sz w:val="21"/>
          <w:szCs w:val="21"/>
          <w:vertAlign w:val="superscript"/>
        </w:rPr>
        <w:t>4,7</w:t>
      </w:r>
      <w:r w:rsidR="00F0638B" w:rsidRPr="00F662A7">
        <w:rPr>
          <w:rFonts w:ascii="Times New Roman" w:hAnsi="Times New Roman" w:cs="Times New Roman"/>
          <w:sz w:val="21"/>
          <w:szCs w:val="21"/>
        </w:rPr>
        <w:fldChar w:fldCharType="end"/>
      </w:r>
    </w:p>
    <w:p w14:paraId="1C1D67D1" w14:textId="7D860094"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Research from South India, including studies by Menezes et al. and Ranjith et al., demonstrated higher correlation values (up to r = 0.941 in males), reinforcing the notion of regional anatomical variation. Moderate correlations were reported in a study from Jodhpur by Saraf et al. (r = 0.737 for males; r = 0.707 for females), whereas Jeamornrat et al. reported lower correlations in a Thai population (LM = 0.18–0.26; LMS = 0.35–0.39), suggesting limited generalizability of sternal-based stature estimation in Southeast Asian populations.</w:t>
      </w:r>
      <w:r w:rsidR="00F0638B" w:rsidRPr="00F662A7">
        <w:rPr>
          <w:rFonts w:ascii="Times New Roman" w:hAnsi="Times New Roman" w:cs="Times New Roman"/>
          <w:sz w:val="21"/>
          <w:szCs w:val="21"/>
        </w:rPr>
        <w:fldChar w:fldCharType="begin"/>
      </w:r>
      <w:r w:rsidR="00F0638B" w:rsidRPr="00F662A7">
        <w:rPr>
          <w:rFonts w:ascii="Times New Roman" w:hAnsi="Times New Roman" w:cs="Times New Roman"/>
          <w:sz w:val="21"/>
          <w:szCs w:val="21"/>
        </w:rPr>
        <w:instrText xml:space="preserve"> ADDIN ZOTERO_ITEM CSL_CITATION {"citationID":"OdTpLhBD","properties":{"formattedCitation":"\\super 3,5,8\\nosupersub{}","plainCitation":"3,5,8","noteIndex":0},"citationItems":[{"id":219,"uris":["http://zotero.org/users/13259389/items/S8WRQX5X"],"itemData":{"id":219,"type":"article-journal","abstract":"The estimation of stature is a very important step in developing a biological profile for forensic identification. However, little previous work has been done on stature estimation among modern Thai people, despite a growing number of forensic cases in Thailand in recent years. The current study was carried out on a sample of 200 skeletons from a northern Thai population (132 males and 68 females), ranging in age from 19 to 94 years. The maximum lengths of six long bones (humerus, radius, ulna, femur, tibia and fibula) were measured and stature reconstruction formulae generated using linear regression. These equations were then tested on a holdout sample of 15 females and 15 males. Results reveal that the three lower limb bones are the most accurate estimators of stature among the males, with the fibula equation producing the lowest standard error of the estimate (SE=4.89cm), followed by the femur (SE=5.06cm). Results for females were mixed. The femur produced the lowest standard error among the females (SE=5.21cm), followed by the radius (SE=5.63cm). However, when tested against the holdout sample (n=30), the femur equations were considerably more accurate, with a mean absolute error of 3.5cm and a median absolute error of 2.4cm. Females exhibited a higher standard error of the estimate than reported in many previous studies. This higher error may be the result of a recent secular trend in stature affecting the females of our sample somewhat more than the males.","container-title":"Forensic Science International","DOI":"10.1016/j.forsciint.2011.04.025","ISSN":"1872-6283","issue":"1-3","journalAbbreviation":"Forensic Sci Int","language":"eng","note":"PMID: 21616616","page":"279.e1-7","source":"PubMed","title":"Stature estimation from long bone lengths in a Thai population","volume":"210","author":[{"family":"Mahakkanukrauh","given":"Pasuk"},{"family":"Khanpetch","given":"Pongsak"},{"family":"Prasitwattanseree","given":"Sukon"},{"family":"Vichairat","given":"Karnda"},{"family":"Troy Case","given":"D."}],"issued":{"date-parts":[["2011",7,15]]}}},{"id":262,"uris":["http://zotero.org/users/13259389/items/E5VE9SAJ"],"itemData":{"id":262,"type":"article-journal","abstract":"Sex determination is an important initial step in forensic investigation of unknown human skeletal remains. The present analysis is an attempt to determine the sex of the sternum using sternal index as a parameter in a Maharashtrian population of India. Sternal index is calculated in 115 adult sternums of confirmed sex (75 male and 40 female) for sexual dimorphism. The sternal index is derived by dividing the length of manubrium by the length of mesosternum and multiplying it by 100. Although the sternal index is found to be significantly higher in females, the analysis suggests that sex determination cannot be made conclusively from the sternal index in the Maharashtra region of western India. The study further concludes that the applicability of Hyrtl's law in sex determination is limited.","container-title":"Journal of Forensic and Legal Medicine","DOI":"10.1016/j.jflm.2008.08.004","ISSN":"1752-928X","issue":"2","journalAbbreviation":"J Forensic Leg Med","language":"eng","note":"PMID: 19134997","page":"56-58","source":"PubMed","title":"Sternal index: Is it a reliable indicator of sex in the Maharashtrian population of India?","title-short":"Sternal index","volume":"16","author":[{"family":"Hunnargi","given":"Shahin A."},{"family":"Menezes","given":"Ritesh G."},{"family":"Kanchan","given":"Tanuj"},{"family":"Lobo","given":"Stany W."},{"family":"Uysal","given":"Selma"},{"family":"Herekar","given":"N. G."},{"family":"Krishan","given":"Kewal"},{"family":"Garg","given":"R. K."}],"issued":{"date-parts":[["2009",2]]}}},{"id":132,"uris":["http://zotero.org/users/13259389/items/MH9XX8AB"],"itemData":{"id":132,"type":"article-journal","abstract":"Identification of the dead is significant in examination of unknown, decomposed and mutilated human remains. Establishing the biological profile is the central issue in such a scenario, and stature estimation remains one of the important criteria in this regard. The present study was undertaken to estimate stature from different parts of the sternum. A sample of 100 sterna was obtained from individuals during the medicolegal autopsies. Length of the deceased and various measurements of the sternum were measured. Student's t-test was performed to find the sex differences in stature and sternal measurements included in the study. Correlation between stature and sternal measurements were analysed using Karl Pearson's correlation, and linear and quadratic regression models were derived. All the measurements were found to be significantly larger in males than females. Stature correlated best with the combined length of sternum, among males (R = 0.894), females (R = 0.859), and for the total sample (R = 0.891). The study showed that the models derived for stature estimation from combined length of sternum are likely to give the most accurate estimates of stature in forensic case work when compared to manubrium and mesosternum. Accuracy of stature estimation further increased with quadratic models derived for the mesosternum among males and combined length of sternum among males and females when compared to linear regression models. Future studies in different geographical locations and a larger sample size are proposed to confirm the study observations.","container-title":"Journal of Forensic and Legal Medicine","DOI":"10.1016/j.jflm.2018.04.004","ISSN":"1878-7487","journalAbbreviation":"J Forensic Leg Med","language":"eng","note":"PMID: 29679840","page":"9-13","source":"PubMed","title":"Estimation of stature from sternum - Exploring the quadratic models","volume":"58","author":[{"family":"Saraf","given":"Ashish"},{"family":"Kanchan","given":"Tanuj"},{"family":"Krishan","given":"Kewal"},{"family":"Ateriya","given":"Navneet"},{"family":"Setia","given":"Puneet"}],"issued":{"date-parts":[["2018",8]]}}}],"schema":"https://github.com/citation-style-language/schema/raw/master/csl-citation.json"} </w:instrText>
      </w:r>
      <w:r w:rsidR="00F0638B" w:rsidRPr="00F662A7">
        <w:rPr>
          <w:rFonts w:ascii="Times New Roman" w:hAnsi="Times New Roman" w:cs="Times New Roman"/>
          <w:sz w:val="21"/>
          <w:szCs w:val="21"/>
        </w:rPr>
        <w:fldChar w:fldCharType="separate"/>
      </w:r>
      <w:r w:rsidR="00F0638B" w:rsidRPr="00F662A7">
        <w:rPr>
          <w:rFonts w:ascii="Times New Roman" w:hAnsi="Times New Roman" w:cs="Times New Roman"/>
          <w:kern w:val="0"/>
          <w:sz w:val="21"/>
          <w:szCs w:val="21"/>
          <w:vertAlign w:val="superscript"/>
        </w:rPr>
        <w:t>3,5,8</w:t>
      </w:r>
      <w:r w:rsidR="00F0638B" w:rsidRPr="00F662A7">
        <w:rPr>
          <w:rFonts w:ascii="Times New Roman" w:hAnsi="Times New Roman" w:cs="Times New Roman"/>
          <w:sz w:val="21"/>
          <w:szCs w:val="21"/>
        </w:rPr>
        <w:fldChar w:fldCharType="end"/>
      </w:r>
    </w:p>
    <w:p w14:paraId="2F248FCC" w14:textId="2512EBA1"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lastRenderedPageBreak/>
        <w:t>The Turkish study by Yon</w:t>
      </w:r>
      <w:r w:rsidR="00F0638B" w:rsidRPr="00F662A7">
        <w:rPr>
          <w:rFonts w:ascii="Times New Roman" w:hAnsi="Times New Roman" w:cs="Times New Roman"/>
          <w:sz w:val="21"/>
          <w:szCs w:val="21"/>
        </w:rPr>
        <w:t>g</w:t>
      </w:r>
      <w:r w:rsidRPr="00F662A7">
        <w:rPr>
          <w:rFonts w:ascii="Times New Roman" w:hAnsi="Times New Roman" w:cs="Times New Roman"/>
          <w:sz w:val="21"/>
          <w:szCs w:val="21"/>
        </w:rPr>
        <w:t>uç et al. (2019) showed strong correlations (r = 0.809 for males; r = 0.775 for females), comparable to findings from some Indian subpopulations. Likewise, Baraw et al. observed robust correlations in fresh sternal lengths within the Delhi population (r = 0.809 for males; r = 0.755 for females), although slightly diminished values were noted for dry sternal samples.</w:t>
      </w:r>
      <w:r w:rsidR="00F0638B" w:rsidRPr="00F662A7">
        <w:rPr>
          <w:rFonts w:ascii="Times New Roman" w:hAnsi="Times New Roman" w:cs="Times New Roman"/>
          <w:sz w:val="21"/>
          <w:szCs w:val="21"/>
        </w:rPr>
        <w:fldChar w:fldCharType="begin"/>
      </w:r>
      <w:r w:rsidR="00F0638B" w:rsidRPr="00F662A7">
        <w:rPr>
          <w:rFonts w:ascii="Times New Roman" w:hAnsi="Times New Roman" w:cs="Times New Roman"/>
          <w:sz w:val="21"/>
          <w:szCs w:val="21"/>
        </w:rPr>
        <w:instrText xml:space="preserve"> ADDIN ZOTERO_ITEM CSL_CITATION {"citationID":"wXBgjrkB","properties":{"formattedCitation":"\\super 6\\nosupersub{}","plainCitation":"6","noteIndex":0},"citationItems":[{"id":99,"uris":["http://zotero.org/users/13259389/items/AMEUWV9Y"],"itemData":{"id":99,"type":"article-journal","abstract":"The aim of this study was to derive regression equations for estimating stature and further to estimate sex from four measured sternal lengths. This study included intact sterna from 65 males and 30 females, aged between 25 and 40 years, obtained during medico-legal autopsies. Stature and four sternal lengths, length of the manubrium (LM), length of the body (LB), length of the manubrium and body (LMB) and total sternal length, of each cadaver were measured. Stature and all measured sternal lengths were greater in males compared to females (p &lt; 0.001). All sternal lengths were positively correlated with stature in sexes. LMB had the highest correlation coefficient in both males and females (correlation coefficient: 0.721 and 0.740, respectively). In both sexes, linear regression analysis for stature estimation revealed equations with the highest R (2) values when derived from LMB (R (2) = 0.521 for males and R (2) = 0.547 for females). On the other hand, only the multiple linear regression equation derived from the combination of the LB and LMB had the higher R (2) value (R (2) = 0.640) for stature estimation in females. Receiver-operating curve analysis for all measurements was statistically significant (p &lt; 0.05 for all). These findings suggested that measured sternal lengths can be used for estimation of sex. However, LB and LMB measurements were found to be the most reliable sternal lengths for estimating sex with an accuracy rate of 90 %. Our results revealed that the sternum is a useful tool for estimating stature and sex when other skeletal bones are not available.","container-title":"Anatomical Science International","DOI":"10.1007/s12565-014-0235-0","ISSN":"1447-073X","issue":"2","journalAbbreviation":"Anat Sci Int","language":"eng","note":"PMID: 24748542","page":"89-96","source":"PubMed","title":"Estimation of stature and sex from sternal lengths: an autopsy study","title-short":"Estimation of stature and sex from sternal lengths","volume":"90","author":[{"family":"Yonguc","given":"Goksin Nilufer"},{"family":"Kurtulus","given":"Ayse"},{"family":"Bayazit","given":"Onur"},{"family":"Adiguzel","given":"Esat"},{"family":"Unal","given":"Ilker"},{"family":"Demir","given":"Sumeyra"},{"family":"Acar","given":"Kemalettin"}],"issued":{"date-parts":[["2015",3]]}}}],"schema":"https://github.com/citation-style-language/schema/raw/master/csl-citation.json"} </w:instrText>
      </w:r>
      <w:r w:rsidR="00F0638B" w:rsidRPr="00F662A7">
        <w:rPr>
          <w:rFonts w:ascii="Times New Roman" w:hAnsi="Times New Roman" w:cs="Times New Roman"/>
          <w:sz w:val="21"/>
          <w:szCs w:val="21"/>
        </w:rPr>
        <w:fldChar w:fldCharType="separate"/>
      </w:r>
      <w:r w:rsidR="00F0638B" w:rsidRPr="00F662A7">
        <w:rPr>
          <w:rFonts w:ascii="Times New Roman" w:hAnsi="Times New Roman" w:cs="Times New Roman"/>
          <w:kern w:val="0"/>
          <w:sz w:val="21"/>
          <w:szCs w:val="21"/>
          <w:vertAlign w:val="superscript"/>
        </w:rPr>
        <w:t>6</w:t>
      </w:r>
      <w:r w:rsidR="00F0638B" w:rsidRPr="00F662A7">
        <w:rPr>
          <w:rFonts w:ascii="Times New Roman" w:hAnsi="Times New Roman" w:cs="Times New Roman"/>
          <w:sz w:val="21"/>
          <w:szCs w:val="21"/>
        </w:rPr>
        <w:fldChar w:fldCharType="end"/>
      </w:r>
    </w:p>
    <w:p w14:paraId="28AD5AE7"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These variations underscore the critical need for developing population-specific regression equations to improve the accuracy of forensic stature estimation. Factors such as genetic diversity, environmental conditions, nutritional influences, and methodological disparities likely contribute to the observed differences in correlation strength. Thus, while sternal measurements present a valuable adjunct in forensic anthropological investigations, the application of a universal regression model is inadvisable.</w:t>
      </w:r>
    </w:p>
    <w:p w14:paraId="1D8528EF" w14:textId="77777777" w:rsidR="00DA6B0E"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In summary, this study validates the utility of sternal morphometry as a reliable method for stature estimation within the Indian context, albeit with moderate predictive accuracy. The development of localized regression models tailored to specific populations is essential for enhancing forensic reliability. Future research involving larger, more heterogeneous samples is warranted to refine existing models and broaden the scope of application in forensic practice.</w:t>
      </w:r>
    </w:p>
    <w:p w14:paraId="77A8710D" w14:textId="77777777" w:rsidR="00F662A7" w:rsidRPr="00F662A7" w:rsidRDefault="00F662A7" w:rsidP="00F662A7">
      <w:pPr>
        <w:rPr>
          <w:rFonts w:ascii="Times New Roman" w:hAnsi="Times New Roman" w:cs="Times New Roman"/>
          <w:sz w:val="21"/>
          <w:szCs w:val="21"/>
          <w:lang w:val="en-IN"/>
        </w:rPr>
      </w:pPr>
      <w:r w:rsidRPr="00F662A7">
        <w:rPr>
          <w:rFonts w:ascii="Times New Roman" w:hAnsi="Times New Roman" w:cs="Times New Roman"/>
          <w:sz w:val="21"/>
          <w:szCs w:val="21"/>
          <w:lang w:val="en-IN"/>
        </w:rPr>
        <w:t>Table no. 4. Comparison results of stature estimation using sternum with previous studies</w:t>
      </w:r>
    </w:p>
    <w:tbl>
      <w:tblPr>
        <w:tblStyle w:val="TableGrid"/>
        <w:tblW w:w="0" w:type="auto"/>
        <w:jc w:val="center"/>
        <w:tblLook w:val="04A0" w:firstRow="1" w:lastRow="0" w:firstColumn="1" w:lastColumn="0" w:noHBand="0" w:noVBand="1"/>
      </w:tblPr>
      <w:tblGrid>
        <w:gridCol w:w="1838"/>
        <w:gridCol w:w="1950"/>
        <w:gridCol w:w="2161"/>
        <w:gridCol w:w="1517"/>
        <w:gridCol w:w="1550"/>
      </w:tblGrid>
      <w:tr w:rsidR="00F662A7" w:rsidRPr="00F662A7" w14:paraId="266C255E" w14:textId="77777777" w:rsidTr="00B73957">
        <w:trPr>
          <w:jc w:val="center"/>
        </w:trPr>
        <w:tc>
          <w:tcPr>
            <w:tcW w:w="1838" w:type="dxa"/>
            <w:vMerge w:val="restart"/>
            <w:vAlign w:val="center"/>
          </w:tcPr>
          <w:p w14:paraId="563E6411"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Population</w:t>
            </w:r>
          </w:p>
        </w:tc>
        <w:tc>
          <w:tcPr>
            <w:tcW w:w="1950" w:type="dxa"/>
            <w:vMerge w:val="restart"/>
            <w:vAlign w:val="center"/>
          </w:tcPr>
          <w:p w14:paraId="3291B6F2"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Author</w:t>
            </w:r>
          </w:p>
        </w:tc>
        <w:tc>
          <w:tcPr>
            <w:tcW w:w="2161" w:type="dxa"/>
            <w:vMerge w:val="restart"/>
            <w:vAlign w:val="center"/>
          </w:tcPr>
          <w:p w14:paraId="1B24226E"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Sternal lengths</w:t>
            </w:r>
          </w:p>
        </w:tc>
        <w:tc>
          <w:tcPr>
            <w:tcW w:w="3067" w:type="dxa"/>
            <w:gridSpan w:val="2"/>
            <w:vAlign w:val="center"/>
          </w:tcPr>
          <w:p w14:paraId="5449987F"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Corelation coefficient</w:t>
            </w:r>
          </w:p>
        </w:tc>
      </w:tr>
      <w:tr w:rsidR="00F662A7" w:rsidRPr="00F662A7" w14:paraId="0CB0C924" w14:textId="77777777" w:rsidTr="00B73957">
        <w:trPr>
          <w:jc w:val="center"/>
        </w:trPr>
        <w:tc>
          <w:tcPr>
            <w:tcW w:w="1838" w:type="dxa"/>
            <w:vMerge/>
            <w:vAlign w:val="center"/>
          </w:tcPr>
          <w:p w14:paraId="1DE249D6" w14:textId="77777777" w:rsidR="00F662A7" w:rsidRPr="00F662A7" w:rsidRDefault="00F662A7" w:rsidP="00F662A7">
            <w:pPr>
              <w:spacing w:after="160" w:line="259" w:lineRule="auto"/>
              <w:rPr>
                <w:rFonts w:ascii="Times New Roman" w:hAnsi="Times New Roman" w:cs="Times New Roman"/>
                <w:b/>
                <w:bCs/>
                <w:sz w:val="21"/>
                <w:szCs w:val="21"/>
              </w:rPr>
            </w:pPr>
          </w:p>
        </w:tc>
        <w:tc>
          <w:tcPr>
            <w:tcW w:w="1950" w:type="dxa"/>
            <w:vMerge/>
            <w:vAlign w:val="center"/>
          </w:tcPr>
          <w:p w14:paraId="0D37638C" w14:textId="77777777" w:rsidR="00F662A7" w:rsidRPr="00F662A7" w:rsidRDefault="00F662A7" w:rsidP="00F662A7">
            <w:pPr>
              <w:spacing w:after="160" w:line="259" w:lineRule="auto"/>
              <w:rPr>
                <w:rFonts w:ascii="Times New Roman" w:hAnsi="Times New Roman" w:cs="Times New Roman"/>
                <w:b/>
                <w:bCs/>
                <w:sz w:val="21"/>
                <w:szCs w:val="21"/>
              </w:rPr>
            </w:pPr>
          </w:p>
        </w:tc>
        <w:tc>
          <w:tcPr>
            <w:tcW w:w="2161" w:type="dxa"/>
            <w:vMerge/>
            <w:vAlign w:val="center"/>
          </w:tcPr>
          <w:p w14:paraId="20F2AC4E" w14:textId="77777777" w:rsidR="00F662A7" w:rsidRPr="00F662A7" w:rsidRDefault="00F662A7" w:rsidP="00F662A7">
            <w:pPr>
              <w:spacing w:after="160" w:line="259" w:lineRule="auto"/>
              <w:rPr>
                <w:rFonts w:ascii="Times New Roman" w:hAnsi="Times New Roman" w:cs="Times New Roman"/>
                <w:b/>
                <w:bCs/>
                <w:sz w:val="21"/>
                <w:szCs w:val="21"/>
              </w:rPr>
            </w:pPr>
          </w:p>
        </w:tc>
        <w:tc>
          <w:tcPr>
            <w:tcW w:w="1517" w:type="dxa"/>
            <w:vAlign w:val="center"/>
          </w:tcPr>
          <w:p w14:paraId="18C8F9E4"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Male</w:t>
            </w:r>
          </w:p>
        </w:tc>
        <w:tc>
          <w:tcPr>
            <w:tcW w:w="1550" w:type="dxa"/>
            <w:vAlign w:val="center"/>
          </w:tcPr>
          <w:p w14:paraId="7127533A"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Female</w:t>
            </w:r>
          </w:p>
        </w:tc>
      </w:tr>
      <w:tr w:rsidR="00F662A7" w:rsidRPr="00F662A7" w14:paraId="149F24BE" w14:textId="77777777" w:rsidTr="00B73957">
        <w:trPr>
          <w:jc w:val="center"/>
        </w:trPr>
        <w:tc>
          <w:tcPr>
            <w:tcW w:w="1838" w:type="dxa"/>
            <w:vAlign w:val="center"/>
          </w:tcPr>
          <w:p w14:paraId="7521214C"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Indian</w:t>
            </w:r>
          </w:p>
          <w:p w14:paraId="13075BCB"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(M=192)</w:t>
            </w:r>
          </w:p>
        </w:tc>
        <w:tc>
          <w:tcPr>
            <w:tcW w:w="1950" w:type="dxa"/>
            <w:vAlign w:val="center"/>
          </w:tcPr>
          <w:p w14:paraId="1C5945E7" w14:textId="703ECBD3" w:rsidR="00F662A7" w:rsidRPr="00F662A7" w:rsidRDefault="00F662A7" w:rsidP="00F662A7">
            <w:pPr>
              <w:spacing w:after="160" w:line="259" w:lineRule="auto"/>
              <w:rPr>
                <w:rFonts w:ascii="Times New Roman" w:hAnsi="Times New Roman" w:cs="Times New Roman"/>
                <w:sz w:val="21"/>
                <w:szCs w:val="21"/>
                <w:lang w:val="pt-BR"/>
              </w:rPr>
            </w:pPr>
            <w:proofErr w:type="spellStart"/>
            <w:r w:rsidRPr="00D51BB8">
              <w:rPr>
                <w:rFonts w:ascii="Times New Roman" w:hAnsi="Times New Roman" w:cs="Times New Roman"/>
                <w:sz w:val="21"/>
                <w:szCs w:val="21"/>
                <w:lang w:val="en-IN"/>
              </w:rPr>
              <w:t>Tumram</w:t>
            </w:r>
            <w:proofErr w:type="spellEnd"/>
            <w:r w:rsidRPr="00D51BB8">
              <w:rPr>
                <w:rFonts w:ascii="Times New Roman" w:hAnsi="Times New Roman" w:cs="Times New Roman"/>
                <w:sz w:val="21"/>
                <w:szCs w:val="21"/>
                <w:lang w:val="en-IN"/>
              </w:rPr>
              <w:t xml:space="preserve"> et al.</w:t>
            </w:r>
            <w:r>
              <w:rPr>
                <w:rFonts w:ascii="Times New Roman" w:hAnsi="Times New Roman" w:cs="Times New Roman"/>
                <w:sz w:val="21"/>
                <w:szCs w:val="21"/>
                <w:lang w:val="pt-BR"/>
              </w:rPr>
              <w:fldChar w:fldCharType="begin"/>
            </w:r>
            <w:r w:rsidRPr="00D51BB8">
              <w:rPr>
                <w:rFonts w:ascii="Times New Roman" w:hAnsi="Times New Roman" w:cs="Times New Roman"/>
                <w:sz w:val="21"/>
                <w:szCs w:val="21"/>
                <w:lang w:val="en-IN"/>
              </w:rPr>
              <w:instrText xml:space="preserve"> ADDIN ZOTERO_ITEM CSL_CITATION {"citationID":"GaWFzX5k","properties":{"formattedCitation":"\\super 7\\nosupersub{}","plainCitation":"7","noteIndex":0},"citationItems":[{"id":20,"uris":["http://zotero.org/users/13259389/items/SQ8Y4FWN"],"itemData":{"id":20,"type":"article-journal","abstract":"Stature estimation is one of</w:instrText>
            </w:r>
            <w:r>
              <w:rPr>
                <w:rFonts w:ascii="Times New Roman" w:hAnsi="Times New Roman" w:cs="Times New Roman"/>
                <w:sz w:val="21"/>
                <w:szCs w:val="21"/>
                <w:lang w:val="pt-BR"/>
              </w:rPr>
              <w:instrText xml:space="preserve"> the essential early steps during forensic investigation of human skeletal remains. The aim of the present study was to obtain a linear regression formula for estimating stature from sternal length of a central Indian population. The study includes 92 male cadavers brought for medico-legal autopsies. The linear regression equations were derived from manubrium, mesosternum and the total sternal length. The regression model provided a 95% confidence interval of ±14.8 cm and a correlation coefficient of 0.55. Compared with other studies, regression formulae based on the length of the sternum provided considerably larger standard errors than that based on long bone lengths. The study indicates that sternal length in relation with body stature shows a moderate positive correlation and relatively low reliability in estimating stature, and has limited forensic value.","container-title":"Medicine, Science, and the Law","DOI":"10.1177/0025802415595057","ISSN":"2042-1818","issue":"1","journalAbbreviation":"Med Sci Law","language":"eng","note":"PMID: 26209632","page":"46-52","source":"PubMed","title":"Estimation of height from the length of the sternum in an adult Indian population","volume":"56","author":[{"family":"Tumram","given":"Nilesh Keshav"},{"family":"Parchake","given":"Soniya Bhaurao"},{"family":"Bardale","given":"Rajesh Vaijnathrao"},{"family":"Dixit","given":"Pradeep Gangadhar"}],"issued":{"date-parts":[["2016",1]]}}}],"schema":"https://github.com/citation-style-language/schema/raw/master/csl-citation.json"} </w:instrText>
            </w:r>
            <w:r>
              <w:rPr>
                <w:rFonts w:ascii="Times New Roman" w:hAnsi="Times New Roman" w:cs="Times New Roman"/>
                <w:sz w:val="21"/>
                <w:szCs w:val="21"/>
                <w:lang w:val="pt-BR"/>
              </w:rPr>
              <w:fldChar w:fldCharType="separate"/>
            </w:r>
            <w:r w:rsidRPr="00F662A7">
              <w:rPr>
                <w:rFonts w:ascii="Times New Roman" w:hAnsi="Times New Roman" w:cs="Times New Roman"/>
                <w:kern w:val="0"/>
                <w:sz w:val="21"/>
                <w:szCs w:val="24"/>
                <w:vertAlign w:val="superscript"/>
              </w:rPr>
              <w:t>7</w:t>
            </w:r>
            <w:r>
              <w:rPr>
                <w:rFonts w:ascii="Times New Roman" w:hAnsi="Times New Roman" w:cs="Times New Roman"/>
                <w:sz w:val="21"/>
                <w:szCs w:val="21"/>
                <w:lang w:val="pt-BR"/>
              </w:rPr>
              <w:fldChar w:fldCharType="end"/>
            </w:r>
          </w:p>
          <w:p w14:paraId="27DB6984" w14:textId="77777777" w:rsidR="00F662A7" w:rsidRPr="00F662A7" w:rsidRDefault="00F662A7" w:rsidP="00F662A7">
            <w:pPr>
              <w:spacing w:after="160" w:line="259" w:lineRule="auto"/>
              <w:rPr>
                <w:rFonts w:ascii="Times New Roman" w:hAnsi="Times New Roman" w:cs="Times New Roman"/>
                <w:sz w:val="21"/>
                <w:szCs w:val="21"/>
                <w:lang w:val="pt-BR"/>
              </w:rPr>
            </w:pPr>
          </w:p>
        </w:tc>
        <w:tc>
          <w:tcPr>
            <w:tcW w:w="2161" w:type="dxa"/>
            <w:vAlign w:val="center"/>
          </w:tcPr>
          <w:p w14:paraId="276BA214"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w:t>
            </w:r>
          </w:p>
          <w:p w14:paraId="6735AAC9"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LMS</w:t>
            </w:r>
          </w:p>
          <w:p w14:paraId="10E5D2D7"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TSL</w:t>
            </w:r>
          </w:p>
        </w:tc>
        <w:tc>
          <w:tcPr>
            <w:tcW w:w="1517" w:type="dxa"/>
            <w:vAlign w:val="center"/>
          </w:tcPr>
          <w:p w14:paraId="5BD63235"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0.44</w:t>
            </w:r>
          </w:p>
          <w:p w14:paraId="43510C9F"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 xml:space="preserve">0.25 </w:t>
            </w:r>
          </w:p>
          <w:p w14:paraId="175E02C9"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0.55</w:t>
            </w:r>
          </w:p>
        </w:tc>
        <w:tc>
          <w:tcPr>
            <w:tcW w:w="1550" w:type="dxa"/>
            <w:vAlign w:val="center"/>
          </w:tcPr>
          <w:p w14:paraId="0C9D9664" w14:textId="77777777" w:rsidR="00F662A7" w:rsidRPr="00F662A7" w:rsidRDefault="00F662A7" w:rsidP="00F662A7">
            <w:pPr>
              <w:spacing w:after="160" w:line="259" w:lineRule="auto"/>
              <w:rPr>
                <w:rFonts w:ascii="Times New Roman" w:hAnsi="Times New Roman" w:cs="Times New Roman"/>
                <w:sz w:val="21"/>
                <w:szCs w:val="21"/>
              </w:rPr>
            </w:pPr>
          </w:p>
        </w:tc>
      </w:tr>
      <w:tr w:rsidR="00F662A7" w:rsidRPr="00F662A7" w14:paraId="1A10248E" w14:textId="77777777" w:rsidTr="00B73957">
        <w:trPr>
          <w:jc w:val="center"/>
        </w:trPr>
        <w:tc>
          <w:tcPr>
            <w:tcW w:w="1838" w:type="dxa"/>
            <w:vAlign w:val="center"/>
          </w:tcPr>
          <w:p w14:paraId="38513928"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North West Indian</w:t>
            </w:r>
          </w:p>
          <w:p w14:paraId="1F0A8CD9"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(M=252, F=91)</w:t>
            </w:r>
          </w:p>
        </w:tc>
        <w:tc>
          <w:tcPr>
            <w:tcW w:w="1950" w:type="dxa"/>
            <w:vAlign w:val="center"/>
          </w:tcPr>
          <w:p w14:paraId="72CA2816" w14:textId="4ED04BBC"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Singh et al.</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ZOTERO_ITEM CSL_CITATION {"citationID":"g2Z6ox09","properties":{"formattedCitation":"\\super 4\\nosupersub{}","plainCitation":"4","noteIndex":0},"citationItems":[{"id":202,"uris":["http://zotero.org/users/13259389/items/5N64IFZT"],"itemData":{"id":202,"type":"article-journal","abstract":"Nonmetric traits are quasi-continuous skeletal traits that cannot be measured, but are observed as ranks or scores. In the present study, 8 nonmetric traits of sternum were examined from 343 sternums collected from the autopsy cases. More males, particularly older subjects, had a mesosternal foramen. The frequency of mesosternal foramen, arch-shaped prominence on the manubrium and radial strips on mesosternum significantly increased but that of lateral projection of manubrium decreased in the 30+ year age-group (older individuals). The denticulate costal incisures were found mostly in females and younger subjects; however, the crescent incisures and arch shaped prominence of manubrium were noticed mainly in males and older subjects. Majority of subjects had 'deep and narrow' jugular notch and xiphi-sternum was 'bifid' or 'oblong' in males and 'small sized' in females and younger subjects. Xiphi-sternum was generally found absent in females and younger subjects. The different shapes of costal incisures, jugular notch and xiphoid process were found to have significant sex and age differences. The number of cases with fused elements significantly increased with advancing age in both sexes. The sternal elements' fusion showed a variable pattern and hence was not found to be a reliable criterion. Chi-square analysis revealed significant differences between two age-groups of individual sex in the distribution of 3 of the 8 nonmetric traits. Significant sex and age differences were noticed in the frequency of occurrence of mesosternal foramina between the younger and older age groups in both the sexes. The logistic regression analysis of the scores classified 73.8% sternums to their sex category and 70.0% sternums to their age-group. Though present findings may not be enough for absolute personal identification, these traits can still serve as important identification tools if antemortem radiographs/CT or MRI scans are available for comparisons, or help classify an unknown sternum to its sex or age category based on the morphological features discussed in present study.","container-title":"Forensic Science International","DOI":"10.1016/j.forsciint.2013.02.002","ISSN":"1872-6283","issue":"1-3","journalAbbreviation":"Forensic Sci Int","language":"eng","note":"PMID: 23453187","page":"181.e1-12","source":"PubMed","title":"Sex and age related non-metric variation of the human sternum in a Northwest Indian postmortem sample: a pilot study","title-short":"Sex and age related non-metric variation of the human sternum in a Northwest Indian postmortem sample","volume":"228","author":[{"family":"Singh","given":"Jagmahender"},{"family":"Pathak","given":"R. K."}],"issued":{"date-parts":[["2013",5,10]]}}}],"schema":"https://github.com/citation-style-language/schema/raw/master/csl-citation.json"} </w:instrText>
            </w:r>
            <w:r>
              <w:rPr>
                <w:rFonts w:ascii="Times New Roman" w:hAnsi="Times New Roman" w:cs="Times New Roman"/>
                <w:sz w:val="21"/>
                <w:szCs w:val="21"/>
              </w:rPr>
              <w:fldChar w:fldCharType="separate"/>
            </w:r>
            <w:r w:rsidRPr="00F662A7">
              <w:rPr>
                <w:rFonts w:ascii="Times New Roman" w:hAnsi="Times New Roman" w:cs="Times New Roman"/>
                <w:kern w:val="0"/>
                <w:sz w:val="21"/>
                <w:szCs w:val="24"/>
                <w:vertAlign w:val="superscript"/>
              </w:rPr>
              <w:t>4</w:t>
            </w:r>
            <w:r>
              <w:rPr>
                <w:rFonts w:ascii="Times New Roman" w:hAnsi="Times New Roman" w:cs="Times New Roman"/>
                <w:sz w:val="21"/>
                <w:szCs w:val="21"/>
              </w:rPr>
              <w:fldChar w:fldCharType="end"/>
            </w:r>
          </w:p>
          <w:p w14:paraId="5070CA3A" w14:textId="77777777" w:rsidR="00F662A7" w:rsidRPr="00F662A7" w:rsidRDefault="00F662A7" w:rsidP="00F662A7">
            <w:pPr>
              <w:spacing w:after="160" w:line="259" w:lineRule="auto"/>
              <w:rPr>
                <w:rFonts w:ascii="Times New Roman" w:hAnsi="Times New Roman" w:cs="Times New Roman"/>
                <w:sz w:val="21"/>
                <w:szCs w:val="21"/>
              </w:rPr>
            </w:pPr>
          </w:p>
        </w:tc>
        <w:tc>
          <w:tcPr>
            <w:tcW w:w="2161" w:type="dxa"/>
            <w:vAlign w:val="center"/>
          </w:tcPr>
          <w:p w14:paraId="120B0530"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w:t>
            </w:r>
          </w:p>
          <w:p w14:paraId="4BD2CE6A"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LMS</w:t>
            </w:r>
          </w:p>
          <w:p w14:paraId="71459963"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TSL</w:t>
            </w:r>
          </w:p>
        </w:tc>
        <w:tc>
          <w:tcPr>
            <w:tcW w:w="1517" w:type="dxa"/>
            <w:vAlign w:val="center"/>
          </w:tcPr>
          <w:p w14:paraId="161A65DA"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 xml:space="preserve">0.191 </w:t>
            </w:r>
          </w:p>
          <w:p w14:paraId="0DC20B7A"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 xml:space="preserve">0.255 </w:t>
            </w:r>
          </w:p>
          <w:p w14:paraId="683F1265"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0.318</w:t>
            </w:r>
          </w:p>
        </w:tc>
        <w:tc>
          <w:tcPr>
            <w:tcW w:w="1550" w:type="dxa"/>
            <w:vAlign w:val="center"/>
          </w:tcPr>
          <w:p w14:paraId="56B1AD0B"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 xml:space="preserve">0.237 </w:t>
            </w:r>
          </w:p>
          <w:p w14:paraId="79485E9A"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 xml:space="preserve">0.229 </w:t>
            </w:r>
          </w:p>
          <w:p w14:paraId="68623174"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0.318</w:t>
            </w:r>
          </w:p>
        </w:tc>
      </w:tr>
      <w:tr w:rsidR="00F662A7" w:rsidRPr="00F662A7" w14:paraId="0DAFCA12" w14:textId="77777777" w:rsidTr="00B73957">
        <w:trPr>
          <w:jc w:val="center"/>
        </w:trPr>
        <w:tc>
          <w:tcPr>
            <w:tcW w:w="1838" w:type="dxa"/>
            <w:vAlign w:val="center"/>
          </w:tcPr>
          <w:p w14:paraId="78572743"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South Indian</w:t>
            </w:r>
          </w:p>
          <w:p w14:paraId="428A20B6"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(M=35, F=40)</w:t>
            </w:r>
          </w:p>
        </w:tc>
        <w:tc>
          <w:tcPr>
            <w:tcW w:w="1950" w:type="dxa"/>
            <w:vAlign w:val="center"/>
          </w:tcPr>
          <w:p w14:paraId="4815CB32" w14:textId="4D91BB18" w:rsidR="00F662A7" w:rsidRPr="00F662A7" w:rsidRDefault="00F662A7" w:rsidP="00F662A7">
            <w:pPr>
              <w:spacing w:after="160" w:line="259" w:lineRule="auto"/>
              <w:rPr>
                <w:rFonts w:ascii="Times New Roman" w:hAnsi="Times New Roman" w:cs="Times New Roman"/>
                <w:sz w:val="21"/>
                <w:szCs w:val="21"/>
                <w:lang w:val="en-IN"/>
              </w:rPr>
            </w:pPr>
            <w:r w:rsidRPr="00F662A7">
              <w:rPr>
                <w:rFonts w:ascii="Times New Roman" w:hAnsi="Times New Roman" w:cs="Times New Roman"/>
                <w:sz w:val="21"/>
                <w:szCs w:val="21"/>
                <w:lang w:val="pt-BR"/>
              </w:rPr>
              <w:t>Menezes et al.</w:t>
            </w:r>
            <w:r w:rsidR="004D569B">
              <w:rPr>
                <w:rFonts w:ascii="Times New Roman" w:hAnsi="Times New Roman" w:cs="Times New Roman"/>
                <w:sz w:val="21"/>
                <w:szCs w:val="21"/>
                <w:lang w:val="pt-BR"/>
              </w:rPr>
              <w:fldChar w:fldCharType="begin"/>
            </w:r>
            <w:r w:rsidR="004D569B">
              <w:rPr>
                <w:rFonts w:ascii="Times New Roman" w:hAnsi="Times New Roman" w:cs="Times New Roman"/>
                <w:sz w:val="21"/>
                <w:szCs w:val="21"/>
                <w:lang w:val="pt-BR"/>
              </w:rPr>
              <w:instrText xml:space="preserve"> ADDIN ZOTERO_ITEM CSL_CITATION {"citationID":"9CZCyYnS","properties":{"formattedCitation":"\\super 9\\nosupersub{}","plainCitation":"9","noteIndex":0},"citationItems":[{"id":395,"uris":["http://zotero.org/users/13259389/items/LNHTPWCU"],"itemData":{"id":395,"type":"article-journal","container-title":"Journal of Forensic and Legal Medicine","DOI":"10.1016/j.jflm.2009.05.001","ISSN":"1752-928X","issue":"8","journalAbbreviation":"Journal of forensic and legal medicine","language":"English","note":"publisher: Churchill Livingstone\nPMID: 19782312","page":"441-443","source":"researcher.manipal.edu","title":"Stature estimation from the length of the sternum in South Indian males: A preliminary study","title-short":"Stature estimation from the length of the sternum in South Indian males","volume":"16","author":[{"family":"Menezes","given":"Ritesh G."},{"family":"Kanchan","given":"Tanuj"},{"family":"Kumar","given":"G. Pradeep"},{"family":"Rao","given":"P. P. Jagadish"},{"family":"Lobo","given":"Stany W."},{"family":"Uysal","given":"Selma"},{"family":"Krishan","given":"Kewal"},{"family":"Kalthur","given":"Sneha G."},{"family":"Nagesh","given":"K. R."},{"family":"Shettigar","given":"Sunder"}],"issued":{"date-parts":[["2009",11]]}}}],"schema":"https://github.com/citation-style-language/schema/raw/master/csl-citation.json"} </w:instrText>
            </w:r>
            <w:r w:rsidR="004D569B">
              <w:rPr>
                <w:rFonts w:ascii="Times New Roman" w:hAnsi="Times New Roman" w:cs="Times New Roman"/>
                <w:sz w:val="21"/>
                <w:szCs w:val="21"/>
                <w:lang w:val="pt-BR"/>
              </w:rPr>
              <w:fldChar w:fldCharType="separate"/>
            </w:r>
            <w:r w:rsidR="004D569B" w:rsidRPr="004D569B">
              <w:rPr>
                <w:rFonts w:ascii="Times New Roman" w:hAnsi="Times New Roman" w:cs="Times New Roman"/>
                <w:kern w:val="0"/>
                <w:sz w:val="21"/>
                <w:szCs w:val="24"/>
                <w:vertAlign w:val="superscript"/>
              </w:rPr>
              <w:t>9</w:t>
            </w:r>
            <w:r w:rsidR="004D569B">
              <w:rPr>
                <w:rFonts w:ascii="Times New Roman" w:hAnsi="Times New Roman" w:cs="Times New Roman"/>
                <w:sz w:val="21"/>
                <w:szCs w:val="21"/>
                <w:lang w:val="pt-BR"/>
              </w:rPr>
              <w:fldChar w:fldCharType="end"/>
            </w:r>
          </w:p>
        </w:tc>
        <w:tc>
          <w:tcPr>
            <w:tcW w:w="2161" w:type="dxa"/>
            <w:vAlign w:val="center"/>
          </w:tcPr>
          <w:p w14:paraId="07211848"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Sternal Length</w:t>
            </w:r>
          </w:p>
        </w:tc>
        <w:tc>
          <w:tcPr>
            <w:tcW w:w="1517" w:type="dxa"/>
            <w:vAlign w:val="center"/>
          </w:tcPr>
          <w:p w14:paraId="1BAD30D7"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0.638</w:t>
            </w:r>
          </w:p>
        </w:tc>
        <w:tc>
          <w:tcPr>
            <w:tcW w:w="1550" w:type="dxa"/>
            <w:vAlign w:val="center"/>
          </w:tcPr>
          <w:p w14:paraId="5E3761CC"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0.639</w:t>
            </w:r>
          </w:p>
        </w:tc>
      </w:tr>
      <w:tr w:rsidR="00F662A7" w:rsidRPr="00F662A7" w14:paraId="1A76B897" w14:textId="77777777" w:rsidTr="00B73957">
        <w:trPr>
          <w:jc w:val="center"/>
        </w:trPr>
        <w:tc>
          <w:tcPr>
            <w:tcW w:w="1838" w:type="dxa"/>
            <w:vAlign w:val="center"/>
          </w:tcPr>
          <w:p w14:paraId="2BE7CACA"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Jodhpur</w:t>
            </w:r>
          </w:p>
          <w:p w14:paraId="765B6E56"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(N=100)</w:t>
            </w:r>
          </w:p>
        </w:tc>
        <w:tc>
          <w:tcPr>
            <w:tcW w:w="1950" w:type="dxa"/>
            <w:vAlign w:val="center"/>
          </w:tcPr>
          <w:p w14:paraId="2CA4D9F8" w14:textId="6C285301"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Saraf et al.</w:t>
            </w:r>
            <w:r w:rsidR="004D569B">
              <w:rPr>
                <w:rFonts w:ascii="Times New Roman" w:hAnsi="Times New Roman" w:cs="Times New Roman"/>
                <w:sz w:val="21"/>
                <w:szCs w:val="21"/>
              </w:rPr>
              <w:fldChar w:fldCharType="begin"/>
            </w:r>
            <w:r w:rsidR="004D569B">
              <w:rPr>
                <w:rFonts w:ascii="Times New Roman" w:hAnsi="Times New Roman" w:cs="Times New Roman"/>
                <w:sz w:val="21"/>
                <w:szCs w:val="21"/>
              </w:rPr>
              <w:instrText xml:space="preserve"> ADDIN ZOTERO_ITEM CSL_CITATION {"citationID":"GozkYM0Y","properties":{"formattedCitation":"\\super 8\\nosupersub{}","plainCitation":"8","noteIndex":0},"citationItems":[{"id":132,"uris":["http://zotero.org/users/13259389/items/MH9XX8AB"],"itemData":{"id":132,"type":"article-journal","abstract":"Identification of the dead is significant in examination of unknown, decomposed and mutilated human remains. Establishing the biological profile is the central issue in such a scenario, and stature estimation remains one of the important criteria in this regard. The present study was undertaken to estimate stature from different parts of the sternum. A sample of 100 sterna was obtained from individuals during the medicolegal autopsies. Length of the deceased and various measurements of the sternum were measured. Student's t-test was performed to find the sex differences in stature and sternal measurements included in the study. Correlation between stature and sternal measurements were analysed using Karl Pearson's correlation, and linear and quadratic regression models were derived. All the measurements were found to be significantly larger in males than females. Stature correlated best with the combined length of sternum, among males (R = 0.894), females (R = 0.859), and for the total sample (R = 0.891). The study showed that the models derived for stature estimation from combined length of sternum are likely to give the most accurate estimates of stature in forensic case work when compared to manubrium and mesosternum. Accuracy of stature estimation further increased with quadratic models derived for the mesosternum among males and combined length of sternum among males and females when compared to linear regression models. Future studies in different geographical locations and a larger sample size are proposed to confirm the study observations.","container-title":"Journal of Forensic and Legal Medicine","DOI":"10.1016/j.jflm.2018.04.004","ISSN":"1878-7487","journalAbbreviation":"J Forensic Leg Med","language":"eng","note":"PMID: 29679840","page":"9-13","source":"PubMed","title":"Estimation of stature from sternum - Exploring the quadratic models","volume":"58","author":[{"family":"Saraf","given":"Ashish"},{"family":"Kanchan","given":"Tanuj"},{"family":"Krishan","given":"Kewal"},{"family":"Ateriya","given":"Navneet"},{"family":"Setia","given":"Puneet"}],"issued":{"date-parts":[["2018",8]]}}}],"schema":"https://github.com/citation-style-language/schema/raw/master/csl-citation.json"} </w:instrText>
            </w:r>
            <w:r w:rsidR="004D569B">
              <w:rPr>
                <w:rFonts w:ascii="Times New Roman" w:hAnsi="Times New Roman" w:cs="Times New Roman"/>
                <w:sz w:val="21"/>
                <w:szCs w:val="21"/>
              </w:rPr>
              <w:fldChar w:fldCharType="separate"/>
            </w:r>
            <w:r w:rsidR="004D569B" w:rsidRPr="004D569B">
              <w:rPr>
                <w:rFonts w:ascii="Times New Roman" w:hAnsi="Times New Roman" w:cs="Times New Roman"/>
                <w:kern w:val="0"/>
                <w:sz w:val="21"/>
                <w:szCs w:val="24"/>
                <w:vertAlign w:val="superscript"/>
              </w:rPr>
              <w:t>8</w:t>
            </w:r>
            <w:r w:rsidR="004D569B">
              <w:rPr>
                <w:rFonts w:ascii="Times New Roman" w:hAnsi="Times New Roman" w:cs="Times New Roman"/>
                <w:sz w:val="21"/>
                <w:szCs w:val="21"/>
              </w:rPr>
              <w:fldChar w:fldCharType="end"/>
            </w:r>
          </w:p>
        </w:tc>
        <w:tc>
          <w:tcPr>
            <w:tcW w:w="2161" w:type="dxa"/>
            <w:vAlign w:val="center"/>
          </w:tcPr>
          <w:p w14:paraId="4B4ADB55"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w:t>
            </w:r>
          </w:p>
          <w:p w14:paraId="11CD165C"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LMS</w:t>
            </w:r>
          </w:p>
          <w:p w14:paraId="03DF9008"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TSL</w:t>
            </w:r>
          </w:p>
        </w:tc>
        <w:tc>
          <w:tcPr>
            <w:tcW w:w="1517" w:type="dxa"/>
            <w:vAlign w:val="center"/>
          </w:tcPr>
          <w:p w14:paraId="32A536C2"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0.36</w:t>
            </w:r>
          </w:p>
          <w:p w14:paraId="07327EA1"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0.85</w:t>
            </w:r>
          </w:p>
          <w:p w14:paraId="3730AB46"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0.89</w:t>
            </w:r>
          </w:p>
        </w:tc>
        <w:tc>
          <w:tcPr>
            <w:tcW w:w="1550" w:type="dxa"/>
            <w:vAlign w:val="center"/>
          </w:tcPr>
          <w:p w14:paraId="61276C87"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0.68</w:t>
            </w:r>
          </w:p>
          <w:p w14:paraId="407B578D"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0.74</w:t>
            </w:r>
          </w:p>
          <w:p w14:paraId="56DA9443"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0.85</w:t>
            </w:r>
          </w:p>
        </w:tc>
      </w:tr>
      <w:tr w:rsidR="00F662A7" w:rsidRPr="00F662A7" w14:paraId="0BD68E4D" w14:textId="77777777" w:rsidTr="00B73957">
        <w:trPr>
          <w:jc w:val="center"/>
        </w:trPr>
        <w:tc>
          <w:tcPr>
            <w:tcW w:w="1838" w:type="dxa"/>
            <w:vAlign w:val="center"/>
          </w:tcPr>
          <w:p w14:paraId="5794420F"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 xml:space="preserve">Thai </w:t>
            </w:r>
          </w:p>
          <w:p w14:paraId="6DB7250B"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(M=104, F=95)</w:t>
            </w:r>
          </w:p>
        </w:tc>
        <w:tc>
          <w:tcPr>
            <w:tcW w:w="1950" w:type="dxa"/>
            <w:vAlign w:val="center"/>
          </w:tcPr>
          <w:p w14:paraId="261510E8" w14:textId="1F112A10" w:rsidR="00F662A7" w:rsidRPr="00F662A7" w:rsidRDefault="00F662A7" w:rsidP="00F662A7">
            <w:pPr>
              <w:spacing w:after="160" w:line="259" w:lineRule="auto"/>
              <w:rPr>
                <w:rFonts w:ascii="Times New Roman" w:hAnsi="Times New Roman" w:cs="Times New Roman"/>
                <w:sz w:val="21"/>
                <w:szCs w:val="21"/>
              </w:rPr>
            </w:pPr>
            <w:proofErr w:type="spellStart"/>
            <w:r w:rsidRPr="00F662A7">
              <w:rPr>
                <w:rFonts w:ascii="Times New Roman" w:hAnsi="Times New Roman" w:cs="Times New Roman"/>
                <w:sz w:val="21"/>
                <w:szCs w:val="21"/>
              </w:rPr>
              <w:t>Jeamamornrat</w:t>
            </w:r>
            <w:proofErr w:type="spellEnd"/>
            <w:r w:rsidRPr="00F662A7">
              <w:rPr>
                <w:rFonts w:ascii="Times New Roman" w:hAnsi="Times New Roman" w:cs="Times New Roman"/>
                <w:sz w:val="21"/>
                <w:szCs w:val="21"/>
              </w:rPr>
              <w:t xml:space="preserve"> et al.</w:t>
            </w:r>
            <w:r w:rsidR="004D569B" w:rsidRPr="004D569B">
              <w:rPr>
                <w:rFonts w:ascii="Times New Roman" w:hAnsi="Times New Roman" w:cs="Times New Roman"/>
                <w:kern w:val="0"/>
                <w:sz w:val="21"/>
                <w:szCs w:val="24"/>
                <w:vertAlign w:val="superscript"/>
              </w:rPr>
              <w:t>10</w:t>
            </w:r>
            <w:r w:rsidRPr="00F662A7">
              <w:rPr>
                <w:rFonts w:ascii="Times New Roman" w:hAnsi="Times New Roman" w:cs="Times New Roman"/>
                <w:sz w:val="21"/>
                <w:szCs w:val="21"/>
              </w:rPr>
              <w:t xml:space="preserve"> </w:t>
            </w:r>
          </w:p>
        </w:tc>
        <w:tc>
          <w:tcPr>
            <w:tcW w:w="2161" w:type="dxa"/>
            <w:vAlign w:val="center"/>
          </w:tcPr>
          <w:p w14:paraId="11365C24"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w:t>
            </w:r>
          </w:p>
          <w:p w14:paraId="6D798BF8"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LMS</w:t>
            </w:r>
          </w:p>
        </w:tc>
        <w:tc>
          <w:tcPr>
            <w:tcW w:w="1517" w:type="dxa"/>
            <w:vAlign w:val="center"/>
          </w:tcPr>
          <w:p w14:paraId="6AFBA074"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0.18</w:t>
            </w:r>
          </w:p>
          <w:p w14:paraId="5247699E"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0.35</w:t>
            </w:r>
          </w:p>
        </w:tc>
        <w:tc>
          <w:tcPr>
            <w:tcW w:w="1550" w:type="dxa"/>
            <w:vAlign w:val="center"/>
          </w:tcPr>
          <w:p w14:paraId="18ABA665"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0.26</w:t>
            </w:r>
          </w:p>
          <w:p w14:paraId="0C1B3BEC"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0.39</w:t>
            </w:r>
          </w:p>
        </w:tc>
      </w:tr>
      <w:tr w:rsidR="00F662A7" w:rsidRPr="00F662A7" w14:paraId="383F1B26" w14:textId="77777777" w:rsidTr="00B73957">
        <w:trPr>
          <w:jc w:val="center"/>
        </w:trPr>
        <w:tc>
          <w:tcPr>
            <w:tcW w:w="1838" w:type="dxa"/>
            <w:vAlign w:val="center"/>
          </w:tcPr>
          <w:p w14:paraId="411DD0FA"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Turkish</w:t>
            </w:r>
          </w:p>
          <w:p w14:paraId="2FE6D8B8"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(M=65, F=30)</w:t>
            </w:r>
          </w:p>
        </w:tc>
        <w:tc>
          <w:tcPr>
            <w:tcW w:w="1950" w:type="dxa"/>
            <w:vAlign w:val="center"/>
          </w:tcPr>
          <w:p w14:paraId="4614D2C6" w14:textId="687FA3FC"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Yonguc et al.</w:t>
            </w:r>
            <w:r w:rsidR="004D569B">
              <w:rPr>
                <w:rFonts w:ascii="Times New Roman" w:hAnsi="Times New Roman" w:cs="Times New Roman"/>
                <w:sz w:val="21"/>
                <w:szCs w:val="21"/>
              </w:rPr>
              <w:fldChar w:fldCharType="begin"/>
            </w:r>
            <w:r w:rsidR="004D569B">
              <w:rPr>
                <w:rFonts w:ascii="Times New Roman" w:hAnsi="Times New Roman" w:cs="Times New Roman"/>
                <w:sz w:val="21"/>
                <w:szCs w:val="21"/>
              </w:rPr>
              <w:instrText xml:space="preserve"> ADDIN ZOTERO_ITEM CSL_CITATION {"citationID":"nhplA8K1","properties":{"formattedCitation":"\\super 6\\nosupersub{}","plainCitation":"6","noteIndex":0},"citationItems":[{"id":99,"uris":["http://zotero.org/users/13259389/items/AMEUWV9Y"],"itemData":{"id":99,"type":"article-journal","abstract":"The aim of this study was to derive regression equations for estimating stature and further to estimate sex from four measured sternal lengths. This study included intact sterna from 65 males and 30 females, aged between 25 and 40 years, obtained during medico-legal autopsies. Stature and four sternal lengths, length of the manubrium (LM), length of the body (LB), length of the manubrium and body (LMB) and total sternal length, of each cadaver were measured. Stature and all measured sternal lengths were greater in males compared to females (p &lt; 0.001). All sternal lengths were positively correlated with stature in sexes. LMB had the highest correlation coefficient in both males and females (correlation coefficient: 0.721 and 0.740, respectively). In both sexes, linear regression analysis for stature estimation revealed equations with the highest R (2) values when derived from LMB (R (2) = 0.521 for males and R (2) = 0.547 for females). On the other hand, only the multiple linear regression equation derived from the combination of the LB and LMB had the higher R (2) value (R (2) = 0.640) for stature estimation in females. Receiver-operating curve analysis for all measurements was statistically significant (p &lt; 0.05 for all). These findings suggested that measured sternal lengths can be used for estimation of sex. However, LB and LMB measurements were found to be the most reliable sternal lengths for estimating sex with an accuracy rate of 90 %. Our results revealed that the sternum is a useful tool for estimating stature and sex when other skeletal bones are not available.","container-title":"Anatomical Science International","DOI":"10.1007/s12565-014-0235-0","ISSN":"1447-073X","issue":"2","journalAbbreviation":"Anat Sci Int","language":"eng","note":"PMID: 24748542","page":"89-96","source":"PubMed","title":"Estimation of stature and sex from sternal lengths: an autopsy study","title-short":"Estimation of stature and sex from sternal lengths","volume":"90","author":[{"family":"Yonguc","given":"Goksin Nilufer"},{"family":"Kurtulus","given":"Ayse"},{"family":"Bayazit","given":"Onur"},{"family":"Adiguzel","given":"Esat"},{"family":"Unal","given":"Ilker"},{"family":"Demir","given":"Sumeyra"},{"family":"Acar","given":"Kemalettin"}],"issued":{"date-parts":[["2015",3]]}}}],"schema":"https://github.com/citation-style-language/schema/raw/master/csl-citation.json"} </w:instrText>
            </w:r>
            <w:r w:rsidR="004D569B">
              <w:rPr>
                <w:rFonts w:ascii="Times New Roman" w:hAnsi="Times New Roman" w:cs="Times New Roman"/>
                <w:sz w:val="21"/>
                <w:szCs w:val="21"/>
              </w:rPr>
              <w:fldChar w:fldCharType="separate"/>
            </w:r>
            <w:r w:rsidR="004D569B" w:rsidRPr="004D569B">
              <w:rPr>
                <w:rFonts w:ascii="Times New Roman" w:hAnsi="Times New Roman" w:cs="Times New Roman"/>
                <w:kern w:val="0"/>
                <w:sz w:val="21"/>
                <w:szCs w:val="24"/>
                <w:vertAlign w:val="superscript"/>
              </w:rPr>
              <w:t>6</w:t>
            </w:r>
            <w:r w:rsidR="004D569B">
              <w:rPr>
                <w:rFonts w:ascii="Times New Roman" w:hAnsi="Times New Roman" w:cs="Times New Roman"/>
                <w:sz w:val="21"/>
                <w:szCs w:val="21"/>
              </w:rPr>
              <w:fldChar w:fldCharType="end"/>
            </w:r>
            <w:r w:rsidRPr="00F662A7">
              <w:rPr>
                <w:rFonts w:ascii="Times New Roman" w:hAnsi="Times New Roman" w:cs="Times New Roman"/>
                <w:sz w:val="21"/>
                <w:szCs w:val="21"/>
              </w:rPr>
              <w:t xml:space="preserve"> </w:t>
            </w:r>
          </w:p>
        </w:tc>
        <w:tc>
          <w:tcPr>
            <w:tcW w:w="2161" w:type="dxa"/>
            <w:vAlign w:val="center"/>
          </w:tcPr>
          <w:p w14:paraId="27E6DE28"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w:t>
            </w:r>
          </w:p>
          <w:p w14:paraId="5EE57168"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LMS</w:t>
            </w:r>
          </w:p>
          <w:p w14:paraId="233C8A8F"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TSL</w:t>
            </w:r>
          </w:p>
        </w:tc>
        <w:tc>
          <w:tcPr>
            <w:tcW w:w="1517" w:type="dxa"/>
            <w:vAlign w:val="center"/>
          </w:tcPr>
          <w:p w14:paraId="649C5961"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0.65</w:t>
            </w:r>
          </w:p>
          <w:p w14:paraId="5D1DB860"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0.74</w:t>
            </w:r>
          </w:p>
          <w:p w14:paraId="5837286B"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0.85</w:t>
            </w:r>
          </w:p>
        </w:tc>
        <w:tc>
          <w:tcPr>
            <w:tcW w:w="1550" w:type="dxa"/>
            <w:vAlign w:val="center"/>
          </w:tcPr>
          <w:p w14:paraId="57168023"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0.67</w:t>
            </w:r>
          </w:p>
          <w:p w14:paraId="153EB4CE"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0.37</w:t>
            </w:r>
          </w:p>
          <w:p w14:paraId="21AB0081"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0.74</w:t>
            </w:r>
          </w:p>
        </w:tc>
      </w:tr>
      <w:tr w:rsidR="00F662A7" w:rsidRPr="00F662A7" w14:paraId="03AEE5CD" w14:textId="77777777" w:rsidTr="00B73957">
        <w:trPr>
          <w:jc w:val="center"/>
        </w:trPr>
        <w:tc>
          <w:tcPr>
            <w:tcW w:w="1838" w:type="dxa"/>
            <w:vAlign w:val="center"/>
          </w:tcPr>
          <w:p w14:paraId="5F493BBD"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Present Study</w:t>
            </w:r>
          </w:p>
          <w:p w14:paraId="1785A5B1" w14:textId="77777777" w:rsidR="00F662A7" w:rsidRPr="00F662A7" w:rsidRDefault="00F662A7" w:rsidP="00F662A7">
            <w:pPr>
              <w:spacing w:after="160" w:line="259" w:lineRule="auto"/>
              <w:rPr>
                <w:rFonts w:ascii="Times New Roman" w:hAnsi="Times New Roman" w:cs="Times New Roman"/>
                <w:b/>
                <w:bCs/>
                <w:sz w:val="21"/>
                <w:szCs w:val="21"/>
              </w:rPr>
            </w:pPr>
            <w:r w:rsidRPr="00F662A7">
              <w:rPr>
                <w:rFonts w:ascii="Times New Roman" w:hAnsi="Times New Roman" w:cs="Times New Roman"/>
                <w:b/>
                <w:bCs/>
                <w:sz w:val="21"/>
                <w:szCs w:val="21"/>
              </w:rPr>
              <w:t>(M=100, F=100)</w:t>
            </w:r>
          </w:p>
        </w:tc>
        <w:tc>
          <w:tcPr>
            <w:tcW w:w="1950" w:type="dxa"/>
            <w:vAlign w:val="center"/>
          </w:tcPr>
          <w:p w14:paraId="7D323D95" w14:textId="77777777" w:rsidR="00F662A7" w:rsidRPr="00F662A7" w:rsidRDefault="00F662A7" w:rsidP="00F662A7">
            <w:pPr>
              <w:spacing w:after="160" w:line="259" w:lineRule="auto"/>
              <w:rPr>
                <w:rFonts w:ascii="Times New Roman" w:hAnsi="Times New Roman" w:cs="Times New Roman"/>
                <w:sz w:val="21"/>
                <w:szCs w:val="21"/>
              </w:rPr>
            </w:pPr>
          </w:p>
        </w:tc>
        <w:tc>
          <w:tcPr>
            <w:tcW w:w="2161" w:type="dxa"/>
            <w:vAlign w:val="center"/>
          </w:tcPr>
          <w:p w14:paraId="0B716582"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w:t>
            </w:r>
          </w:p>
          <w:p w14:paraId="184FE0C1"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LMS</w:t>
            </w:r>
          </w:p>
          <w:p w14:paraId="4B6E0C40"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TSL</w:t>
            </w:r>
          </w:p>
        </w:tc>
        <w:tc>
          <w:tcPr>
            <w:tcW w:w="1517" w:type="dxa"/>
            <w:vAlign w:val="center"/>
          </w:tcPr>
          <w:p w14:paraId="57D8DFAC"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0.34</w:t>
            </w:r>
          </w:p>
          <w:p w14:paraId="36099CF5"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0.36</w:t>
            </w:r>
          </w:p>
          <w:p w14:paraId="29D723D2"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0.44</w:t>
            </w:r>
          </w:p>
        </w:tc>
        <w:tc>
          <w:tcPr>
            <w:tcW w:w="1550" w:type="dxa"/>
            <w:vAlign w:val="center"/>
          </w:tcPr>
          <w:p w14:paraId="3D85E756"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0.38</w:t>
            </w:r>
          </w:p>
          <w:p w14:paraId="5508A2FC"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0.27</w:t>
            </w:r>
          </w:p>
          <w:p w14:paraId="47618818" w14:textId="77777777" w:rsidR="00F662A7" w:rsidRPr="00F662A7" w:rsidRDefault="00F662A7" w:rsidP="00F662A7">
            <w:pPr>
              <w:spacing w:after="160" w:line="259" w:lineRule="auto"/>
              <w:rPr>
                <w:rFonts w:ascii="Times New Roman" w:hAnsi="Times New Roman" w:cs="Times New Roman"/>
                <w:sz w:val="21"/>
                <w:szCs w:val="21"/>
              </w:rPr>
            </w:pPr>
            <w:r w:rsidRPr="00F662A7">
              <w:rPr>
                <w:rFonts w:ascii="Times New Roman" w:hAnsi="Times New Roman" w:cs="Times New Roman"/>
                <w:sz w:val="21"/>
                <w:szCs w:val="21"/>
              </w:rPr>
              <w:t>0.46</w:t>
            </w:r>
          </w:p>
        </w:tc>
      </w:tr>
    </w:tbl>
    <w:p w14:paraId="22561218" w14:textId="77777777" w:rsidR="00F662A7" w:rsidRPr="00F662A7" w:rsidRDefault="00F662A7" w:rsidP="00DA6B0E">
      <w:pPr>
        <w:rPr>
          <w:rFonts w:ascii="Times New Roman" w:hAnsi="Times New Roman" w:cs="Times New Roman"/>
          <w:sz w:val="21"/>
          <w:szCs w:val="21"/>
          <w:lang w:val="en-IN"/>
        </w:rPr>
      </w:pPr>
    </w:p>
    <w:p w14:paraId="113C10F9"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b/>
          <w:bCs/>
          <w:sz w:val="21"/>
          <w:szCs w:val="21"/>
        </w:rPr>
        <w:lastRenderedPageBreak/>
        <w:t>Conclusion</w:t>
      </w:r>
    </w:p>
    <w:p w14:paraId="4863E71D" w14:textId="728414EC"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 xml:space="preserve">The present study establishes that sternal measurements, particularly in individuals aged between 21 and 80 years, can serve as reliable indicators for estimating stature in forensic contexts. Among the parameters </w:t>
      </w:r>
      <w:r w:rsidR="00DD077B" w:rsidRPr="00F662A7">
        <w:rPr>
          <w:rFonts w:ascii="Times New Roman" w:hAnsi="Times New Roman" w:cs="Times New Roman"/>
          <w:sz w:val="21"/>
          <w:szCs w:val="21"/>
        </w:rPr>
        <w:t>analysed</w:t>
      </w:r>
      <w:r w:rsidRPr="00F662A7">
        <w:rPr>
          <w:rFonts w:ascii="Times New Roman" w:hAnsi="Times New Roman" w:cs="Times New Roman"/>
          <w:sz w:val="21"/>
          <w:szCs w:val="21"/>
        </w:rPr>
        <w:t>, the total sternal length demonstrated the strongest correlation with stature in both males and females. This parameter also exhibited the lowest standard error of estimate, confirming its superior predictive accuracy and reliability for stature estimation.</w:t>
      </w:r>
    </w:p>
    <w:p w14:paraId="6D26D528" w14:textId="66A113C0" w:rsidR="00DA6B0E" w:rsidRPr="00F662A7" w:rsidRDefault="00DA6B0E" w:rsidP="00F92917">
      <w:pPr>
        <w:rPr>
          <w:rFonts w:ascii="Times New Roman" w:hAnsi="Times New Roman" w:cs="Times New Roman"/>
          <w:sz w:val="21"/>
          <w:szCs w:val="21"/>
        </w:rPr>
      </w:pPr>
      <w:r w:rsidRPr="00F662A7">
        <w:rPr>
          <w:rFonts w:ascii="Times New Roman" w:hAnsi="Times New Roman" w:cs="Times New Roman"/>
          <w:sz w:val="21"/>
          <w:szCs w:val="21"/>
        </w:rPr>
        <w:t xml:space="preserve">Based on the collected data, a series of linear regression equations were developed for males, females, and the combined sample. </w:t>
      </w:r>
      <w:r w:rsidR="00F92917" w:rsidRPr="00F662A7">
        <w:rPr>
          <w:rFonts w:ascii="Times New Roman" w:hAnsi="Times New Roman" w:cs="Times New Roman"/>
          <w:sz w:val="21"/>
          <w:szCs w:val="21"/>
        </w:rPr>
        <w:t>(Table no 2 &amp; 3)</w:t>
      </w:r>
    </w:p>
    <w:p w14:paraId="05CC46DC"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These regression equations provide practical and statistically grounded tools for forensic practitioners, enabling stature estimation from sternal measurements with a reasonable degree of accuracy. Their application can be particularly beneficial in scenarios where conventional long bones are absent or unsuitable for measurement.</w:t>
      </w:r>
    </w:p>
    <w:p w14:paraId="08C72BFC" w14:textId="77777777" w:rsidR="00DA6B0E" w:rsidRPr="00F662A7" w:rsidRDefault="00DA6B0E" w:rsidP="00DA6B0E">
      <w:pPr>
        <w:rPr>
          <w:rFonts w:ascii="Times New Roman" w:hAnsi="Times New Roman" w:cs="Times New Roman"/>
          <w:sz w:val="21"/>
          <w:szCs w:val="21"/>
        </w:rPr>
      </w:pPr>
      <w:r w:rsidRPr="00F662A7">
        <w:rPr>
          <w:rFonts w:ascii="Times New Roman" w:hAnsi="Times New Roman" w:cs="Times New Roman"/>
          <w:sz w:val="21"/>
          <w:szCs w:val="21"/>
        </w:rPr>
        <w:t>The findings underscore the forensic relevance of anthropometric methods, especially in the identification of individuals from skeletal remains. The study reinforces the necessity of thorough postmortem examination and precise anthropometric recording in cases involving decomposed, mutilated, or incomplete remains. Furthermore, these results add to the growing body of forensic anthropological literature and lay a foundation for future investigations aimed at refining stature estimation techniques tailored to specific populations.</w:t>
      </w:r>
    </w:p>
    <w:p w14:paraId="33DF6BD9" w14:textId="77777777" w:rsidR="00752FFF" w:rsidRPr="00F662A7" w:rsidRDefault="00752FFF" w:rsidP="00752FFF">
      <w:pPr>
        <w:rPr>
          <w:rFonts w:ascii="Times New Roman" w:hAnsi="Times New Roman" w:cs="Times New Roman"/>
          <w:b/>
          <w:bCs/>
          <w:sz w:val="21"/>
          <w:szCs w:val="21"/>
        </w:rPr>
      </w:pPr>
      <w:r w:rsidRPr="00F662A7">
        <w:rPr>
          <w:rFonts w:ascii="Times New Roman" w:hAnsi="Times New Roman" w:cs="Times New Roman"/>
          <w:b/>
          <w:bCs/>
          <w:sz w:val="21"/>
          <w:szCs w:val="21"/>
        </w:rPr>
        <w:t>Limitations and Future Directions</w:t>
      </w:r>
    </w:p>
    <w:p w14:paraId="1D3928FE" w14:textId="77777777" w:rsidR="00752FFF" w:rsidRPr="00F662A7" w:rsidRDefault="00752FFF" w:rsidP="00752FFF">
      <w:pPr>
        <w:rPr>
          <w:rFonts w:ascii="Times New Roman" w:hAnsi="Times New Roman" w:cs="Times New Roman"/>
          <w:sz w:val="21"/>
          <w:szCs w:val="21"/>
        </w:rPr>
      </w:pPr>
      <w:r w:rsidRPr="00F662A7">
        <w:rPr>
          <w:rFonts w:ascii="Times New Roman" w:hAnsi="Times New Roman" w:cs="Times New Roman"/>
          <w:sz w:val="21"/>
          <w:szCs w:val="21"/>
        </w:rPr>
        <w:t>The present study was conducted on postmortem cases within the chronological age range of 21 to 80 years. Accordingly, the regression equation formulated from the collected data is considered most reliable when applied to individuals within this age bracket. Cases exhibiting congenital or acquired skeletal deformities were excluded, which limits the utility of the developed model in such populations.</w:t>
      </w:r>
    </w:p>
    <w:p w14:paraId="34E664DA" w14:textId="016A2CFA" w:rsidR="00752FFF" w:rsidRPr="00F662A7" w:rsidRDefault="00752FFF" w:rsidP="00752FFF">
      <w:pPr>
        <w:rPr>
          <w:rFonts w:ascii="Times New Roman" w:hAnsi="Times New Roman" w:cs="Times New Roman"/>
          <w:sz w:val="21"/>
          <w:szCs w:val="21"/>
        </w:rPr>
      </w:pPr>
      <w:r w:rsidRPr="00F662A7">
        <w:rPr>
          <w:rFonts w:ascii="Times New Roman" w:hAnsi="Times New Roman" w:cs="Times New Roman"/>
          <w:sz w:val="21"/>
          <w:szCs w:val="21"/>
        </w:rPr>
        <w:t xml:space="preserve">A total of 200 samples, comprising 100 males and 100 females, were </w:t>
      </w:r>
      <w:r w:rsidR="00DD077B" w:rsidRPr="00F662A7">
        <w:rPr>
          <w:rFonts w:ascii="Times New Roman" w:hAnsi="Times New Roman" w:cs="Times New Roman"/>
          <w:sz w:val="21"/>
          <w:szCs w:val="21"/>
        </w:rPr>
        <w:t>analysed</w:t>
      </w:r>
      <w:r w:rsidRPr="00F662A7">
        <w:rPr>
          <w:rFonts w:ascii="Times New Roman" w:hAnsi="Times New Roman" w:cs="Times New Roman"/>
          <w:sz w:val="21"/>
          <w:szCs w:val="21"/>
        </w:rPr>
        <w:t>. While the findings contribute valuable insights into stature estimation using sternal measurements, certain limitations must be acknowledged. The sample size, although balanced by sex, may not be sufficiently large to represent the diverse genetic and environmental variability present within the Indian population. Furthermore, the data were collected from a specific geographic region, potentially limiting the generalizability of the results across different regions and ethnic groups in India.</w:t>
      </w:r>
    </w:p>
    <w:p w14:paraId="05B7CB1A" w14:textId="77777777" w:rsidR="00752FFF" w:rsidRPr="00F662A7" w:rsidRDefault="00752FFF" w:rsidP="00752FFF">
      <w:pPr>
        <w:rPr>
          <w:rFonts w:ascii="Times New Roman" w:hAnsi="Times New Roman" w:cs="Times New Roman"/>
          <w:sz w:val="21"/>
          <w:szCs w:val="21"/>
        </w:rPr>
      </w:pPr>
      <w:r w:rsidRPr="00F662A7">
        <w:rPr>
          <w:rFonts w:ascii="Times New Roman" w:hAnsi="Times New Roman" w:cs="Times New Roman"/>
          <w:sz w:val="21"/>
          <w:szCs w:val="21"/>
        </w:rPr>
        <w:t>To enhance the accuracy and broader applicability of the regression model, future studies should aim to incorporate a larger sample size, with greater demographic and age-specific representation. Additionally, the inclusion of other skeletal elements in conjunction with sternal dimensions may facilitate more comprehensive and reliable models for stature estimation. Investigating the influence of variables such as age, sex, and ethnicity on the relationship between sternal length and stature is also recommended to refine predictive algorithms and improve their forensic applicability.</w:t>
      </w:r>
    </w:p>
    <w:p w14:paraId="2A56666E" w14:textId="059F9366" w:rsidR="00F0638B" w:rsidRPr="00F662A7" w:rsidRDefault="00F0638B" w:rsidP="00752FFF">
      <w:pPr>
        <w:rPr>
          <w:rFonts w:ascii="Times New Roman" w:hAnsi="Times New Roman" w:cs="Times New Roman"/>
          <w:b/>
          <w:bCs/>
          <w:sz w:val="21"/>
          <w:szCs w:val="21"/>
        </w:rPr>
      </w:pPr>
      <w:r w:rsidRPr="00F662A7">
        <w:rPr>
          <w:rFonts w:ascii="Times New Roman" w:hAnsi="Times New Roman" w:cs="Times New Roman"/>
          <w:b/>
          <w:bCs/>
          <w:sz w:val="21"/>
          <w:szCs w:val="21"/>
        </w:rPr>
        <w:t xml:space="preserve">Bibliography </w:t>
      </w:r>
    </w:p>
    <w:p w14:paraId="140ABFB5" w14:textId="77777777" w:rsidR="004D569B" w:rsidRPr="004D569B" w:rsidRDefault="00F0638B" w:rsidP="004D569B">
      <w:pPr>
        <w:pStyle w:val="Bibliography"/>
        <w:rPr>
          <w:rFonts w:ascii="Times New Roman" w:hAnsi="Times New Roman" w:cs="Times New Roman"/>
          <w:sz w:val="21"/>
        </w:rPr>
      </w:pPr>
      <w:r w:rsidRPr="00F662A7">
        <w:rPr>
          <w:rFonts w:cs="Times New Roman"/>
          <w:b/>
          <w:bCs/>
          <w:sz w:val="21"/>
          <w:szCs w:val="21"/>
        </w:rPr>
        <w:fldChar w:fldCharType="begin"/>
      </w:r>
      <w:r w:rsidRPr="00F662A7">
        <w:rPr>
          <w:rFonts w:cs="Times New Roman"/>
          <w:b/>
          <w:bCs/>
          <w:sz w:val="21"/>
          <w:szCs w:val="21"/>
        </w:rPr>
        <w:instrText xml:space="preserve"> ADDIN ZOTERO_BIBL {"uncited":[],"omitted":[],"custom":[]} CSL_BIBLIOGRAPHY </w:instrText>
      </w:r>
      <w:r w:rsidRPr="00F662A7">
        <w:rPr>
          <w:rFonts w:cs="Times New Roman"/>
          <w:b/>
          <w:bCs/>
          <w:sz w:val="21"/>
          <w:szCs w:val="21"/>
        </w:rPr>
        <w:fldChar w:fldCharType="separate"/>
      </w:r>
      <w:r w:rsidR="004D569B" w:rsidRPr="004D569B">
        <w:rPr>
          <w:rFonts w:ascii="Times New Roman" w:hAnsi="Times New Roman" w:cs="Times New Roman"/>
          <w:sz w:val="21"/>
        </w:rPr>
        <w:t xml:space="preserve">1. </w:t>
      </w:r>
      <w:r w:rsidR="004D569B" w:rsidRPr="004D569B">
        <w:rPr>
          <w:rFonts w:ascii="Times New Roman" w:hAnsi="Times New Roman" w:cs="Times New Roman"/>
          <w:sz w:val="21"/>
        </w:rPr>
        <w:tab/>
        <w:t xml:space="preserve">Krishan K, Sharma A. Estimation of stature from dimensions of hands and feet in a North Indian population. J Forensic Leg Med. 2007 Aug;14(6):327–32. </w:t>
      </w:r>
    </w:p>
    <w:p w14:paraId="7B694690"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2. </w:t>
      </w:r>
      <w:r w:rsidRPr="004D569B">
        <w:rPr>
          <w:rFonts w:ascii="Times New Roman" w:hAnsi="Times New Roman" w:cs="Times New Roman"/>
          <w:sz w:val="21"/>
        </w:rPr>
        <w:tab/>
        <w:t xml:space="preserve">Chaudhari V. Estimation of stature from various sternal lengths: An autopsy based study in South Indian population. Journal of Indian Academy of Forensic Medicine. 2020 Dec 23;42:80–3. </w:t>
      </w:r>
    </w:p>
    <w:p w14:paraId="10C4EAEA"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3. </w:t>
      </w:r>
      <w:r w:rsidRPr="004D569B">
        <w:rPr>
          <w:rFonts w:ascii="Times New Roman" w:hAnsi="Times New Roman" w:cs="Times New Roman"/>
          <w:sz w:val="21"/>
        </w:rPr>
        <w:tab/>
        <w:t xml:space="preserve">Mahakkanukrauh P, Khanpetch P, Prasitwattanseree S, Vichairat K, Troy Case D. Stature estimation from long bone lengths in a Thai population. Forensic Sci Int. 2011 Jul 15;210(1–3):279.e1-7. </w:t>
      </w:r>
    </w:p>
    <w:p w14:paraId="6D74DC5C"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4. </w:t>
      </w:r>
      <w:r w:rsidRPr="004D569B">
        <w:rPr>
          <w:rFonts w:ascii="Times New Roman" w:hAnsi="Times New Roman" w:cs="Times New Roman"/>
          <w:sz w:val="21"/>
        </w:rPr>
        <w:tab/>
        <w:t xml:space="preserve">Singh J, Pathak RK. Sex and age related non-metric variation of the human sternum in a Northwest Indian postmortem sample: a pilot study. Forensic Sci Int. 2013 May 10;228(1–3):181.e1-12. </w:t>
      </w:r>
    </w:p>
    <w:p w14:paraId="3736AEF5"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lastRenderedPageBreak/>
        <w:t xml:space="preserve">5. </w:t>
      </w:r>
      <w:r w:rsidRPr="004D569B">
        <w:rPr>
          <w:rFonts w:ascii="Times New Roman" w:hAnsi="Times New Roman" w:cs="Times New Roman"/>
          <w:sz w:val="21"/>
        </w:rPr>
        <w:tab/>
        <w:t xml:space="preserve">Hunnargi SA, Menezes RG, Kanchan T, Lobo SW, Uysal S, Herekar NG, et al. Sternal index: Is it a reliable indicator of sex in the Maharashtrian population of India? J Forensic Leg Med. 2009 Feb;16(2):56–8. </w:t>
      </w:r>
    </w:p>
    <w:p w14:paraId="47E2B875"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6. </w:t>
      </w:r>
      <w:r w:rsidRPr="004D569B">
        <w:rPr>
          <w:rFonts w:ascii="Times New Roman" w:hAnsi="Times New Roman" w:cs="Times New Roman"/>
          <w:sz w:val="21"/>
        </w:rPr>
        <w:tab/>
        <w:t xml:space="preserve">Yonguc GN, Kurtulus A, Bayazit O, Adiguzel E, Unal I, Demir S, et al. Estimation of stature and sex from sternal lengths: an autopsy study. Anat Sci Int. 2015 Mar;90(2):89–96. </w:t>
      </w:r>
    </w:p>
    <w:p w14:paraId="5FCB36F8"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7. </w:t>
      </w:r>
      <w:r w:rsidRPr="004D569B">
        <w:rPr>
          <w:rFonts w:ascii="Times New Roman" w:hAnsi="Times New Roman" w:cs="Times New Roman"/>
          <w:sz w:val="21"/>
        </w:rPr>
        <w:tab/>
        <w:t xml:space="preserve">Tumram NK, Parchake SB, Bardale RV, Dixit PG. Estimation of height from the length of the sternum in an adult Indian population. Med Sci Law. 2016 Jan;56(1):46–52. </w:t>
      </w:r>
    </w:p>
    <w:p w14:paraId="1208B977"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8. </w:t>
      </w:r>
      <w:r w:rsidRPr="004D569B">
        <w:rPr>
          <w:rFonts w:ascii="Times New Roman" w:hAnsi="Times New Roman" w:cs="Times New Roman"/>
          <w:sz w:val="21"/>
        </w:rPr>
        <w:tab/>
        <w:t xml:space="preserve">Saraf A, Kanchan T, Krishan K, Ateriya N, Setia P. Estimation of stature from sternum - Exploring the quadratic models. J Forensic Leg Med. 2018 Aug;58:9–13. </w:t>
      </w:r>
    </w:p>
    <w:p w14:paraId="73BFB6E3" w14:textId="77777777" w:rsidR="004D569B" w:rsidRPr="004D569B" w:rsidRDefault="004D569B" w:rsidP="004D569B">
      <w:pPr>
        <w:pStyle w:val="Bibliography"/>
        <w:rPr>
          <w:rFonts w:ascii="Times New Roman" w:hAnsi="Times New Roman" w:cs="Times New Roman"/>
          <w:sz w:val="21"/>
        </w:rPr>
      </w:pPr>
      <w:r w:rsidRPr="004D569B">
        <w:rPr>
          <w:rFonts w:ascii="Times New Roman" w:hAnsi="Times New Roman" w:cs="Times New Roman"/>
          <w:sz w:val="21"/>
        </w:rPr>
        <w:t xml:space="preserve">9. </w:t>
      </w:r>
      <w:r w:rsidRPr="004D569B">
        <w:rPr>
          <w:rFonts w:ascii="Times New Roman" w:hAnsi="Times New Roman" w:cs="Times New Roman"/>
          <w:sz w:val="21"/>
        </w:rPr>
        <w:tab/>
        <w:t xml:space="preserve">Menezes RG, Kanchan T, Kumar GP, Rao PPJ, Lobo SW, Uysal S, et al. Stature estimation from the length of the sternum in South Indian males: A preliminary study. Journal of forensic and legal medicine. 2009 Nov;16(8):441–3. </w:t>
      </w:r>
    </w:p>
    <w:p w14:paraId="7DCDE011" w14:textId="1132B58F" w:rsidR="001F2499" w:rsidRPr="00CF4683" w:rsidRDefault="00F0638B">
      <w:pPr>
        <w:rPr>
          <w:rFonts w:ascii="Times New Roman" w:hAnsi="Times New Roman" w:cs="Times New Roman"/>
          <w:sz w:val="21"/>
          <w:szCs w:val="21"/>
          <w:lang w:val="en-US"/>
        </w:rPr>
      </w:pPr>
      <w:r w:rsidRPr="00F662A7">
        <w:rPr>
          <w:rFonts w:ascii="Times New Roman" w:hAnsi="Times New Roman" w:cs="Times New Roman"/>
          <w:b/>
          <w:bCs/>
          <w:sz w:val="21"/>
          <w:szCs w:val="21"/>
        </w:rPr>
        <w:fldChar w:fldCharType="end"/>
      </w:r>
    </w:p>
    <w:sectPr w:rsidR="001F2499" w:rsidRPr="00CF4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F25"/>
    <w:multiLevelType w:val="multilevel"/>
    <w:tmpl w:val="734E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589E"/>
    <w:multiLevelType w:val="multilevel"/>
    <w:tmpl w:val="E95E4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93114"/>
    <w:multiLevelType w:val="multilevel"/>
    <w:tmpl w:val="F3D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C2B6C"/>
    <w:multiLevelType w:val="multilevel"/>
    <w:tmpl w:val="FF32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545F4"/>
    <w:multiLevelType w:val="multilevel"/>
    <w:tmpl w:val="B10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61719"/>
    <w:multiLevelType w:val="multilevel"/>
    <w:tmpl w:val="A8926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194073">
    <w:abstractNumId w:val="3"/>
  </w:num>
  <w:num w:numId="2" w16cid:durableId="1504006026">
    <w:abstractNumId w:val="4"/>
  </w:num>
  <w:num w:numId="3" w16cid:durableId="547839968">
    <w:abstractNumId w:val="0"/>
  </w:num>
  <w:num w:numId="4" w16cid:durableId="2043629589">
    <w:abstractNumId w:val="5"/>
  </w:num>
  <w:num w:numId="5" w16cid:durableId="693074741">
    <w:abstractNumId w:val="1"/>
  </w:num>
  <w:num w:numId="6" w16cid:durableId="135800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99"/>
    <w:rsid w:val="00095C4C"/>
    <w:rsid w:val="001A7EF2"/>
    <w:rsid w:val="001F2499"/>
    <w:rsid w:val="00275966"/>
    <w:rsid w:val="00295389"/>
    <w:rsid w:val="002F6A90"/>
    <w:rsid w:val="003C1479"/>
    <w:rsid w:val="003C6D2A"/>
    <w:rsid w:val="00400F26"/>
    <w:rsid w:val="004D569B"/>
    <w:rsid w:val="00572ABA"/>
    <w:rsid w:val="006C59DC"/>
    <w:rsid w:val="00744F09"/>
    <w:rsid w:val="00752FFF"/>
    <w:rsid w:val="007C463D"/>
    <w:rsid w:val="008A1EA2"/>
    <w:rsid w:val="009666CF"/>
    <w:rsid w:val="00B53D8D"/>
    <w:rsid w:val="00CF4683"/>
    <w:rsid w:val="00D10933"/>
    <w:rsid w:val="00D51BB8"/>
    <w:rsid w:val="00DA6B0E"/>
    <w:rsid w:val="00DD077B"/>
    <w:rsid w:val="00E37B77"/>
    <w:rsid w:val="00E574CE"/>
    <w:rsid w:val="00F0638B"/>
    <w:rsid w:val="00F662A7"/>
    <w:rsid w:val="00F81B4A"/>
    <w:rsid w:val="00F929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FE1C"/>
  <w15:chartTrackingRefBased/>
  <w15:docId w15:val="{EE107917-F166-477F-AB19-C850DC2A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F2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4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4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4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9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1F249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1F249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F249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F249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1F249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F249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F249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F249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F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9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F2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9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F2499"/>
    <w:pPr>
      <w:spacing w:before="160"/>
      <w:jc w:val="center"/>
    </w:pPr>
    <w:rPr>
      <w:i/>
      <w:iCs/>
      <w:color w:val="404040" w:themeColor="text1" w:themeTint="BF"/>
    </w:rPr>
  </w:style>
  <w:style w:type="character" w:customStyle="1" w:styleId="QuoteChar">
    <w:name w:val="Quote Char"/>
    <w:basedOn w:val="DefaultParagraphFont"/>
    <w:link w:val="Quote"/>
    <w:uiPriority w:val="29"/>
    <w:rsid w:val="001F2499"/>
    <w:rPr>
      <w:i/>
      <w:iCs/>
      <w:color w:val="404040" w:themeColor="text1" w:themeTint="BF"/>
      <w:lang w:val="en-GB"/>
    </w:rPr>
  </w:style>
  <w:style w:type="paragraph" w:styleId="ListParagraph">
    <w:name w:val="List Paragraph"/>
    <w:basedOn w:val="Normal"/>
    <w:uiPriority w:val="34"/>
    <w:qFormat/>
    <w:rsid w:val="001F2499"/>
    <w:pPr>
      <w:ind w:left="720"/>
      <w:contextualSpacing/>
    </w:pPr>
  </w:style>
  <w:style w:type="character" w:styleId="IntenseEmphasis">
    <w:name w:val="Intense Emphasis"/>
    <w:basedOn w:val="DefaultParagraphFont"/>
    <w:uiPriority w:val="21"/>
    <w:qFormat/>
    <w:rsid w:val="001F2499"/>
    <w:rPr>
      <w:i/>
      <w:iCs/>
      <w:color w:val="2F5496" w:themeColor="accent1" w:themeShade="BF"/>
    </w:rPr>
  </w:style>
  <w:style w:type="paragraph" w:styleId="IntenseQuote">
    <w:name w:val="Intense Quote"/>
    <w:basedOn w:val="Normal"/>
    <w:next w:val="Normal"/>
    <w:link w:val="IntenseQuoteChar"/>
    <w:uiPriority w:val="30"/>
    <w:qFormat/>
    <w:rsid w:val="001F2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499"/>
    <w:rPr>
      <w:i/>
      <w:iCs/>
      <w:color w:val="2F5496" w:themeColor="accent1" w:themeShade="BF"/>
      <w:lang w:val="en-GB"/>
    </w:rPr>
  </w:style>
  <w:style w:type="character" w:styleId="IntenseReference">
    <w:name w:val="Intense Reference"/>
    <w:basedOn w:val="DefaultParagraphFont"/>
    <w:uiPriority w:val="32"/>
    <w:qFormat/>
    <w:rsid w:val="001F2499"/>
    <w:rPr>
      <w:b/>
      <w:bCs/>
      <w:smallCaps/>
      <w:color w:val="2F5496" w:themeColor="accent1" w:themeShade="BF"/>
      <w:spacing w:val="5"/>
    </w:rPr>
  </w:style>
  <w:style w:type="table" w:styleId="TableGrid">
    <w:name w:val="Table Grid"/>
    <w:basedOn w:val="TableNormal"/>
    <w:uiPriority w:val="39"/>
    <w:rsid w:val="00D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0638B"/>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70304">
      <w:bodyDiv w:val="1"/>
      <w:marLeft w:val="0"/>
      <w:marRight w:val="0"/>
      <w:marTop w:val="0"/>
      <w:marBottom w:val="0"/>
      <w:divBdr>
        <w:top w:val="none" w:sz="0" w:space="0" w:color="auto"/>
        <w:left w:val="none" w:sz="0" w:space="0" w:color="auto"/>
        <w:bottom w:val="none" w:sz="0" w:space="0" w:color="auto"/>
        <w:right w:val="none" w:sz="0" w:space="0" w:color="auto"/>
      </w:divBdr>
    </w:div>
    <w:div w:id="489252153">
      <w:bodyDiv w:val="1"/>
      <w:marLeft w:val="0"/>
      <w:marRight w:val="0"/>
      <w:marTop w:val="0"/>
      <w:marBottom w:val="0"/>
      <w:divBdr>
        <w:top w:val="none" w:sz="0" w:space="0" w:color="auto"/>
        <w:left w:val="none" w:sz="0" w:space="0" w:color="auto"/>
        <w:bottom w:val="none" w:sz="0" w:space="0" w:color="auto"/>
        <w:right w:val="none" w:sz="0" w:space="0" w:color="auto"/>
      </w:divBdr>
    </w:div>
    <w:div w:id="767774063">
      <w:bodyDiv w:val="1"/>
      <w:marLeft w:val="0"/>
      <w:marRight w:val="0"/>
      <w:marTop w:val="0"/>
      <w:marBottom w:val="0"/>
      <w:divBdr>
        <w:top w:val="none" w:sz="0" w:space="0" w:color="auto"/>
        <w:left w:val="none" w:sz="0" w:space="0" w:color="auto"/>
        <w:bottom w:val="none" w:sz="0" w:space="0" w:color="auto"/>
        <w:right w:val="none" w:sz="0" w:space="0" w:color="auto"/>
      </w:divBdr>
    </w:div>
    <w:div w:id="1101611424">
      <w:bodyDiv w:val="1"/>
      <w:marLeft w:val="0"/>
      <w:marRight w:val="0"/>
      <w:marTop w:val="0"/>
      <w:marBottom w:val="0"/>
      <w:divBdr>
        <w:top w:val="none" w:sz="0" w:space="0" w:color="auto"/>
        <w:left w:val="none" w:sz="0" w:space="0" w:color="auto"/>
        <w:bottom w:val="none" w:sz="0" w:space="0" w:color="auto"/>
        <w:right w:val="none" w:sz="0" w:space="0" w:color="auto"/>
      </w:divBdr>
    </w:div>
    <w:div w:id="1209683502">
      <w:bodyDiv w:val="1"/>
      <w:marLeft w:val="0"/>
      <w:marRight w:val="0"/>
      <w:marTop w:val="0"/>
      <w:marBottom w:val="0"/>
      <w:divBdr>
        <w:top w:val="none" w:sz="0" w:space="0" w:color="auto"/>
        <w:left w:val="none" w:sz="0" w:space="0" w:color="auto"/>
        <w:bottom w:val="none" w:sz="0" w:space="0" w:color="auto"/>
        <w:right w:val="none" w:sz="0" w:space="0" w:color="auto"/>
      </w:divBdr>
    </w:div>
    <w:div w:id="1557739091">
      <w:bodyDiv w:val="1"/>
      <w:marLeft w:val="0"/>
      <w:marRight w:val="0"/>
      <w:marTop w:val="0"/>
      <w:marBottom w:val="0"/>
      <w:divBdr>
        <w:top w:val="none" w:sz="0" w:space="0" w:color="auto"/>
        <w:left w:val="none" w:sz="0" w:space="0" w:color="auto"/>
        <w:bottom w:val="none" w:sz="0" w:space="0" w:color="auto"/>
        <w:right w:val="none" w:sz="0" w:space="0" w:color="auto"/>
      </w:divBdr>
    </w:div>
    <w:div w:id="1649895984">
      <w:bodyDiv w:val="1"/>
      <w:marLeft w:val="0"/>
      <w:marRight w:val="0"/>
      <w:marTop w:val="0"/>
      <w:marBottom w:val="0"/>
      <w:divBdr>
        <w:top w:val="none" w:sz="0" w:space="0" w:color="auto"/>
        <w:left w:val="none" w:sz="0" w:space="0" w:color="auto"/>
        <w:bottom w:val="none" w:sz="0" w:space="0" w:color="auto"/>
        <w:right w:val="none" w:sz="0" w:space="0" w:color="auto"/>
      </w:divBdr>
    </w:div>
    <w:div w:id="1666283504">
      <w:bodyDiv w:val="1"/>
      <w:marLeft w:val="0"/>
      <w:marRight w:val="0"/>
      <w:marTop w:val="0"/>
      <w:marBottom w:val="0"/>
      <w:divBdr>
        <w:top w:val="none" w:sz="0" w:space="0" w:color="auto"/>
        <w:left w:val="none" w:sz="0" w:space="0" w:color="auto"/>
        <w:bottom w:val="none" w:sz="0" w:space="0" w:color="auto"/>
        <w:right w:val="none" w:sz="0" w:space="0" w:color="auto"/>
      </w:divBdr>
    </w:div>
    <w:div w:id="1713768842">
      <w:bodyDiv w:val="1"/>
      <w:marLeft w:val="0"/>
      <w:marRight w:val="0"/>
      <w:marTop w:val="0"/>
      <w:marBottom w:val="0"/>
      <w:divBdr>
        <w:top w:val="none" w:sz="0" w:space="0" w:color="auto"/>
        <w:left w:val="none" w:sz="0" w:space="0" w:color="auto"/>
        <w:bottom w:val="none" w:sz="0" w:space="0" w:color="auto"/>
        <w:right w:val="none" w:sz="0" w:space="0" w:color="auto"/>
      </w:divBdr>
    </w:div>
    <w:div w:id="1760716937">
      <w:bodyDiv w:val="1"/>
      <w:marLeft w:val="0"/>
      <w:marRight w:val="0"/>
      <w:marTop w:val="0"/>
      <w:marBottom w:val="0"/>
      <w:divBdr>
        <w:top w:val="none" w:sz="0" w:space="0" w:color="auto"/>
        <w:left w:val="none" w:sz="0" w:space="0" w:color="auto"/>
        <w:bottom w:val="none" w:sz="0" w:space="0" w:color="auto"/>
        <w:right w:val="none" w:sz="0" w:space="0" w:color="auto"/>
      </w:divBdr>
    </w:div>
    <w:div w:id="1775973837">
      <w:bodyDiv w:val="1"/>
      <w:marLeft w:val="0"/>
      <w:marRight w:val="0"/>
      <w:marTop w:val="0"/>
      <w:marBottom w:val="0"/>
      <w:divBdr>
        <w:top w:val="none" w:sz="0" w:space="0" w:color="auto"/>
        <w:left w:val="none" w:sz="0" w:space="0" w:color="auto"/>
        <w:bottom w:val="none" w:sz="0" w:space="0" w:color="auto"/>
        <w:right w:val="none" w:sz="0" w:space="0" w:color="auto"/>
      </w:divBdr>
    </w:div>
    <w:div w:id="1821968871">
      <w:bodyDiv w:val="1"/>
      <w:marLeft w:val="0"/>
      <w:marRight w:val="0"/>
      <w:marTop w:val="0"/>
      <w:marBottom w:val="0"/>
      <w:divBdr>
        <w:top w:val="none" w:sz="0" w:space="0" w:color="auto"/>
        <w:left w:val="none" w:sz="0" w:space="0" w:color="auto"/>
        <w:bottom w:val="none" w:sz="0" w:space="0" w:color="auto"/>
        <w:right w:val="none" w:sz="0" w:space="0" w:color="auto"/>
      </w:divBdr>
    </w:div>
    <w:div w:id="1992975563">
      <w:bodyDiv w:val="1"/>
      <w:marLeft w:val="0"/>
      <w:marRight w:val="0"/>
      <w:marTop w:val="0"/>
      <w:marBottom w:val="0"/>
      <w:divBdr>
        <w:top w:val="none" w:sz="0" w:space="0" w:color="auto"/>
        <w:left w:val="none" w:sz="0" w:space="0" w:color="auto"/>
        <w:bottom w:val="none" w:sz="0" w:space="0" w:color="auto"/>
        <w:right w:val="none" w:sz="0" w:space="0" w:color="auto"/>
      </w:divBdr>
    </w:div>
    <w:div w:id="21136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ysClr val="windowText" lastClr="000000">
                    <a:lumMod val="65000"/>
                    <a:lumOff val="35000"/>
                  </a:sysClr>
                </a:solidFill>
              </a:rPr>
              <a:t>Correlation between Length of body &amp; </a:t>
            </a:r>
          </a:p>
          <a:p>
            <a:pPr>
              <a:defRPr/>
            </a:pPr>
            <a:r>
              <a:rPr lang="en-IN" sz="1200" b="1" i="0" u="none" strike="noStrike" kern="1200" spc="0" baseline="0">
                <a:solidFill>
                  <a:sysClr val="windowText" lastClr="000000">
                    <a:lumMod val="65000"/>
                    <a:lumOff val="35000"/>
                  </a:sysClr>
                </a:solidFill>
              </a:rPr>
              <a:t>Length of Mesosternum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Sheet1!$H$1</c:f>
              <c:strCache>
                <c:ptCount val="1"/>
                <c:pt idx="0">
                  <c:v>Length of Mesosternum (cm)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Sheet1!$E$2:$E$201</c:f>
              <c:numCache>
                <c:formatCode>General</c:formatCode>
                <c:ptCount val="200"/>
                <c:pt idx="0">
                  <c:v>167</c:v>
                </c:pt>
                <c:pt idx="1">
                  <c:v>160</c:v>
                </c:pt>
                <c:pt idx="2">
                  <c:v>163.5</c:v>
                </c:pt>
                <c:pt idx="3">
                  <c:v>162</c:v>
                </c:pt>
                <c:pt idx="4">
                  <c:v>158.5</c:v>
                </c:pt>
                <c:pt idx="5">
                  <c:v>161.5</c:v>
                </c:pt>
                <c:pt idx="6">
                  <c:v>166</c:v>
                </c:pt>
                <c:pt idx="7">
                  <c:v>162.5</c:v>
                </c:pt>
                <c:pt idx="8">
                  <c:v>168</c:v>
                </c:pt>
                <c:pt idx="9">
                  <c:v>154.5</c:v>
                </c:pt>
                <c:pt idx="10">
                  <c:v>163.5</c:v>
                </c:pt>
                <c:pt idx="11">
                  <c:v>150</c:v>
                </c:pt>
                <c:pt idx="12">
                  <c:v>160</c:v>
                </c:pt>
                <c:pt idx="13">
                  <c:v>163.5</c:v>
                </c:pt>
                <c:pt idx="14">
                  <c:v>162</c:v>
                </c:pt>
                <c:pt idx="15">
                  <c:v>166</c:v>
                </c:pt>
                <c:pt idx="16">
                  <c:v>163</c:v>
                </c:pt>
                <c:pt idx="17">
                  <c:v>164</c:v>
                </c:pt>
                <c:pt idx="18">
                  <c:v>167.5</c:v>
                </c:pt>
                <c:pt idx="19">
                  <c:v>163</c:v>
                </c:pt>
                <c:pt idx="20">
                  <c:v>182.5</c:v>
                </c:pt>
                <c:pt idx="21">
                  <c:v>155</c:v>
                </c:pt>
                <c:pt idx="22">
                  <c:v>170.5</c:v>
                </c:pt>
                <c:pt idx="23">
                  <c:v>163</c:v>
                </c:pt>
                <c:pt idx="24">
                  <c:v>160</c:v>
                </c:pt>
                <c:pt idx="25">
                  <c:v>163</c:v>
                </c:pt>
                <c:pt idx="26">
                  <c:v>160</c:v>
                </c:pt>
                <c:pt idx="27">
                  <c:v>170.5</c:v>
                </c:pt>
                <c:pt idx="28">
                  <c:v>161.5</c:v>
                </c:pt>
                <c:pt idx="29">
                  <c:v>169.5</c:v>
                </c:pt>
                <c:pt idx="30">
                  <c:v>162</c:v>
                </c:pt>
                <c:pt idx="31">
                  <c:v>166</c:v>
                </c:pt>
                <c:pt idx="32">
                  <c:v>154.5</c:v>
                </c:pt>
                <c:pt idx="33">
                  <c:v>162</c:v>
                </c:pt>
                <c:pt idx="34">
                  <c:v>160</c:v>
                </c:pt>
                <c:pt idx="35">
                  <c:v>166</c:v>
                </c:pt>
                <c:pt idx="36">
                  <c:v>158.5</c:v>
                </c:pt>
                <c:pt idx="37">
                  <c:v>155</c:v>
                </c:pt>
                <c:pt idx="38">
                  <c:v>160</c:v>
                </c:pt>
                <c:pt idx="39">
                  <c:v>157.5</c:v>
                </c:pt>
                <c:pt idx="40">
                  <c:v>164</c:v>
                </c:pt>
                <c:pt idx="41">
                  <c:v>160</c:v>
                </c:pt>
                <c:pt idx="42">
                  <c:v>151.5</c:v>
                </c:pt>
                <c:pt idx="43">
                  <c:v>175</c:v>
                </c:pt>
                <c:pt idx="44">
                  <c:v>180.5</c:v>
                </c:pt>
                <c:pt idx="45">
                  <c:v>173</c:v>
                </c:pt>
                <c:pt idx="46">
                  <c:v>156</c:v>
                </c:pt>
                <c:pt idx="47">
                  <c:v>163.5</c:v>
                </c:pt>
                <c:pt idx="48">
                  <c:v>164.5</c:v>
                </c:pt>
                <c:pt idx="49">
                  <c:v>168</c:v>
                </c:pt>
                <c:pt idx="50">
                  <c:v>157.5</c:v>
                </c:pt>
                <c:pt idx="51">
                  <c:v>158</c:v>
                </c:pt>
                <c:pt idx="52">
                  <c:v>179</c:v>
                </c:pt>
                <c:pt idx="53">
                  <c:v>170</c:v>
                </c:pt>
                <c:pt idx="54">
                  <c:v>168.5</c:v>
                </c:pt>
                <c:pt idx="55">
                  <c:v>155</c:v>
                </c:pt>
                <c:pt idx="56">
                  <c:v>168</c:v>
                </c:pt>
                <c:pt idx="57">
                  <c:v>151.5</c:v>
                </c:pt>
                <c:pt idx="58">
                  <c:v>161</c:v>
                </c:pt>
                <c:pt idx="59">
                  <c:v>164</c:v>
                </c:pt>
                <c:pt idx="60">
                  <c:v>158</c:v>
                </c:pt>
                <c:pt idx="61">
                  <c:v>160</c:v>
                </c:pt>
                <c:pt idx="62">
                  <c:v>158</c:v>
                </c:pt>
                <c:pt idx="63">
                  <c:v>150</c:v>
                </c:pt>
                <c:pt idx="64">
                  <c:v>165</c:v>
                </c:pt>
                <c:pt idx="65">
                  <c:v>165.5</c:v>
                </c:pt>
                <c:pt idx="66">
                  <c:v>170</c:v>
                </c:pt>
                <c:pt idx="67">
                  <c:v>162.5</c:v>
                </c:pt>
                <c:pt idx="68">
                  <c:v>156</c:v>
                </c:pt>
                <c:pt idx="69">
                  <c:v>157</c:v>
                </c:pt>
                <c:pt idx="70">
                  <c:v>155</c:v>
                </c:pt>
                <c:pt idx="71">
                  <c:v>162</c:v>
                </c:pt>
                <c:pt idx="72">
                  <c:v>164</c:v>
                </c:pt>
                <c:pt idx="73">
                  <c:v>160</c:v>
                </c:pt>
                <c:pt idx="74">
                  <c:v>174</c:v>
                </c:pt>
                <c:pt idx="75">
                  <c:v>163.5</c:v>
                </c:pt>
                <c:pt idx="76">
                  <c:v>167.5</c:v>
                </c:pt>
                <c:pt idx="77">
                  <c:v>158</c:v>
                </c:pt>
                <c:pt idx="78">
                  <c:v>158.5</c:v>
                </c:pt>
                <c:pt idx="79">
                  <c:v>157</c:v>
                </c:pt>
                <c:pt idx="80">
                  <c:v>159.5</c:v>
                </c:pt>
                <c:pt idx="81">
                  <c:v>162</c:v>
                </c:pt>
                <c:pt idx="82">
                  <c:v>167</c:v>
                </c:pt>
                <c:pt idx="83">
                  <c:v>166</c:v>
                </c:pt>
                <c:pt idx="84">
                  <c:v>172</c:v>
                </c:pt>
                <c:pt idx="85">
                  <c:v>161.5</c:v>
                </c:pt>
                <c:pt idx="86">
                  <c:v>155</c:v>
                </c:pt>
                <c:pt idx="87">
                  <c:v>162.5</c:v>
                </c:pt>
                <c:pt idx="88">
                  <c:v>161.5</c:v>
                </c:pt>
                <c:pt idx="89">
                  <c:v>168</c:v>
                </c:pt>
                <c:pt idx="90">
                  <c:v>165</c:v>
                </c:pt>
                <c:pt idx="91">
                  <c:v>160</c:v>
                </c:pt>
                <c:pt idx="92">
                  <c:v>164</c:v>
                </c:pt>
                <c:pt idx="93">
                  <c:v>149.5</c:v>
                </c:pt>
                <c:pt idx="94">
                  <c:v>158</c:v>
                </c:pt>
                <c:pt idx="95">
                  <c:v>155.5</c:v>
                </c:pt>
                <c:pt idx="96">
                  <c:v>157</c:v>
                </c:pt>
                <c:pt idx="97">
                  <c:v>160</c:v>
                </c:pt>
                <c:pt idx="98">
                  <c:v>157</c:v>
                </c:pt>
                <c:pt idx="99">
                  <c:v>154</c:v>
                </c:pt>
                <c:pt idx="100">
                  <c:v>165</c:v>
                </c:pt>
                <c:pt idx="101">
                  <c:v>158.5</c:v>
                </c:pt>
                <c:pt idx="102">
                  <c:v>157.5</c:v>
                </c:pt>
                <c:pt idx="103">
                  <c:v>155</c:v>
                </c:pt>
                <c:pt idx="104">
                  <c:v>155.5</c:v>
                </c:pt>
                <c:pt idx="105">
                  <c:v>145</c:v>
                </c:pt>
                <c:pt idx="106">
                  <c:v>155</c:v>
                </c:pt>
                <c:pt idx="107">
                  <c:v>160</c:v>
                </c:pt>
                <c:pt idx="108">
                  <c:v>150</c:v>
                </c:pt>
                <c:pt idx="109">
                  <c:v>150.5</c:v>
                </c:pt>
                <c:pt idx="110">
                  <c:v>157</c:v>
                </c:pt>
                <c:pt idx="111">
                  <c:v>177.5</c:v>
                </c:pt>
                <c:pt idx="112">
                  <c:v>165.5</c:v>
                </c:pt>
                <c:pt idx="113">
                  <c:v>155</c:v>
                </c:pt>
                <c:pt idx="114">
                  <c:v>162</c:v>
                </c:pt>
                <c:pt idx="115">
                  <c:v>156</c:v>
                </c:pt>
                <c:pt idx="116">
                  <c:v>158</c:v>
                </c:pt>
                <c:pt idx="117">
                  <c:v>151.5</c:v>
                </c:pt>
                <c:pt idx="118">
                  <c:v>154</c:v>
                </c:pt>
                <c:pt idx="119">
                  <c:v>153</c:v>
                </c:pt>
                <c:pt idx="120">
                  <c:v>156.5</c:v>
                </c:pt>
                <c:pt idx="121">
                  <c:v>156</c:v>
                </c:pt>
                <c:pt idx="122">
                  <c:v>158</c:v>
                </c:pt>
                <c:pt idx="123">
                  <c:v>156</c:v>
                </c:pt>
                <c:pt idx="124">
                  <c:v>155</c:v>
                </c:pt>
                <c:pt idx="125">
                  <c:v>153</c:v>
                </c:pt>
                <c:pt idx="126">
                  <c:v>155</c:v>
                </c:pt>
                <c:pt idx="127">
                  <c:v>150</c:v>
                </c:pt>
                <c:pt idx="128">
                  <c:v>158.5</c:v>
                </c:pt>
                <c:pt idx="129">
                  <c:v>155</c:v>
                </c:pt>
                <c:pt idx="130">
                  <c:v>156</c:v>
                </c:pt>
                <c:pt idx="131">
                  <c:v>157</c:v>
                </c:pt>
                <c:pt idx="132">
                  <c:v>158</c:v>
                </c:pt>
                <c:pt idx="133">
                  <c:v>154</c:v>
                </c:pt>
                <c:pt idx="134">
                  <c:v>160</c:v>
                </c:pt>
                <c:pt idx="135">
                  <c:v>160</c:v>
                </c:pt>
                <c:pt idx="136">
                  <c:v>152</c:v>
                </c:pt>
                <c:pt idx="137">
                  <c:v>147</c:v>
                </c:pt>
                <c:pt idx="138">
                  <c:v>154.5</c:v>
                </c:pt>
                <c:pt idx="139">
                  <c:v>158</c:v>
                </c:pt>
                <c:pt idx="140">
                  <c:v>151</c:v>
                </c:pt>
                <c:pt idx="141">
                  <c:v>150.5</c:v>
                </c:pt>
                <c:pt idx="142">
                  <c:v>154.5</c:v>
                </c:pt>
                <c:pt idx="143">
                  <c:v>153.5</c:v>
                </c:pt>
                <c:pt idx="144">
                  <c:v>148.5</c:v>
                </c:pt>
                <c:pt idx="145">
                  <c:v>143</c:v>
                </c:pt>
                <c:pt idx="146">
                  <c:v>158</c:v>
                </c:pt>
                <c:pt idx="147">
                  <c:v>160.5</c:v>
                </c:pt>
                <c:pt idx="148">
                  <c:v>157</c:v>
                </c:pt>
                <c:pt idx="149">
                  <c:v>150.5</c:v>
                </c:pt>
                <c:pt idx="150">
                  <c:v>161</c:v>
                </c:pt>
                <c:pt idx="151">
                  <c:v>149</c:v>
                </c:pt>
                <c:pt idx="152">
                  <c:v>151.5</c:v>
                </c:pt>
                <c:pt idx="153">
                  <c:v>160</c:v>
                </c:pt>
                <c:pt idx="154">
                  <c:v>149.5</c:v>
                </c:pt>
                <c:pt idx="155">
                  <c:v>146</c:v>
                </c:pt>
                <c:pt idx="156">
                  <c:v>156</c:v>
                </c:pt>
                <c:pt idx="157">
                  <c:v>160</c:v>
                </c:pt>
                <c:pt idx="158">
                  <c:v>148</c:v>
                </c:pt>
                <c:pt idx="159">
                  <c:v>157</c:v>
                </c:pt>
                <c:pt idx="160">
                  <c:v>153</c:v>
                </c:pt>
                <c:pt idx="161">
                  <c:v>151</c:v>
                </c:pt>
                <c:pt idx="162">
                  <c:v>146</c:v>
                </c:pt>
                <c:pt idx="163">
                  <c:v>159</c:v>
                </c:pt>
                <c:pt idx="164">
                  <c:v>148.5</c:v>
                </c:pt>
                <c:pt idx="165">
                  <c:v>156</c:v>
                </c:pt>
                <c:pt idx="166">
                  <c:v>156</c:v>
                </c:pt>
                <c:pt idx="167">
                  <c:v>160</c:v>
                </c:pt>
                <c:pt idx="168">
                  <c:v>153</c:v>
                </c:pt>
                <c:pt idx="169">
                  <c:v>157</c:v>
                </c:pt>
                <c:pt idx="170">
                  <c:v>153</c:v>
                </c:pt>
                <c:pt idx="171">
                  <c:v>149</c:v>
                </c:pt>
                <c:pt idx="172">
                  <c:v>145</c:v>
                </c:pt>
                <c:pt idx="173">
                  <c:v>151.5</c:v>
                </c:pt>
                <c:pt idx="174">
                  <c:v>147.5</c:v>
                </c:pt>
                <c:pt idx="175">
                  <c:v>155</c:v>
                </c:pt>
                <c:pt idx="176">
                  <c:v>147</c:v>
                </c:pt>
                <c:pt idx="177">
                  <c:v>161.5</c:v>
                </c:pt>
                <c:pt idx="178">
                  <c:v>151.5</c:v>
                </c:pt>
                <c:pt idx="179">
                  <c:v>148</c:v>
                </c:pt>
                <c:pt idx="180">
                  <c:v>157</c:v>
                </c:pt>
                <c:pt idx="181">
                  <c:v>155</c:v>
                </c:pt>
                <c:pt idx="182">
                  <c:v>153.5</c:v>
                </c:pt>
                <c:pt idx="183">
                  <c:v>156</c:v>
                </c:pt>
                <c:pt idx="184">
                  <c:v>144</c:v>
                </c:pt>
                <c:pt idx="185">
                  <c:v>138</c:v>
                </c:pt>
                <c:pt idx="186">
                  <c:v>148</c:v>
                </c:pt>
                <c:pt idx="187">
                  <c:v>149.5</c:v>
                </c:pt>
                <c:pt idx="188">
                  <c:v>163</c:v>
                </c:pt>
                <c:pt idx="189">
                  <c:v>150</c:v>
                </c:pt>
                <c:pt idx="190">
                  <c:v>160</c:v>
                </c:pt>
                <c:pt idx="191">
                  <c:v>157</c:v>
                </c:pt>
                <c:pt idx="192">
                  <c:v>157</c:v>
                </c:pt>
                <c:pt idx="193">
                  <c:v>157</c:v>
                </c:pt>
                <c:pt idx="194">
                  <c:v>138</c:v>
                </c:pt>
                <c:pt idx="195">
                  <c:v>150.5</c:v>
                </c:pt>
                <c:pt idx="196">
                  <c:v>154</c:v>
                </c:pt>
                <c:pt idx="197">
                  <c:v>150</c:v>
                </c:pt>
                <c:pt idx="198">
                  <c:v>152</c:v>
                </c:pt>
                <c:pt idx="199">
                  <c:v>146</c:v>
                </c:pt>
              </c:numCache>
            </c:numRef>
          </c:xVal>
          <c:yVal>
            <c:numRef>
              <c:f>Sheet1!$H$2:$H$201</c:f>
              <c:numCache>
                <c:formatCode>General</c:formatCode>
                <c:ptCount val="200"/>
                <c:pt idx="0">
                  <c:v>10.5</c:v>
                </c:pt>
                <c:pt idx="1">
                  <c:v>9.76</c:v>
                </c:pt>
                <c:pt idx="2">
                  <c:v>11.03</c:v>
                </c:pt>
                <c:pt idx="3">
                  <c:v>9.8999999999999986</c:v>
                </c:pt>
                <c:pt idx="4">
                  <c:v>9.4400000000000013</c:v>
                </c:pt>
                <c:pt idx="5">
                  <c:v>9.6</c:v>
                </c:pt>
                <c:pt idx="6">
                  <c:v>11.79</c:v>
                </c:pt>
                <c:pt idx="7">
                  <c:v>9.69</c:v>
                </c:pt>
                <c:pt idx="8">
                  <c:v>10.54</c:v>
                </c:pt>
                <c:pt idx="9">
                  <c:v>8.83</c:v>
                </c:pt>
                <c:pt idx="10">
                  <c:v>10.049999999999999</c:v>
                </c:pt>
                <c:pt idx="11">
                  <c:v>10.119999999999999</c:v>
                </c:pt>
                <c:pt idx="12">
                  <c:v>8.36</c:v>
                </c:pt>
                <c:pt idx="13">
                  <c:v>9.82</c:v>
                </c:pt>
                <c:pt idx="14">
                  <c:v>10.86</c:v>
                </c:pt>
                <c:pt idx="15">
                  <c:v>9.11</c:v>
                </c:pt>
                <c:pt idx="16">
                  <c:v>10.5</c:v>
                </c:pt>
                <c:pt idx="17">
                  <c:v>9.69</c:v>
                </c:pt>
                <c:pt idx="18">
                  <c:v>10.3</c:v>
                </c:pt>
                <c:pt idx="19">
                  <c:v>8.94</c:v>
                </c:pt>
                <c:pt idx="20">
                  <c:v>10.899999999999999</c:v>
                </c:pt>
                <c:pt idx="21">
                  <c:v>7.25</c:v>
                </c:pt>
                <c:pt idx="22">
                  <c:v>11.120000000000001</c:v>
                </c:pt>
                <c:pt idx="23">
                  <c:v>8.69</c:v>
                </c:pt>
                <c:pt idx="24">
                  <c:v>9.5599999999999987</c:v>
                </c:pt>
                <c:pt idx="25">
                  <c:v>11.76</c:v>
                </c:pt>
                <c:pt idx="26">
                  <c:v>8.02</c:v>
                </c:pt>
                <c:pt idx="27">
                  <c:v>10.870000000000001</c:v>
                </c:pt>
                <c:pt idx="28">
                  <c:v>8.7100000000000009</c:v>
                </c:pt>
                <c:pt idx="29">
                  <c:v>11.89</c:v>
                </c:pt>
                <c:pt idx="30">
                  <c:v>9.9200000000000017</c:v>
                </c:pt>
                <c:pt idx="31">
                  <c:v>11.34</c:v>
                </c:pt>
                <c:pt idx="32">
                  <c:v>11.540000000000001</c:v>
                </c:pt>
                <c:pt idx="33">
                  <c:v>9.8800000000000008</c:v>
                </c:pt>
                <c:pt idx="34">
                  <c:v>9.84</c:v>
                </c:pt>
                <c:pt idx="35">
                  <c:v>9.41</c:v>
                </c:pt>
                <c:pt idx="36">
                  <c:v>9.42</c:v>
                </c:pt>
                <c:pt idx="37">
                  <c:v>9.9200000000000017</c:v>
                </c:pt>
                <c:pt idx="38">
                  <c:v>10.050000000000001</c:v>
                </c:pt>
                <c:pt idx="39">
                  <c:v>8.92</c:v>
                </c:pt>
                <c:pt idx="40">
                  <c:v>10.07</c:v>
                </c:pt>
                <c:pt idx="41">
                  <c:v>10.15</c:v>
                </c:pt>
                <c:pt idx="42">
                  <c:v>8.91</c:v>
                </c:pt>
                <c:pt idx="43">
                  <c:v>11.540000000000003</c:v>
                </c:pt>
                <c:pt idx="44">
                  <c:v>11.200000000000001</c:v>
                </c:pt>
                <c:pt idx="45">
                  <c:v>11.11</c:v>
                </c:pt>
                <c:pt idx="46">
                  <c:v>9.8899999999999988</c:v>
                </c:pt>
                <c:pt idx="47">
                  <c:v>9.7600000000000016</c:v>
                </c:pt>
                <c:pt idx="48">
                  <c:v>10.24</c:v>
                </c:pt>
                <c:pt idx="49">
                  <c:v>10.760000000000002</c:v>
                </c:pt>
                <c:pt idx="50">
                  <c:v>10.129999999999999</c:v>
                </c:pt>
                <c:pt idx="51">
                  <c:v>9.6199999999999992</c:v>
                </c:pt>
                <c:pt idx="52">
                  <c:v>10.370000000000001</c:v>
                </c:pt>
                <c:pt idx="53">
                  <c:v>10.039999999999999</c:v>
                </c:pt>
                <c:pt idx="54">
                  <c:v>10.100000000000001</c:v>
                </c:pt>
                <c:pt idx="55">
                  <c:v>9.41</c:v>
                </c:pt>
                <c:pt idx="56">
                  <c:v>9.43</c:v>
                </c:pt>
                <c:pt idx="57">
                  <c:v>8.3500000000000014</c:v>
                </c:pt>
                <c:pt idx="58">
                  <c:v>9.4499999999999993</c:v>
                </c:pt>
                <c:pt idx="59">
                  <c:v>10.11</c:v>
                </c:pt>
                <c:pt idx="60">
                  <c:v>10.39</c:v>
                </c:pt>
                <c:pt idx="61">
                  <c:v>11</c:v>
                </c:pt>
                <c:pt idx="62">
                  <c:v>9.66</c:v>
                </c:pt>
                <c:pt idx="63">
                  <c:v>9.4600000000000009</c:v>
                </c:pt>
                <c:pt idx="64">
                  <c:v>11.100000000000001</c:v>
                </c:pt>
                <c:pt idx="65">
                  <c:v>10.739999999999998</c:v>
                </c:pt>
                <c:pt idx="66">
                  <c:v>10.35</c:v>
                </c:pt>
                <c:pt idx="67">
                  <c:v>11.2</c:v>
                </c:pt>
                <c:pt idx="68">
                  <c:v>9.11</c:v>
                </c:pt>
                <c:pt idx="69">
                  <c:v>9.89</c:v>
                </c:pt>
                <c:pt idx="70">
                  <c:v>10.75</c:v>
                </c:pt>
                <c:pt idx="71">
                  <c:v>11.18</c:v>
                </c:pt>
                <c:pt idx="72">
                  <c:v>10.5</c:v>
                </c:pt>
                <c:pt idx="73">
                  <c:v>10.98</c:v>
                </c:pt>
                <c:pt idx="74">
                  <c:v>9.6700000000000017</c:v>
                </c:pt>
                <c:pt idx="75">
                  <c:v>11.28</c:v>
                </c:pt>
                <c:pt idx="76">
                  <c:v>9.43</c:v>
                </c:pt>
                <c:pt idx="77">
                  <c:v>10.17</c:v>
                </c:pt>
                <c:pt idx="78">
                  <c:v>11.05</c:v>
                </c:pt>
                <c:pt idx="79">
                  <c:v>9.8999999999999986</c:v>
                </c:pt>
                <c:pt idx="80">
                  <c:v>11.810000000000002</c:v>
                </c:pt>
                <c:pt idx="81">
                  <c:v>9.09</c:v>
                </c:pt>
                <c:pt idx="82">
                  <c:v>11.219999999999999</c:v>
                </c:pt>
                <c:pt idx="83">
                  <c:v>11.83</c:v>
                </c:pt>
                <c:pt idx="84">
                  <c:v>10.64</c:v>
                </c:pt>
                <c:pt idx="85">
                  <c:v>10.45</c:v>
                </c:pt>
                <c:pt idx="86">
                  <c:v>11.129999999999999</c:v>
                </c:pt>
                <c:pt idx="87">
                  <c:v>10.129999999999999</c:v>
                </c:pt>
                <c:pt idx="88">
                  <c:v>10.130000000000001</c:v>
                </c:pt>
                <c:pt idx="89">
                  <c:v>10.419999999999998</c:v>
                </c:pt>
                <c:pt idx="90">
                  <c:v>11.120000000000001</c:v>
                </c:pt>
                <c:pt idx="91">
                  <c:v>10.93</c:v>
                </c:pt>
                <c:pt idx="92">
                  <c:v>11.34</c:v>
                </c:pt>
                <c:pt idx="93">
                  <c:v>10.09</c:v>
                </c:pt>
                <c:pt idx="94">
                  <c:v>9.5499999999999989</c:v>
                </c:pt>
                <c:pt idx="95">
                  <c:v>10.42</c:v>
                </c:pt>
                <c:pt idx="96">
                  <c:v>11.24</c:v>
                </c:pt>
                <c:pt idx="97">
                  <c:v>10.84</c:v>
                </c:pt>
                <c:pt idx="98">
                  <c:v>8.9499999999999993</c:v>
                </c:pt>
                <c:pt idx="99">
                  <c:v>9.629999999999999</c:v>
                </c:pt>
                <c:pt idx="100">
                  <c:v>9.82</c:v>
                </c:pt>
                <c:pt idx="101">
                  <c:v>8.81</c:v>
                </c:pt>
                <c:pt idx="102">
                  <c:v>11.83</c:v>
                </c:pt>
                <c:pt idx="103">
                  <c:v>8.76</c:v>
                </c:pt>
                <c:pt idx="104">
                  <c:v>9.99</c:v>
                </c:pt>
                <c:pt idx="105">
                  <c:v>11.219999999999999</c:v>
                </c:pt>
                <c:pt idx="106">
                  <c:v>10.5</c:v>
                </c:pt>
                <c:pt idx="107">
                  <c:v>8.65</c:v>
                </c:pt>
                <c:pt idx="108">
                  <c:v>10.24</c:v>
                </c:pt>
                <c:pt idx="109">
                  <c:v>8.4400000000000013</c:v>
                </c:pt>
                <c:pt idx="110">
                  <c:v>8.0500000000000007</c:v>
                </c:pt>
                <c:pt idx="111">
                  <c:v>11.400000000000002</c:v>
                </c:pt>
                <c:pt idx="112">
                  <c:v>10.07</c:v>
                </c:pt>
                <c:pt idx="113">
                  <c:v>9.3800000000000008</c:v>
                </c:pt>
                <c:pt idx="114">
                  <c:v>9.6399999999999988</c:v>
                </c:pt>
                <c:pt idx="115">
                  <c:v>9.1999999999999993</c:v>
                </c:pt>
                <c:pt idx="116">
                  <c:v>9.870000000000001</c:v>
                </c:pt>
                <c:pt idx="117">
                  <c:v>10.08</c:v>
                </c:pt>
                <c:pt idx="118">
                  <c:v>11.09</c:v>
                </c:pt>
                <c:pt idx="119">
                  <c:v>11.45</c:v>
                </c:pt>
                <c:pt idx="120">
                  <c:v>10.350000000000001</c:v>
                </c:pt>
                <c:pt idx="121">
                  <c:v>10.579999999999998</c:v>
                </c:pt>
                <c:pt idx="122">
                  <c:v>10.44</c:v>
                </c:pt>
                <c:pt idx="123">
                  <c:v>9.77</c:v>
                </c:pt>
                <c:pt idx="124">
                  <c:v>10.18</c:v>
                </c:pt>
                <c:pt idx="125">
                  <c:v>10.219999999999999</c:v>
                </c:pt>
                <c:pt idx="126">
                  <c:v>10.36</c:v>
                </c:pt>
                <c:pt idx="127">
                  <c:v>10.02</c:v>
                </c:pt>
                <c:pt idx="128">
                  <c:v>8.9200000000000017</c:v>
                </c:pt>
                <c:pt idx="129">
                  <c:v>11.940000000000001</c:v>
                </c:pt>
                <c:pt idx="130">
                  <c:v>8.620000000000001</c:v>
                </c:pt>
                <c:pt idx="131">
                  <c:v>8.3299999999999983</c:v>
                </c:pt>
                <c:pt idx="132">
                  <c:v>9.43</c:v>
                </c:pt>
                <c:pt idx="133">
                  <c:v>9.94</c:v>
                </c:pt>
                <c:pt idx="134">
                  <c:v>9.879999999999999</c:v>
                </c:pt>
                <c:pt idx="135">
                  <c:v>10.739999999999998</c:v>
                </c:pt>
                <c:pt idx="136">
                  <c:v>10.28</c:v>
                </c:pt>
                <c:pt idx="137">
                  <c:v>9.75</c:v>
                </c:pt>
                <c:pt idx="138">
                  <c:v>11.8</c:v>
                </c:pt>
                <c:pt idx="139">
                  <c:v>9.4500000000000011</c:v>
                </c:pt>
                <c:pt idx="140">
                  <c:v>8</c:v>
                </c:pt>
                <c:pt idx="141">
                  <c:v>8.89</c:v>
                </c:pt>
                <c:pt idx="142">
                  <c:v>9.99</c:v>
                </c:pt>
                <c:pt idx="143">
                  <c:v>11.05</c:v>
                </c:pt>
                <c:pt idx="144">
                  <c:v>9.8699999999999992</c:v>
                </c:pt>
                <c:pt idx="145">
                  <c:v>9.83</c:v>
                </c:pt>
                <c:pt idx="146">
                  <c:v>10.61</c:v>
                </c:pt>
                <c:pt idx="147">
                  <c:v>11.030000000000001</c:v>
                </c:pt>
                <c:pt idx="148">
                  <c:v>9.44</c:v>
                </c:pt>
                <c:pt idx="149">
                  <c:v>9.9</c:v>
                </c:pt>
                <c:pt idx="150">
                  <c:v>10.350000000000001</c:v>
                </c:pt>
                <c:pt idx="151">
                  <c:v>9.19</c:v>
                </c:pt>
                <c:pt idx="152">
                  <c:v>10.45</c:v>
                </c:pt>
                <c:pt idx="153">
                  <c:v>11</c:v>
                </c:pt>
                <c:pt idx="154">
                  <c:v>9.8699999999999992</c:v>
                </c:pt>
                <c:pt idx="155">
                  <c:v>9.56</c:v>
                </c:pt>
                <c:pt idx="156">
                  <c:v>10.52</c:v>
                </c:pt>
                <c:pt idx="157">
                  <c:v>9.92</c:v>
                </c:pt>
                <c:pt idx="158">
                  <c:v>9.2799999999999994</c:v>
                </c:pt>
                <c:pt idx="159">
                  <c:v>11.100000000000001</c:v>
                </c:pt>
                <c:pt idx="160">
                  <c:v>10.780000000000001</c:v>
                </c:pt>
                <c:pt idx="161">
                  <c:v>11.540000000000001</c:v>
                </c:pt>
                <c:pt idx="162">
                  <c:v>9.9699999999999989</c:v>
                </c:pt>
                <c:pt idx="163">
                  <c:v>10.49</c:v>
                </c:pt>
                <c:pt idx="164">
                  <c:v>8.8800000000000008</c:v>
                </c:pt>
                <c:pt idx="165">
                  <c:v>11.6</c:v>
                </c:pt>
                <c:pt idx="166">
                  <c:v>9.98</c:v>
                </c:pt>
                <c:pt idx="167">
                  <c:v>10.670000000000002</c:v>
                </c:pt>
                <c:pt idx="168">
                  <c:v>9.8099999999999987</c:v>
                </c:pt>
                <c:pt idx="169">
                  <c:v>9.48</c:v>
                </c:pt>
                <c:pt idx="170">
                  <c:v>10.98</c:v>
                </c:pt>
                <c:pt idx="171">
                  <c:v>8.9200000000000017</c:v>
                </c:pt>
                <c:pt idx="172">
                  <c:v>9.9300000000000015</c:v>
                </c:pt>
                <c:pt idx="173">
                  <c:v>10.47</c:v>
                </c:pt>
                <c:pt idx="174">
                  <c:v>10.11</c:v>
                </c:pt>
                <c:pt idx="175">
                  <c:v>10.099999999999998</c:v>
                </c:pt>
                <c:pt idx="176">
                  <c:v>9.06</c:v>
                </c:pt>
                <c:pt idx="177">
                  <c:v>10.68</c:v>
                </c:pt>
                <c:pt idx="178">
                  <c:v>9.15</c:v>
                </c:pt>
                <c:pt idx="179">
                  <c:v>10.450000000000001</c:v>
                </c:pt>
                <c:pt idx="180">
                  <c:v>11.139999999999999</c:v>
                </c:pt>
                <c:pt idx="181">
                  <c:v>10.510000000000002</c:v>
                </c:pt>
                <c:pt idx="182">
                  <c:v>10.32</c:v>
                </c:pt>
                <c:pt idx="183">
                  <c:v>11.05</c:v>
                </c:pt>
                <c:pt idx="184">
                  <c:v>9.23</c:v>
                </c:pt>
                <c:pt idx="185">
                  <c:v>9.16</c:v>
                </c:pt>
                <c:pt idx="186">
                  <c:v>9.94</c:v>
                </c:pt>
                <c:pt idx="187">
                  <c:v>11.22</c:v>
                </c:pt>
                <c:pt idx="188">
                  <c:v>10.920000000000002</c:v>
                </c:pt>
                <c:pt idx="189">
                  <c:v>10.419999999999998</c:v>
                </c:pt>
                <c:pt idx="190">
                  <c:v>10.26</c:v>
                </c:pt>
                <c:pt idx="191">
                  <c:v>10.43</c:v>
                </c:pt>
                <c:pt idx="192">
                  <c:v>9.3800000000000008</c:v>
                </c:pt>
                <c:pt idx="193">
                  <c:v>9.7899999999999991</c:v>
                </c:pt>
                <c:pt idx="194">
                  <c:v>8.2199999999999989</c:v>
                </c:pt>
                <c:pt idx="195">
                  <c:v>8.81</c:v>
                </c:pt>
                <c:pt idx="196">
                  <c:v>9.5500000000000007</c:v>
                </c:pt>
                <c:pt idx="197">
                  <c:v>9.2200000000000006</c:v>
                </c:pt>
                <c:pt idx="198">
                  <c:v>10</c:v>
                </c:pt>
                <c:pt idx="199">
                  <c:v>9.25</c:v>
                </c:pt>
              </c:numCache>
            </c:numRef>
          </c:yVal>
          <c:smooth val="0"/>
          <c:extLst>
            <c:ext xmlns:c16="http://schemas.microsoft.com/office/drawing/2014/chart" uri="{C3380CC4-5D6E-409C-BE32-E72D297353CC}">
              <c16:uniqueId val="{00000001-475C-4E92-996A-FF3AD8D0B70C}"/>
            </c:ext>
          </c:extLst>
        </c:ser>
        <c:dLbls>
          <c:showLegendKey val="0"/>
          <c:showVal val="0"/>
          <c:showCatName val="0"/>
          <c:showSerName val="0"/>
          <c:showPercent val="0"/>
          <c:showBubbleSize val="0"/>
        </c:dLbls>
        <c:axId val="1090262720"/>
        <c:axId val="1090259360"/>
      </c:scatterChart>
      <c:valAx>
        <c:axId val="1090262720"/>
        <c:scaling>
          <c:orientation val="minMax"/>
          <c:min val="1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lumMod val="65000"/>
                        <a:lumOff val="35000"/>
                      </a:sysClr>
                    </a:solidFill>
                  </a:rPr>
                  <a:t>Length of body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259360"/>
        <c:crosses val="autoZero"/>
        <c:crossBetween val="midCat"/>
      </c:valAx>
      <c:valAx>
        <c:axId val="1090259360"/>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800" b="0" i="0" u="none" strike="noStrike" kern="1200" baseline="0">
                    <a:solidFill>
                      <a:sysClr val="windowText" lastClr="000000">
                        <a:lumMod val="65000"/>
                        <a:lumOff val="35000"/>
                      </a:sysClr>
                    </a:solidFill>
                  </a:rPr>
                  <a:t>Length of Mesosternum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2627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ysClr val="windowText" lastClr="000000">
                    <a:lumMod val="65000"/>
                    <a:lumOff val="35000"/>
                  </a:sysClr>
                </a:solidFill>
              </a:rPr>
              <a:t>Correlation between length of body &amp; length of Sternum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Sheet1!$F$1</c:f>
              <c:strCache>
                <c:ptCount val="1"/>
                <c:pt idx="0">
                  <c:v>Total length of Sternum (cm)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Sheet1!$E$2:$E$201</c:f>
              <c:numCache>
                <c:formatCode>General</c:formatCode>
                <c:ptCount val="200"/>
                <c:pt idx="0">
                  <c:v>167</c:v>
                </c:pt>
                <c:pt idx="1">
                  <c:v>160</c:v>
                </c:pt>
                <c:pt idx="2">
                  <c:v>163.5</c:v>
                </c:pt>
                <c:pt idx="3">
                  <c:v>162</c:v>
                </c:pt>
                <c:pt idx="4">
                  <c:v>158.5</c:v>
                </c:pt>
                <c:pt idx="5">
                  <c:v>161.5</c:v>
                </c:pt>
                <c:pt idx="6">
                  <c:v>166</c:v>
                </c:pt>
                <c:pt idx="7">
                  <c:v>162.5</c:v>
                </c:pt>
                <c:pt idx="8">
                  <c:v>168</c:v>
                </c:pt>
                <c:pt idx="9">
                  <c:v>154.5</c:v>
                </c:pt>
                <c:pt idx="10">
                  <c:v>163.5</c:v>
                </c:pt>
                <c:pt idx="11">
                  <c:v>150</c:v>
                </c:pt>
                <c:pt idx="12">
                  <c:v>160</c:v>
                </c:pt>
                <c:pt idx="13">
                  <c:v>163.5</c:v>
                </c:pt>
                <c:pt idx="14">
                  <c:v>162</c:v>
                </c:pt>
                <c:pt idx="15">
                  <c:v>166</c:v>
                </c:pt>
                <c:pt idx="16">
                  <c:v>163</c:v>
                </c:pt>
                <c:pt idx="17">
                  <c:v>164</c:v>
                </c:pt>
                <c:pt idx="18">
                  <c:v>167.5</c:v>
                </c:pt>
                <c:pt idx="19">
                  <c:v>163</c:v>
                </c:pt>
                <c:pt idx="20">
                  <c:v>182.5</c:v>
                </c:pt>
                <c:pt idx="21">
                  <c:v>155</c:v>
                </c:pt>
                <c:pt idx="22">
                  <c:v>170.5</c:v>
                </c:pt>
                <c:pt idx="23">
                  <c:v>163</c:v>
                </c:pt>
                <c:pt idx="24">
                  <c:v>160</c:v>
                </c:pt>
                <c:pt idx="25">
                  <c:v>163</c:v>
                </c:pt>
                <c:pt idx="26">
                  <c:v>160</c:v>
                </c:pt>
                <c:pt idx="27">
                  <c:v>170.5</c:v>
                </c:pt>
                <c:pt idx="28">
                  <c:v>161.5</c:v>
                </c:pt>
                <c:pt idx="29">
                  <c:v>169.5</c:v>
                </c:pt>
                <c:pt idx="30">
                  <c:v>162</c:v>
                </c:pt>
                <c:pt idx="31">
                  <c:v>166</c:v>
                </c:pt>
                <c:pt idx="32">
                  <c:v>154.5</c:v>
                </c:pt>
                <c:pt idx="33">
                  <c:v>162</c:v>
                </c:pt>
                <c:pt idx="34">
                  <c:v>160</c:v>
                </c:pt>
                <c:pt idx="35">
                  <c:v>166</c:v>
                </c:pt>
                <c:pt idx="36">
                  <c:v>158.5</c:v>
                </c:pt>
                <c:pt idx="37">
                  <c:v>155</c:v>
                </c:pt>
                <c:pt idx="38">
                  <c:v>160</c:v>
                </c:pt>
                <c:pt idx="39">
                  <c:v>157.5</c:v>
                </c:pt>
                <c:pt idx="40">
                  <c:v>164</c:v>
                </c:pt>
                <c:pt idx="41">
                  <c:v>160</c:v>
                </c:pt>
                <c:pt idx="42">
                  <c:v>151.5</c:v>
                </c:pt>
                <c:pt idx="43">
                  <c:v>175</c:v>
                </c:pt>
                <c:pt idx="44">
                  <c:v>180.5</c:v>
                </c:pt>
                <c:pt idx="45">
                  <c:v>173</c:v>
                </c:pt>
                <c:pt idx="46">
                  <c:v>156</c:v>
                </c:pt>
                <c:pt idx="47">
                  <c:v>163.5</c:v>
                </c:pt>
                <c:pt idx="48">
                  <c:v>164.5</c:v>
                </c:pt>
                <c:pt idx="49">
                  <c:v>168</c:v>
                </c:pt>
                <c:pt idx="50">
                  <c:v>157.5</c:v>
                </c:pt>
                <c:pt idx="51">
                  <c:v>158</c:v>
                </c:pt>
                <c:pt idx="52">
                  <c:v>179</c:v>
                </c:pt>
                <c:pt idx="53">
                  <c:v>170</c:v>
                </c:pt>
                <c:pt idx="54">
                  <c:v>168.5</c:v>
                </c:pt>
                <c:pt idx="55">
                  <c:v>155</c:v>
                </c:pt>
                <c:pt idx="56">
                  <c:v>168</c:v>
                </c:pt>
                <c:pt idx="57">
                  <c:v>151.5</c:v>
                </c:pt>
                <c:pt idx="58">
                  <c:v>161</c:v>
                </c:pt>
                <c:pt idx="59">
                  <c:v>164</c:v>
                </c:pt>
                <c:pt idx="60">
                  <c:v>158</c:v>
                </c:pt>
                <c:pt idx="61">
                  <c:v>160</c:v>
                </c:pt>
                <c:pt idx="62">
                  <c:v>158</c:v>
                </c:pt>
                <c:pt idx="63">
                  <c:v>150</c:v>
                </c:pt>
                <c:pt idx="64">
                  <c:v>165</c:v>
                </c:pt>
                <c:pt idx="65">
                  <c:v>165.5</c:v>
                </c:pt>
                <c:pt idx="66">
                  <c:v>170</c:v>
                </c:pt>
                <c:pt idx="67">
                  <c:v>162.5</c:v>
                </c:pt>
                <c:pt idx="68">
                  <c:v>156</c:v>
                </c:pt>
                <c:pt idx="69">
                  <c:v>157</c:v>
                </c:pt>
                <c:pt idx="70">
                  <c:v>155</c:v>
                </c:pt>
                <c:pt idx="71">
                  <c:v>162</c:v>
                </c:pt>
                <c:pt idx="72">
                  <c:v>164</c:v>
                </c:pt>
                <c:pt idx="73">
                  <c:v>160</c:v>
                </c:pt>
                <c:pt idx="74">
                  <c:v>174</c:v>
                </c:pt>
                <c:pt idx="75">
                  <c:v>163.5</c:v>
                </c:pt>
                <c:pt idx="76">
                  <c:v>167.5</c:v>
                </c:pt>
                <c:pt idx="77">
                  <c:v>158</c:v>
                </c:pt>
                <c:pt idx="78">
                  <c:v>158.5</c:v>
                </c:pt>
                <c:pt idx="79">
                  <c:v>157</c:v>
                </c:pt>
                <c:pt idx="80">
                  <c:v>159.5</c:v>
                </c:pt>
                <c:pt idx="81">
                  <c:v>162</c:v>
                </c:pt>
                <c:pt idx="82">
                  <c:v>167</c:v>
                </c:pt>
                <c:pt idx="83">
                  <c:v>166</c:v>
                </c:pt>
                <c:pt idx="84">
                  <c:v>172</c:v>
                </c:pt>
                <c:pt idx="85">
                  <c:v>161.5</c:v>
                </c:pt>
                <c:pt idx="86">
                  <c:v>155</c:v>
                </c:pt>
                <c:pt idx="87">
                  <c:v>162.5</c:v>
                </c:pt>
                <c:pt idx="88">
                  <c:v>161.5</c:v>
                </c:pt>
                <c:pt idx="89">
                  <c:v>168</c:v>
                </c:pt>
                <c:pt idx="90">
                  <c:v>165</c:v>
                </c:pt>
                <c:pt idx="91">
                  <c:v>160</c:v>
                </c:pt>
                <c:pt idx="92">
                  <c:v>164</c:v>
                </c:pt>
                <c:pt idx="93">
                  <c:v>149.5</c:v>
                </c:pt>
                <c:pt idx="94">
                  <c:v>158</c:v>
                </c:pt>
                <c:pt idx="95">
                  <c:v>155.5</c:v>
                </c:pt>
                <c:pt idx="96">
                  <c:v>157</c:v>
                </c:pt>
                <c:pt idx="97">
                  <c:v>160</c:v>
                </c:pt>
                <c:pt idx="98">
                  <c:v>157</c:v>
                </c:pt>
                <c:pt idx="99">
                  <c:v>154</c:v>
                </c:pt>
                <c:pt idx="100">
                  <c:v>165</c:v>
                </c:pt>
                <c:pt idx="101">
                  <c:v>158.5</c:v>
                </c:pt>
                <c:pt idx="102">
                  <c:v>157.5</c:v>
                </c:pt>
                <c:pt idx="103">
                  <c:v>155</c:v>
                </c:pt>
                <c:pt idx="104">
                  <c:v>155.5</c:v>
                </c:pt>
                <c:pt idx="105">
                  <c:v>145</c:v>
                </c:pt>
                <c:pt idx="106">
                  <c:v>155</c:v>
                </c:pt>
                <c:pt idx="107">
                  <c:v>160</c:v>
                </c:pt>
                <c:pt idx="108">
                  <c:v>150</c:v>
                </c:pt>
                <c:pt idx="109">
                  <c:v>150.5</c:v>
                </c:pt>
                <c:pt idx="110">
                  <c:v>157</c:v>
                </c:pt>
                <c:pt idx="111">
                  <c:v>177.5</c:v>
                </c:pt>
                <c:pt idx="112">
                  <c:v>165.5</c:v>
                </c:pt>
                <c:pt idx="113">
                  <c:v>155</c:v>
                </c:pt>
                <c:pt idx="114">
                  <c:v>162</c:v>
                </c:pt>
                <c:pt idx="115">
                  <c:v>156</c:v>
                </c:pt>
                <c:pt idx="116">
                  <c:v>158</c:v>
                </c:pt>
                <c:pt idx="117">
                  <c:v>151.5</c:v>
                </c:pt>
                <c:pt idx="118">
                  <c:v>154</c:v>
                </c:pt>
                <c:pt idx="119">
                  <c:v>153</c:v>
                </c:pt>
                <c:pt idx="120">
                  <c:v>156.5</c:v>
                </c:pt>
                <c:pt idx="121">
                  <c:v>156</c:v>
                </c:pt>
                <c:pt idx="122">
                  <c:v>158</c:v>
                </c:pt>
                <c:pt idx="123">
                  <c:v>156</c:v>
                </c:pt>
                <c:pt idx="124">
                  <c:v>155</c:v>
                </c:pt>
                <c:pt idx="125">
                  <c:v>153</c:v>
                </c:pt>
                <c:pt idx="126">
                  <c:v>155</c:v>
                </c:pt>
                <c:pt idx="127">
                  <c:v>150</c:v>
                </c:pt>
                <c:pt idx="128">
                  <c:v>158.5</c:v>
                </c:pt>
                <c:pt idx="129">
                  <c:v>155</c:v>
                </c:pt>
                <c:pt idx="130">
                  <c:v>156</c:v>
                </c:pt>
                <c:pt idx="131">
                  <c:v>157</c:v>
                </c:pt>
                <c:pt idx="132">
                  <c:v>158</c:v>
                </c:pt>
                <c:pt idx="133">
                  <c:v>154</c:v>
                </c:pt>
                <c:pt idx="134">
                  <c:v>160</c:v>
                </c:pt>
                <c:pt idx="135">
                  <c:v>160</c:v>
                </c:pt>
                <c:pt idx="136">
                  <c:v>152</c:v>
                </c:pt>
                <c:pt idx="137">
                  <c:v>147</c:v>
                </c:pt>
                <c:pt idx="138">
                  <c:v>154.5</c:v>
                </c:pt>
                <c:pt idx="139">
                  <c:v>158</c:v>
                </c:pt>
                <c:pt idx="140">
                  <c:v>151</c:v>
                </c:pt>
                <c:pt idx="141">
                  <c:v>150.5</c:v>
                </c:pt>
                <c:pt idx="142">
                  <c:v>154.5</c:v>
                </c:pt>
                <c:pt idx="143">
                  <c:v>153.5</c:v>
                </c:pt>
                <c:pt idx="144">
                  <c:v>148.5</c:v>
                </c:pt>
                <c:pt idx="145">
                  <c:v>143</c:v>
                </c:pt>
                <c:pt idx="146">
                  <c:v>158</c:v>
                </c:pt>
                <c:pt idx="147">
                  <c:v>160.5</c:v>
                </c:pt>
                <c:pt idx="148">
                  <c:v>157</c:v>
                </c:pt>
                <c:pt idx="149">
                  <c:v>150.5</c:v>
                </c:pt>
                <c:pt idx="150">
                  <c:v>161</c:v>
                </c:pt>
                <c:pt idx="151">
                  <c:v>149</c:v>
                </c:pt>
                <c:pt idx="152">
                  <c:v>151.5</c:v>
                </c:pt>
                <c:pt idx="153">
                  <c:v>160</c:v>
                </c:pt>
                <c:pt idx="154">
                  <c:v>149.5</c:v>
                </c:pt>
                <c:pt idx="155">
                  <c:v>146</c:v>
                </c:pt>
                <c:pt idx="156">
                  <c:v>156</c:v>
                </c:pt>
                <c:pt idx="157">
                  <c:v>160</c:v>
                </c:pt>
                <c:pt idx="158">
                  <c:v>148</c:v>
                </c:pt>
                <c:pt idx="159">
                  <c:v>157</c:v>
                </c:pt>
                <c:pt idx="160">
                  <c:v>153</c:v>
                </c:pt>
                <c:pt idx="161">
                  <c:v>151</c:v>
                </c:pt>
                <c:pt idx="162">
                  <c:v>146</c:v>
                </c:pt>
                <c:pt idx="163">
                  <c:v>159</c:v>
                </c:pt>
                <c:pt idx="164">
                  <c:v>148.5</c:v>
                </c:pt>
                <c:pt idx="165">
                  <c:v>156</c:v>
                </c:pt>
                <c:pt idx="166">
                  <c:v>156</c:v>
                </c:pt>
                <c:pt idx="167">
                  <c:v>160</c:v>
                </c:pt>
                <c:pt idx="168">
                  <c:v>153</c:v>
                </c:pt>
                <c:pt idx="169">
                  <c:v>157</c:v>
                </c:pt>
                <c:pt idx="170">
                  <c:v>153</c:v>
                </c:pt>
                <c:pt idx="171">
                  <c:v>149</c:v>
                </c:pt>
                <c:pt idx="172">
                  <c:v>145</c:v>
                </c:pt>
                <c:pt idx="173">
                  <c:v>151.5</c:v>
                </c:pt>
                <c:pt idx="174">
                  <c:v>147.5</c:v>
                </c:pt>
                <c:pt idx="175">
                  <c:v>155</c:v>
                </c:pt>
                <c:pt idx="176">
                  <c:v>147</c:v>
                </c:pt>
                <c:pt idx="177">
                  <c:v>161.5</c:v>
                </c:pt>
                <c:pt idx="178">
                  <c:v>151.5</c:v>
                </c:pt>
                <c:pt idx="179">
                  <c:v>148</c:v>
                </c:pt>
                <c:pt idx="180">
                  <c:v>157</c:v>
                </c:pt>
                <c:pt idx="181">
                  <c:v>155</c:v>
                </c:pt>
                <c:pt idx="182">
                  <c:v>153.5</c:v>
                </c:pt>
                <c:pt idx="183">
                  <c:v>156</c:v>
                </c:pt>
                <c:pt idx="184">
                  <c:v>144</c:v>
                </c:pt>
                <c:pt idx="185">
                  <c:v>138</c:v>
                </c:pt>
                <c:pt idx="186">
                  <c:v>148</c:v>
                </c:pt>
                <c:pt idx="187">
                  <c:v>149.5</c:v>
                </c:pt>
                <c:pt idx="188">
                  <c:v>163</c:v>
                </c:pt>
                <c:pt idx="189">
                  <c:v>150</c:v>
                </c:pt>
                <c:pt idx="190">
                  <c:v>160</c:v>
                </c:pt>
                <c:pt idx="191">
                  <c:v>157</c:v>
                </c:pt>
                <c:pt idx="192">
                  <c:v>157</c:v>
                </c:pt>
                <c:pt idx="193">
                  <c:v>157</c:v>
                </c:pt>
                <c:pt idx="194">
                  <c:v>138</c:v>
                </c:pt>
                <c:pt idx="195">
                  <c:v>150.5</c:v>
                </c:pt>
                <c:pt idx="196">
                  <c:v>154</c:v>
                </c:pt>
                <c:pt idx="197">
                  <c:v>150</c:v>
                </c:pt>
                <c:pt idx="198">
                  <c:v>152</c:v>
                </c:pt>
                <c:pt idx="199">
                  <c:v>146</c:v>
                </c:pt>
              </c:numCache>
            </c:numRef>
          </c:xVal>
          <c:yVal>
            <c:numRef>
              <c:f>Sheet1!$F$2:$F$201</c:f>
              <c:numCache>
                <c:formatCode>General</c:formatCode>
                <c:ptCount val="200"/>
                <c:pt idx="0">
                  <c:v>15.23</c:v>
                </c:pt>
                <c:pt idx="1">
                  <c:v>13.35</c:v>
                </c:pt>
                <c:pt idx="2">
                  <c:v>16.86</c:v>
                </c:pt>
                <c:pt idx="3">
                  <c:v>14.27</c:v>
                </c:pt>
                <c:pt idx="4">
                  <c:v>12.57</c:v>
                </c:pt>
                <c:pt idx="5">
                  <c:v>13.19</c:v>
                </c:pt>
                <c:pt idx="6">
                  <c:v>16.239999999999998</c:v>
                </c:pt>
                <c:pt idx="7">
                  <c:v>13.44</c:v>
                </c:pt>
                <c:pt idx="8">
                  <c:v>14.45</c:v>
                </c:pt>
                <c:pt idx="9">
                  <c:v>12.15</c:v>
                </c:pt>
                <c:pt idx="10">
                  <c:v>14.03</c:v>
                </c:pt>
                <c:pt idx="11">
                  <c:v>13.78</c:v>
                </c:pt>
                <c:pt idx="12">
                  <c:v>12.11</c:v>
                </c:pt>
                <c:pt idx="13">
                  <c:v>14.03</c:v>
                </c:pt>
                <c:pt idx="14">
                  <c:v>15.23</c:v>
                </c:pt>
                <c:pt idx="15">
                  <c:v>12.65</c:v>
                </c:pt>
                <c:pt idx="16">
                  <c:v>16.28</c:v>
                </c:pt>
                <c:pt idx="17">
                  <c:v>13.61</c:v>
                </c:pt>
                <c:pt idx="18">
                  <c:v>15.93</c:v>
                </c:pt>
                <c:pt idx="19">
                  <c:v>13.61</c:v>
                </c:pt>
                <c:pt idx="20">
                  <c:v>17.239999999999998</c:v>
                </c:pt>
                <c:pt idx="21">
                  <c:v>12.01</c:v>
                </c:pt>
                <c:pt idx="22">
                  <c:v>16.28</c:v>
                </c:pt>
                <c:pt idx="23">
                  <c:v>12.61</c:v>
                </c:pt>
                <c:pt idx="24">
                  <c:v>13.67</c:v>
                </c:pt>
                <c:pt idx="25">
                  <c:v>15.61</c:v>
                </c:pt>
                <c:pt idx="26">
                  <c:v>12.27</c:v>
                </c:pt>
                <c:pt idx="27">
                  <c:v>15.55</c:v>
                </c:pt>
                <c:pt idx="28">
                  <c:v>12.26</c:v>
                </c:pt>
                <c:pt idx="29">
                  <c:v>16.45</c:v>
                </c:pt>
                <c:pt idx="30">
                  <c:v>14.13</c:v>
                </c:pt>
                <c:pt idx="31">
                  <c:v>15.21</c:v>
                </c:pt>
                <c:pt idx="32">
                  <c:v>14.98</c:v>
                </c:pt>
                <c:pt idx="33">
                  <c:v>13.66</c:v>
                </c:pt>
                <c:pt idx="34">
                  <c:v>14.29</c:v>
                </c:pt>
                <c:pt idx="35">
                  <c:v>13.75</c:v>
                </c:pt>
                <c:pt idx="36">
                  <c:v>12.67</c:v>
                </c:pt>
                <c:pt idx="37">
                  <c:v>13.13</c:v>
                </c:pt>
                <c:pt idx="38">
                  <c:v>14.31</c:v>
                </c:pt>
                <c:pt idx="39">
                  <c:v>12.23</c:v>
                </c:pt>
                <c:pt idx="40">
                  <c:v>14.45</c:v>
                </c:pt>
                <c:pt idx="41">
                  <c:v>14.38</c:v>
                </c:pt>
                <c:pt idx="42">
                  <c:v>12.8</c:v>
                </c:pt>
                <c:pt idx="43">
                  <c:v>16.850000000000001</c:v>
                </c:pt>
                <c:pt idx="44">
                  <c:v>16.46</c:v>
                </c:pt>
                <c:pt idx="45">
                  <c:v>15.76</c:v>
                </c:pt>
                <c:pt idx="46">
                  <c:v>13.78</c:v>
                </c:pt>
                <c:pt idx="47">
                  <c:v>13.89</c:v>
                </c:pt>
                <c:pt idx="48">
                  <c:v>14.56</c:v>
                </c:pt>
                <c:pt idx="49">
                  <c:v>14.89</c:v>
                </c:pt>
                <c:pt idx="50">
                  <c:v>14.09</c:v>
                </c:pt>
                <c:pt idx="51">
                  <c:v>13.78</c:v>
                </c:pt>
                <c:pt idx="52">
                  <c:v>15.23</c:v>
                </c:pt>
                <c:pt idx="53">
                  <c:v>15.17</c:v>
                </c:pt>
                <c:pt idx="54">
                  <c:v>14.89</c:v>
                </c:pt>
                <c:pt idx="55">
                  <c:v>12.88</c:v>
                </c:pt>
                <c:pt idx="56">
                  <c:v>13.66</c:v>
                </c:pt>
                <c:pt idx="57">
                  <c:v>12.89</c:v>
                </c:pt>
                <c:pt idx="58">
                  <c:v>14.57</c:v>
                </c:pt>
                <c:pt idx="59">
                  <c:v>15.24</c:v>
                </c:pt>
                <c:pt idx="60">
                  <c:v>14.76</c:v>
                </c:pt>
                <c:pt idx="61">
                  <c:v>15.76</c:v>
                </c:pt>
                <c:pt idx="62">
                  <c:v>15.31</c:v>
                </c:pt>
                <c:pt idx="63">
                  <c:v>13.67</c:v>
                </c:pt>
                <c:pt idx="64">
                  <c:v>15.66</c:v>
                </c:pt>
                <c:pt idx="65">
                  <c:v>15.87</c:v>
                </c:pt>
                <c:pt idx="66">
                  <c:v>15.76</c:v>
                </c:pt>
                <c:pt idx="67">
                  <c:v>14.65</c:v>
                </c:pt>
                <c:pt idx="68">
                  <c:v>13.65</c:v>
                </c:pt>
                <c:pt idx="69">
                  <c:v>14.76</c:v>
                </c:pt>
                <c:pt idx="70">
                  <c:v>15.32</c:v>
                </c:pt>
                <c:pt idx="71">
                  <c:v>16.309999999999999</c:v>
                </c:pt>
                <c:pt idx="72">
                  <c:v>15.87</c:v>
                </c:pt>
                <c:pt idx="73">
                  <c:v>16.21</c:v>
                </c:pt>
                <c:pt idx="74">
                  <c:v>14.23</c:v>
                </c:pt>
                <c:pt idx="75">
                  <c:v>15.95</c:v>
                </c:pt>
                <c:pt idx="76">
                  <c:v>14.56</c:v>
                </c:pt>
                <c:pt idx="77">
                  <c:v>15.34</c:v>
                </c:pt>
                <c:pt idx="78">
                  <c:v>16.87</c:v>
                </c:pt>
                <c:pt idx="79">
                  <c:v>15.43</c:v>
                </c:pt>
                <c:pt idx="80">
                  <c:v>16.760000000000002</c:v>
                </c:pt>
                <c:pt idx="81">
                  <c:v>13.87</c:v>
                </c:pt>
                <c:pt idx="82">
                  <c:v>16.649999999999999</c:v>
                </c:pt>
                <c:pt idx="83">
                  <c:v>16.41</c:v>
                </c:pt>
                <c:pt idx="84">
                  <c:v>14.56</c:v>
                </c:pt>
                <c:pt idx="85">
                  <c:v>16.34</c:v>
                </c:pt>
                <c:pt idx="86">
                  <c:v>15.67</c:v>
                </c:pt>
                <c:pt idx="87">
                  <c:v>14.91</c:v>
                </c:pt>
                <c:pt idx="88">
                  <c:v>15.56</c:v>
                </c:pt>
                <c:pt idx="89">
                  <c:v>16.29</c:v>
                </c:pt>
                <c:pt idx="90">
                  <c:v>15.91</c:v>
                </c:pt>
                <c:pt idx="91">
                  <c:v>15.32</c:v>
                </c:pt>
                <c:pt idx="92">
                  <c:v>16.23</c:v>
                </c:pt>
                <c:pt idx="93">
                  <c:v>14.87</c:v>
                </c:pt>
                <c:pt idx="94">
                  <c:v>13.78</c:v>
                </c:pt>
                <c:pt idx="95">
                  <c:v>15.65</c:v>
                </c:pt>
                <c:pt idx="96">
                  <c:v>14.89</c:v>
                </c:pt>
                <c:pt idx="97">
                  <c:v>15.43</c:v>
                </c:pt>
                <c:pt idx="98">
                  <c:v>14.56</c:v>
                </c:pt>
                <c:pt idx="99">
                  <c:v>13.75</c:v>
                </c:pt>
                <c:pt idx="100">
                  <c:v>14.03</c:v>
                </c:pt>
                <c:pt idx="101">
                  <c:v>12.57</c:v>
                </c:pt>
                <c:pt idx="102">
                  <c:v>15.34</c:v>
                </c:pt>
                <c:pt idx="103">
                  <c:v>12.2</c:v>
                </c:pt>
                <c:pt idx="104">
                  <c:v>13.76</c:v>
                </c:pt>
                <c:pt idx="105">
                  <c:v>14.26</c:v>
                </c:pt>
                <c:pt idx="106">
                  <c:v>14.78</c:v>
                </c:pt>
                <c:pt idx="107">
                  <c:v>12.98</c:v>
                </c:pt>
                <c:pt idx="108">
                  <c:v>13.35</c:v>
                </c:pt>
                <c:pt idx="109">
                  <c:v>13.56</c:v>
                </c:pt>
                <c:pt idx="110">
                  <c:v>12.88</c:v>
                </c:pt>
                <c:pt idx="111">
                  <c:v>16.760000000000002</c:v>
                </c:pt>
                <c:pt idx="112">
                  <c:v>13.78</c:v>
                </c:pt>
                <c:pt idx="113">
                  <c:v>12.66</c:v>
                </c:pt>
                <c:pt idx="114">
                  <c:v>13.2</c:v>
                </c:pt>
                <c:pt idx="115">
                  <c:v>12.76</c:v>
                </c:pt>
                <c:pt idx="116">
                  <c:v>13.23</c:v>
                </c:pt>
                <c:pt idx="117">
                  <c:v>14.41</c:v>
                </c:pt>
                <c:pt idx="118">
                  <c:v>14.87</c:v>
                </c:pt>
                <c:pt idx="119">
                  <c:v>15.32</c:v>
                </c:pt>
                <c:pt idx="120">
                  <c:v>14.31</c:v>
                </c:pt>
                <c:pt idx="121">
                  <c:v>14.37</c:v>
                </c:pt>
                <c:pt idx="122">
                  <c:v>15.12</c:v>
                </c:pt>
                <c:pt idx="123">
                  <c:v>14.44</c:v>
                </c:pt>
                <c:pt idx="124">
                  <c:v>14.87</c:v>
                </c:pt>
                <c:pt idx="125">
                  <c:v>13.11</c:v>
                </c:pt>
                <c:pt idx="126">
                  <c:v>15.23</c:v>
                </c:pt>
                <c:pt idx="127">
                  <c:v>13.78</c:v>
                </c:pt>
                <c:pt idx="128">
                  <c:v>13.23</c:v>
                </c:pt>
                <c:pt idx="129">
                  <c:v>16.32</c:v>
                </c:pt>
                <c:pt idx="130">
                  <c:v>12.38</c:v>
                </c:pt>
                <c:pt idx="131">
                  <c:v>13.54</c:v>
                </c:pt>
                <c:pt idx="132">
                  <c:v>13.54</c:v>
                </c:pt>
                <c:pt idx="133">
                  <c:v>14.26</c:v>
                </c:pt>
                <c:pt idx="134">
                  <c:v>13.44</c:v>
                </c:pt>
                <c:pt idx="135">
                  <c:v>15.43</c:v>
                </c:pt>
                <c:pt idx="136">
                  <c:v>13.79</c:v>
                </c:pt>
                <c:pt idx="137">
                  <c:v>13.24</c:v>
                </c:pt>
                <c:pt idx="138">
                  <c:v>15.67</c:v>
                </c:pt>
                <c:pt idx="139">
                  <c:v>14.21</c:v>
                </c:pt>
                <c:pt idx="140">
                  <c:v>12.67</c:v>
                </c:pt>
                <c:pt idx="141">
                  <c:v>13.21</c:v>
                </c:pt>
                <c:pt idx="142">
                  <c:v>13.56</c:v>
                </c:pt>
                <c:pt idx="143">
                  <c:v>15.43</c:v>
                </c:pt>
                <c:pt idx="144">
                  <c:v>12.76</c:v>
                </c:pt>
                <c:pt idx="145">
                  <c:v>12.76</c:v>
                </c:pt>
                <c:pt idx="146">
                  <c:v>15.74</c:v>
                </c:pt>
                <c:pt idx="147">
                  <c:v>15.64</c:v>
                </c:pt>
                <c:pt idx="148">
                  <c:v>14.12</c:v>
                </c:pt>
                <c:pt idx="149">
                  <c:v>13.59</c:v>
                </c:pt>
                <c:pt idx="150">
                  <c:v>14.91</c:v>
                </c:pt>
                <c:pt idx="151">
                  <c:v>13.51</c:v>
                </c:pt>
                <c:pt idx="152">
                  <c:v>14.76</c:v>
                </c:pt>
                <c:pt idx="153">
                  <c:v>16.21</c:v>
                </c:pt>
                <c:pt idx="154">
                  <c:v>13.61</c:v>
                </c:pt>
                <c:pt idx="155">
                  <c:v>13.34</c:v>
                </c:pt>
                <c:pt idx="156">
                  <c:v>15.41</c:v>
                </c:pt>
                <c:pt idx="157">
                  <c:v>14.76</c:v>
                </c:pt>
                <c:pt idx="158">
                  <c:v>12.79</c:v>
                </c:pt>
                <c:pt idx="159">
                  <c:v>15.48</c:v>
                </c:pt>
                <c:pt idx="160">
                  <c:v>15.67</c:v>
                </c:pt>
                <c:pt idx="161">
                  <c:v>14.81</c:v>
                </c:pt>
                <c:pt idx="162">
                  <c:v>13.28</c:v>
                </c:pt>
                <c:pt idx="163">
                  <c:v>15.48</c:v>
                </c:pt>
                <c:pt idx="164">
                  <c:v>13.56</c:v>
                </c:pt>
                <c:pt idx="165">
                  <c:v>14.91</c:v>
                </c:pt>
                <c:pt idx="166">
                  <c:v>14.66</c:v>
                </c:pt>
                <c:pt idx="167">
                  <c:v>15.88</c:v>
                </c:pt>
                <c:pt idx="168">
                  <c:v>14.94</c:v>
                </c:pt>
                <c:pt idx="169">
                  <c:v>14.79</c:v>
                </c:pt>
                <c:pt idx="170">
                  <c:v>14.56</c:v>
                </c:pt>
                <c:pt idx="171">
                  <c:v>13.71</c:v>
                </c:pt>
                <c:pt idx="172">
                  <c:v>13.21</c:v>
                </c:pt>
                <c:pt idx="173">
                  <c:v>15.21</c:v>
                </c:pt>
                <c:pt idx="174">
                  <c:v>13.76</c:v>
                </c:pt>
                <c:pt idx="175">
                  <c:v>14.54</c:v>
                </c:pt>
                <c:pt idx="176">
                  <c:v>12.47</c:v>
                </c:pt>
                <c:pt idx="177">
                  <c:v>15.79</c:v>
                </c:pt>
                <c:pt idx="178">
                  <c:v>13.33</c:v>
                </c:pt>
                <c:pt idx="179">
                  <c:v>14.23</c:v>
                </c:pt>
                <c:pt idx="180">
                  <c:v>16.309999999999999</c:v>
                </c:pt>
                <c:pt idx="181">
                  <c:v>14.88</c:v>
                </c:pt>
                <c:pt idx="182">
                  <c:v>15.63</c:v>
                </c:pt>
                <c:pt idx="183">
                  <c:v>15.92</c:v>
                </c:pt>
                <c:pt idx="184">
                  <c:v>13.36</c:v>
                </c:pt>
                <c:pt idx="185">
                  <c:v>12.77</c:v>
                </c:pt>
                <c:pt idx="186">
                  <c:v>13.51</c:v>
                </c:pt>
                <c:pt idx="187">
                  <c:v>14.89</c:v>
                </c:pt>
                <c:pt idx="188">
                  <c:v>16.23</c:v>
                </c:pt>
                <c:pt idx="189">
                  <c:v>14.87</c:v>
                </c:pt>
                <c:pt idx="190">
                  <c:v>15.67</c:v>
                </c:pt>
                <c:pt idx="191">
                  <c:v>14.38</c:v>
                </c:pt>
                <c:pt idx="192">
                  <c:v>14.89</c:v>
                </c:pt>
                <c:pt idx="193">
                  <c:v>14.66</c:v>
                </c:pt>
                <c:pt idx="194">
                  <c:v>12.87</c:v>
                </c:pt>
                <c:pt idx="195">
                  <c:v>14.14</c:v>
                </c:pt>
                <c:pt idx="196">
                  <c:v>14.67</c:v>
                </c:pt>
                <c:pt idx="197">
                  <c:v>13.89</c:v>
                </c:pt>
                <c:pt idx="198">
                  <c:v>15.41</c:v>
                </c:pt>
                <c:pt idx="199">
                  <c:v>13.56</c:v>
                </c:pt>
              </c:numCache>
            </c:numRef>
          </c:yVal>
          <c:smooth val="0"/>
          <c:extLst>
            <c:ext xmlns:c16="http://schemas.microsoft.com/office/drawing/2014/chart" uri="{C3380CC4-5D6E-409C-BE32-E72D297353CC}">
              <c16:uniqueId val="{00000001-96B6-4B23-A723-7617FA635537}"/>
            </c:ext>
          </c:extLst>
        </c:ser>
        <c:dLbls>
          <c:showLegendKey val="0"/>
          <c:showVal val="0"/>
          <c:showCatName val="0"/>
          <c:showSerName val="0"/>
          <c:showPercent val="0"/>
          <c:showBubbleSize val="0"/>
        </c:dLbls>
        <c:axId val="1090268000"/>
        <c:axId val="1090268480"/>
      </c:scatterChart>
      <c:valAx>
        <c:axId val="1090268000"/>
        <c:scaling>
          <c:orientation val="minMax"/>
          <c:min val="1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Length</a:t>
                </a:r>
                <a:r>
                  <a:rPr lang="en-IN" baseline="0"/>
                  <a:t> of body </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268480"/>
        <c:crosses val="autoZero"/>
        <c:crossBetween val="midCat"/>
      </c:valAx>
      <c:valAx>
        <c:axId val="1090268480"/>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lumMod val="65000"/>
                        <a:lumOff val="35000"/>
                      </a:sysClr>
                    </a:solidFill>
                  </a:rPr>
                  <a:t>total Length of sternum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2680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8843</Words>
  <Characters>50410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soni</dc:creator>
  <cp:keywords/>
  <dc:description/>
  <cp:lastModifiedBy>Shubham soni</cp:lastModifiedBy>
  <cp:revision>7</cp:revision>
  <dcterms:created xsi:type="dcterms:W3CDTF">2025-05-05T07:25:00Z</dcterms:created>
  <dcterms:modified xsi:type="dcterms:W3CDTF">2025-07-14T05:20:00Z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id="f6bzvkeW"/&gt;&lt;style id="http://www.zotero.org/styles/vancouver-superscript" locale="en-US" hasBibliography="1" bibliographyStyleHasBeenSet="1"/&gt;&lt;prefs&gt;&lt;pref name="fieldType" value="Field"/&gt;&lt;/prefs&gt;</vt:lpwstr>
  </property>
  <property fmtid="{D5CDD505-2E9C-101B-9397-08002B2CF9AE}" pid="3" name="ZOTERO_PREF_2">
    <vt:lpwstr>&lt;/data&gt;</vt:lpwstr>
  </property>
</Properties>
</file>