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2B" w:rsidRDefault="00A1702B" w:rsidP="004F4471">
      <w:pPr>
        <w:pStyle w:val="PlainText"/>
        <w:spacing w:after="80"/>
        <w:jc w:val="both"/>
        <w:rPr>
          <w:rFonts w:ascii="Times New Roman" w:hAnsi="Times New Roman"/>
          <w:b/>
          <w:sz w:val="24"/>
          <w:szCs w:val="24"/>
        </w:rPr>
      </w:pPr>
    </w:p>
    <w:p w:rsidR="00A1702B" w:rsidRPr="00107E14" w:rsidRDefault="00A1702B" w:rsidP="004F4471">
      <w:pPr>
        <w:tabs>
          <w:tab w:val="left" w:pos="2280"/>
        </w:tabs>
        <w:spacing w:line="360" w:lineRule="auto"/>
        <w:jc w:val="both"/>
        <w:rPr>
          <w:b/>
          <w:szCs w:val="24"/>
        </w:rPr>
      </w:pPr>
      <w:r w:rsidRPr="00107E14">
        <w:rPr>
          <w:b/>
          <w:szCs w:val="24"/>
        </w:rPr>
        <w:t xml:space="preserve">A  </w:t>
      </w:r>
      <w:r>
        <w:rPr>
          <w:b/>
          <w:szCs w:val="24"/>
        </w:rPr>
        <w:t>RANDOMIZED CONTROL</w:t>
      </w:r>
      <w:r w:rsidRPr="00107E14">
        <w:rPr>
          <w:b/>
          <w:szCs w:val="24"/>
        </w:rPr>
        <w:t xml:space="preserve">  STUDY  OF  TROCHANTERIC  FRACTURES TREATED  WITH  PROXIMAL  FEMUR  LOCKING COMPRESSION  PLATE</w:t>
      </w:r>
      <w:r w:rsidR="00E4637C">
        <w:rPr>
          <w:b/>
          <w:szCs w:val="24"/>
        </w:rPr>
        <w:t xml:space="preserve"> </w:t>
      </w:r>
      <w:r w:rsidRPr="00107E14">
        <w:rPr>
          <w:b/>
          <w:szCs w:val="24"/>
        </w:rPr>
        <w:t>(PFLCP)  VERSUS  DYNAMIC  HIP SCREW</w:t>
      </w:r>
      <w:r w:rsidR="00E4637C">
        <w:rPr>
          <w:b/>
          <w:szCs w:val="24"/>
        </w:rPr>
        <w:t xml:space="preserve"> </w:t>
      </w:r>
      <w:r w:rsidRPr="00107E14">
        <w:rPr>
          <w:b/>
          <w:szCs w:val="24"/>
        </w:rPr>
        <w:t>(DHS)</w:t>
      </w:r>
    </w:p>
    <w:p w:rsidR="00A1702B" w:rsidRDefault="00A1702B" w:rsidP="004F4471">
      <w:pPr>
        <w:pStyle w:val="PlainText"/>
        <w:spacing w:after="80"/>
        <w:jc w:val="both"/>
        <w:rPr>
          <w:rFonts w:ascii="Times New Roman" w:hAnsi="Times New Roman"/>
          <w:b/>
          <w:sz w:val="24"/>
          <w:szCs w:val="24"/>
        </w:rPr>
      </w:pPr>
    </w:p>
    <w:p w:rsidR="00A1702B" w:rsidRDefault="00A1702B" w:rsidP="004F4471">
      <w:pPr>
        <w:pStyle w:val="PlainText"/>
        <w:spacing w:after="80"/>
        <w:jc w:val="both"/>
        <w:rPr>
          <w:rFonts w:ascii="Times New Roman" w:hAnsi="Times New Roman"/>
          <w:b/>
          <w:sz w:val="24"/>
          <w:szCs w:val="24"/>
        </w:rPr>
      </w:pPr>
    </w:p>
    <w:p w:rsidR="00A1702B" w:rsidRDefault="00A1702B" w:rsidP="004F4471">
      <w:pPr>
        <w:pStyle w:val="PlainText"/>
        <w:spacing w:after="80"/>
        <w:jc w:val="both"/>
        <w:rPr>
          <w:rFonts w:ascii="Times New Roman" w:hAnsi="Times New Roman"/>
          <w:b/>
          <w:sz w:val="24"/>
          <w:szCs w:val="24"/>
        </w:rPr>
      </w:pPr>
    </w:p>
    <w:p w:rsidR="00C838F2" w:rsidRPr="000A28C8" w:rsidRDefault="00B81B1C" w:rsidP="004F4471">
      <w:pPr>
        <w:pStyle w:val="PlainText"/>
        <w:spacing w:after="80"/>
        <w:jc w:val="both"/>
        <w:rPr>
          <w:rFonts w:ascii="Times New Roman" w:hAnsi="Times New Roman"/>
          <w:b/>
          <w:sz w:val="22"/>
          <w:szCs w:val="22"/>
        </w:rPr>
      </w:pPr>
      <w:r w:rsidRPr="000A28C8">
        <w:rPr>
          <w:rFonts w:ascii="Times New Roman" w:hAnsi="Times New Roman"/>
          <w:b/>
          <w:sz w:val="22"/>
          <w:szCs w:val="22"/>
        </w:rPr>
        <w:t>INTRODUCTION</w:t>
      </w:r>
    </w:p>
    <w:p w:rsidR="006D403D" w:rsidRPr="000A28C8" w:rsidRDefault="00C838F2" w:rsidP="004F4471">
      <w:pPr>
        <w:jc w:val="both"/>
        <w:rPr>
          <w:sz w:val="20"/>
          <w:szCs w:val="20"/>
        </w:rPr>
      </w:pPr>
      <w:proofErr w:type="spellStart"/>
      <w:r w:rsidRPr="000A28C8">
        <w:rPr>
          <w:sz w:val="20"/>
          <w:szCs w:val="20"/>
        </w:rPr>
        <w:t>Trochanteric</w:t>
      </w:r>
      <w:proofErr w:type="spellEnd"/>
      <w:r w:rsidRPr="000A28C8">
        <w:rPr>
          <w:sz w:val="20"/>
          <w:szCs w:val="20"/>
        </w:rPr>
        <w:t xml:space="preserve"> fractures </w:t>
      </w:r>
      <w:proofErr w:type="gramStart"/>
      <w:r w:rsidRPr="000A28C8">
        <w:rPr>
          <w:sz w:val="20"/>
          <w:szCs w:val="20"/>
        </w:rPr>
        <w:t>are  usually</w:t>
      </w:r>
      <w:proofErr w:type="gramEnd"/>
      <w:r w:rsidRPr="000A28C8">
        <w:rPr>
          <w:sz w:val="20"/>
          <w:szCs w:val="20"/>
        </w:rPr>
        <w:t xml:space="preserve"> the fractures of older population , with greater loss of skeletal mass </w:t>
      </w:r>
      <w:r w:rsidR="00B86C2C" w:rsidRPr="000A28C8">
        <w:rPr>
          <w:sz w:val="20"/>
          <w:szCs w:val="20"/>
        </w:rPr>
        <w:t xml:space="preserve">. They account for 45% of total hip </w:t>
      </w:r>
      <w:proofErr w:type="gramStart"/>
      <w:r w:rsidR="00B86C2C" w:rsidRPr="000A28C8">
        <w:rPr>
          <w:sz w:val="20"/>
          <w:szCs w:val="20"/>
        </w:rPr>
        <w:t>fractures</w:t>
      </w:r>
      <w:r w:rsidR="00B86C2C" w:rsidRPr="000A28C8">
        <w:rPr>
          <w:sz w:val="20"/>
          <w:szCs w:val="20"/>
          <w:vertAlign w:val="superscript"/>
        </w:rPr>
        <w:t>1</w:t>
      </w:r>
      <w:r w:rsidR="00B86C2C" w:rsidRPr="000A28C8">
        <w:rPr>
          <w:sz w:val="20"/>
          <w:szCs w:val="20"/>
        </w:rPr>
        <w:t xml:space="preserve"> .</w:t>
      </w:r>
      <w:proofErr w:type="gramEnd"/>
      <w:r w:rsidR="00B86C2C" w:rsidRPr="000A28C8">
        <w:rPr>
          <w:sz w:val="20"/>
          <w:szCs w:val="20"/>
        </w:rPr>
        <w:t xml:space="preserve"> </w:t>
      </w:r>
      <w:r w:rsidRPr="000A28C8">
        <w:rPr>
          <w:sz w:val="20"/>
          <w:szCs w:val="20"/>
        </w:rPr>
        <w:t xml:space="preserve">With the increase in average life expectancy, the proximal femoral fractures have been marked as one of the biggest problems of the contemporary civilization. These fractures unite readily with conservative </w:t>
      </w:r>
      <w:proofErr w:type="gramStart"/>
      <w:r w:rsidRPr="000A28C8">
        <w:rPr>
          <w:sz w:val="20"/>
          <w:szCs w:val="20"/>
        </w:rPr>
        <w:t>methods ,</w:t>
      </w:r>
      <w:proofErr w:type="gramEnd"/>
      <w:r w:rsidRPr="000A28C8">
        <w:rPr>
          <w:sz w:val="20"/>
          <w:szCs w:val="20"/>
        </w:rPr>
        <w:t xml:space="preserve"> but with complications like </w:t>
      </w:r>
      <w:proofErr w:type="spellStart"/>
      <w:r w:rsidRPr="000A28C8">
        <w:rPr>
          <w:sz w:val="20"/>
          <w:szCs w:val="20"/>
        </w:rPr>
        <w:t>malunion</w:t>
      </w:r>
      <w:proofErr w:type="spellEnd"/>
      <w:r w:rsidRPr="000A28C8">
        <w:rPr>
          <w:sz w:val="20"/>
          <w:szCs w:val="20"/>
        </w:rPr>
        <w:t xml:space="preserve">, </w:t>
      </w:r>
      <w:proofErr w:type="spellStart"/>
      <w:r w:rsidRPr="000A28C8">
        <w:rPr>
          <w:sz w:val="20"/>
          <w:szCs w:val="20"/>
        </w:rPr>
        <w:t>coxa</w:t>
      </w:r>
      <w:proofErr w:type="spellEnd"/>
      <w:r w:rsidRPr="000A28C8">
        <w:rPr>
          <w:sz w:val="20"/>
          <w:szCs w:val="20"/>
        </w:rPr>
        <w:t xml:space="preserve"> </w:t>
      </w:r>
      <w:proofErr w:type="spellStart"/>
      <w:r w:rsidRPr="000A28C8">
        <w:rPr>
          <w:sz w:val="20"/>
          <w:szCs w:val="20"/>
        </w:rPr>
        <w:t>vara</w:t>
      </w:r>
      <w:proofErr w:type="spellEnd"/>
      <w:r w:rsidRPr="000A28C8">
        <w:rPr>
          <w:sz w:val="20"/>
          <w:szCs w:val="20"/>
        </w:rPr>
        <w:t xml:space="preserve"> deformity</w:t>
      </w:r>
      <w:r w:rsidR="002C5CC4" w:rsidRPr="000A28C8">
        <w:rPr>
          <w:sz w:val="20"/>
          <w:szCs w:val="20"/>
        </w:rPr>
        <w:t>, limb shortening and limp.</w:t>
      </w:r>
    </w:p>
    <w:p w:rsidR="002C5CC4" w:rsidRPr="000A28C8" w:rsidRDefault="002C5CC4" w:rsidP="004F4471">
      <w:pPr>
        <w:jc w:val="both"/>
        <w:rPr>
          <w:sz w:val="20"/>
          <w:szCs w:val="20"/>
        </w:rPr>
      </w:pPr>
    </w:p>
    <w:p w:rsidR="006D403D" w:rsidRPr="000A28C8" w:rsidRDefault="00601341" w:rsidP="004F4471">
      <w:pPr>
        <w:jc w:val="both"/>
        <w:rPr>
          <w:sz w:val="20"/>
          <w:szCs w:val="20"/>
        </w:rPr>
      </w:pPr>
      <w:r w:rsidRPr="000A28C8">
        <w:rPr>
          <w:sz w:val="20"/>
          <w:szCs w:val="20"/>
        </w:rPr>
        <w:t xml:space="preserve">Various operative procedures with different implants have been described for the treatment of </w:t>
      </w:r>
      <w:proofErr w:type="spellStart"/>
      <w:r w:rsidRPr="000A28C8">
        <w:rPr>
          <w:sz w:val="20"/>
          <w:szCs w:val="20"/>
        </w:rPr>
        <w:t>intertrochanteric</w:t>
      </w:r>
      <w:proofErr w:type="spellEnd"/>
      <w:r w:rsidRPr="000A28C8">
        <w:rPr>
          <w:sz w:val="20"/>
          <w:szCs w:val="20"/>
        </w:rPr>
        <w:t xml:space="preserve"> </w:t>
      </w:r>
      <w:proofErr w:type="spellStart"/>
      <w:r w:rsidRPr="000A28C8">
        <w:rPr>
          <w:sz w:val="20"/>
          <w:szCs w:val="20"/>
        </w:rPr>
        <w:t>fractures.The</w:t>
      </w:r>
      <w:proofErr w:type="spellEnd"/>
      <w:r w:rsidRPr="000A28C8">
        <w:rPr>
          <w:sz w:val="20"/>
          <w:szCs w:val="20"/>
        </w:rPr>
        <w:t xml:space="preserve"> long list of devices is </w:t>
      </w:r>
      <w:proofErr w:type="gramStart"/>
      <w:r w:rsidRPr="000A28C8">
        <w:rPr>
          <w:sz w:val="20"/>
          <w:szCs w:val="20"/>
        </w:rPr>
        <w:t>itself  a</w:t>
      </w:r>
      <w:proofErr w:type="gramEnd"/>
      <w:r w:rsidRPr="000A28C8">
        <w:rPr>
          <w:sz w:val="20"/>
          <w:szCs w:val="20"/>
        </w:rPr>
        <w:t xml:space="preserve"> testimony that none of the devices is ideal to treat all types of fractures in this region</w:t>
      </w:r>
      <w:r w:rsidR="000F1078" w:rsidRPr="000A28C8">
        <w:rPr>
          <w:sz w:val="20"/>
          <w:szCs w:val="20"/>
        </w:rPr>
        <w:t>.</w:t>
      </w:r>
      <w:r w:rsidR="00A75D4C" w:rsidRPr="000A28C8">
        <w:rPr>
          <w:sz w:val="20"/>
          <w:szCs w:val="20"/>
        </w:rPr>
        <w:t xml:space="preserve"> The Dynamic Hip Screw (DHS) is one of the most widely used implant for </w:t>
      </w:r>
      <w:proofErr w:type="spellStart"/>
      <w:r w:rsidR="00A75D4C" w:rsidRPr="000A28C8">
        <w:rPr>
          <w:sz w:val="20"/>
          <w:szCs w:val="20"/>
        </w:rPr>
        <w:t>intertrochanteric</w:t>
      </w:r>
      <w:proofErr w:type="spellEnd"/>
      <w:r w:rsidR="00A75D4C" w:rsidRPr="000A28C8">
        <w:rPr>
          <w:sz w:val="20"/>
          <w:szCs w:val="20"/>
        </w:rPr>
        <w:t xml:space="preserve"> fractures which has stood the test of time</w:t>
      </w:r>
      <w:r w:rsidR="002C5CC4" w:rsidRPr="000A28C8">
        <w:rPr>
          <w:sz w:val="20"/>
          <w:szCs w:val="20"/>
        </w:rPr>
        <w:t xml:space="preserve">. </w:t>
      </w:r>
      <w:r w:rsidR="00A75D4C" w:rsidRPr="000A28C8">
        <w:rPr>
          <w:sz w:val="20"/>
          <w:szCs w:val="20"/>
        </w:rPr>
        <w:t xml:space="preserve">However , comminuted unstable fractures , fractures with extension into  </w:t>
      </w:r>
      <w:proofErr w:type="spellStart"/>
      <w:r w:rsidR="00A75D4C" w:rsidRPr="000A28C8">
        <w:rPr>
          <w:sz w:val="20"/>
          <w:szCs w:val="20"/>
        </w:rPr>
        <w:t>piriformis</w:t>
      </w:r>
      <w:proofErr w:type="spellEnd"/>
      <w:r w:rsidR="00A75D4C" w:rsidRPr="000A28C8">
        <w:rPr>
          <w:sz w:val="20"/>
          <w:szCs w:val="20"/>
        </w:rPr>
        <w:t xml:space="preserve"> </w:t>
      </w:r>
      <w:proofErr w:type="spellStart"/>
      <w:r w:rsidR="00A75D4C" w:rsidRPr="000A28C8">
        <w:rPr>
          <w:sz w:val="20"/>
          <w:szCs w:val="20"/>
        </w:rPr>
        <w:t>fossa</w:t>
      </w:r>
      <w:proofErr w:type="spellEnd"/>
      <w:r w:rsidR="00A75D4C" w:rsidRPr="000A28C8">
        <w:rPr>
          <w:sz w:val="20"/>
          <w:szCs w:val="20"/>
        </w:rPr>
        <w:t xml:space="preserve"> , and combined </w:t>
      </w:r>
      <w:proofErr w:type="spellStart"/>
      <w:r w:rsidR="00A75D4C" w:rsidRPr="000A28C8">
        <w:rPr>
          <w:sz w:val="20"/>
          <w:szCs w:val="20"/>
        </w:rPr>
        <w:t>intracapsular</w:t>
      </w:r>
      <w:proofErr w:type="spellEnd"/>
      <w:r w:rsidR="00A75D4C" w:rsidRPr="000A28C8">
        <w:rPr>
          <w:sz w:val="20"/>
          <w:szCs w:val="20"/>
        </w:rPr>
        <w:t xml:space="preserve"> and </w:t>
      </w:r>
      <w:proofErr w:type="spellStart"/>
      <w:r w:rsidR="00A75D4C" w:rsidRPr="000A28C8">
        <w:rPr>
          <w:sz w:val="20"/>
          <w:szCs w:val="20"/>
        </w:rPr>
        <w:t>extracapsular</w:t>
      </w:r>
      <w:proofErr w:type="spellEnd"/>
      <w:r w:rsidR="00A75D4C" w:rsidRPr="000A28C8">
        <w:rPr>
          <w:sz w:val="20"/>
          <w:szCs w:val="20"/>
        </w:rPr>
        <w:t xml:space="preserve"> fractures  treated with DHS are generally  prone to complications</w:t>
      </w:r>
      <w:r w:rsidR="00613710" w:rsidRPr="000A28C8">
        <w:rPr>
          <w:sz w:val="20"/>
          <w:szCs w:val="20"/>
          <w:vertAlign w:val="superscript"/>
        </w:rPr>
        <w:t>2</w:t>
      </w:r>
      <w:r w:rsidR="00A75D4C" w:rsidRPr="000A28C8">
        <w:rPr>
          <w:sz w:val="20"/>
          <w:szCs w:val="20"/>
        </w:rPr>
        <w:t xml:space="preserve"> .</w:t>
      </w:r>
      <w:r w:rsidR="00FC7DFA" w:rsidRPr="000A28C8">
        <w:rPr>
          <w:sz w:val="20"/>
          <w:szCs w:val="20"/>
        </w:rPr>
        <w:t xml:space="preserve">The  Locking Compression Plates are being used  for various complex fractures in different anatomic regions ,and despite their promising results , until recently ,locking plates had not been used in treatment of unstable proximal femur fractures </w:t>
      </w:r>
      <w:r w:rsidR="00A75D4C" w:rsidRPr="000A28C8">
        <w:rPr>
          <w:sz w:val="20"/>
          <w:szCs w:val="20"/>
        </w:rPr>
        <w:t xml:space="preserve"> The Proximal Femoral Locking Compression Plate (PFLCP) was introduced in the 21</w:t>
      </w:r>
      <w:r w:rsidR="00A75D4C" w:rsidRPr="000A28C8">
        <w:rPr>
          <w:sz w:val="20"/>
          <w:szCs w:val="20"/>
          <w:vertAlign w:val="superscript"/>
        </w:rPr>
        <w:t>st</w:t>
      </w:r>
      <w:r w:rsidR="00A75D4C" w:rsidRPr="000A28C8">
        <w:rPr>
          <w:sz w:val="20"/>
          <w:szCs w:val="20"/>
        </w:rPr>
        <w:t xml:space="preserve"> century as a new implant that allows angular – stable plating for the treatment of complex comminuted and osteoporotic fractures</w:t>
      </w:r>
      <w:r w:rsidR="00E2764E" w:rsidRPr="000A28C8">
        <w:rPr>
          <w:sz w:val="20"/>
          <w:szCs w:val="20"/>
        </w:rPr>
        <w:t>. The P</w:t>
      </w:r>
      <w:r w:rsidR="00FC7DFA" w:rsidRPr="000A28C8">
        <w:rPr>
          <w:sz w:val="20"/>
          <w:szCs w:val="20"/>
        </w:rPr>
        <w:t>FLCP is a newer addition in the array of implants for proximal femur fractures.</w:t>
      </w:r>
    </w:p>
    <w:p w:rsidR="002C5CC4" w:rsidRPr="000A28C8" w:rsidRDefault="002C5CC4" w:rsidP="004F4471">
      <w:pPr>
        <w:jc w:val="both"/>
        <w:rPr>
          <w:sz w:val="20"/>
          <w:szCs w:val="20"/>
        </w:rPr>
      </w:pPr>
    </w:p>
    <w:p w:rsidR="00FC7DFA" w:rsidRPr="000A28C8" w:rsidRDefault="00AA73C8" w:rsidP="004F4471">
      <w:pPr>
        <w:jc w:val="both"/>
        <w:rPr>
          <w:sz w:val="20"/>
          <w:szCs w:val="20"/>
        </w:rPr>
      </w:pPr>
      <w:proofErr w:type="gramStart"/>
      <w:r w:rsidRPr="000A28C8">
        <w:rPr>
          <w:sz w:val="20"/>
          <w:szCs w:val="20"/>
        </w:rPr>
        <w:t>However ,</w:t>
      </w:r>
      <w:proofErr w:type="gramEnd"/>
      <w:r w:rsidRPr="000A28C8">
        <w:rPr>
          <w:sz w:val="20"/>
          <w:szCs w:val="20"/>
        </w:rPr>
        <w:t xml:space="preserve"> there i</w:t>
      </w:r>
      <w:r w:rsidR="004F4471" w:rsidRPr="000A28C8">
        <w:rPr>
          <w:sz w:val="20"/>
          <w:szCs w:val="20"/>
        </w:rPr>
        <w:t>s scarcity of literature compa</w:t>
      </w:r>
      <w:r w:rsidRPr="000A28C8">
        <w:rPr>
          <w:sz w:val="20"/>
          <w:szCs w:val="20"/>
        </w:rPr>
        <w:t>ring  DHS with PF</w:t>
      </w:r>
      <w:r w:rsidR="002C5CC4" w:rsidRPr="000A28C8">
        <w:rPr>
          <w:sz w:val="20"/>
          <w:szCs w:val="20"/>
        </w:rPr>
        <w:t xml:space="preserve">LCP in the treatment of </w:t>
      </w:r>
      <w:r w:rsidRPr="000A28C8">
        <w:rPr>
          <w:sz w:val="20"/>
          <w:szCs w:val="20"/>
        </w:rPr>
        <w:t xml:space="preserve"> </w:t>
      </w:r>
      <w:proofErr w:type="spellStart"/>
      <w:r w:rsidRPr="000A28C8">
        <w:rPr>
          <w:sz w:val="20"/>
          <w:szCs w:val="20"/>
        </w:rPr>
        <w:t>intertrochanter</w:t>
      </w:r>
      <w:proofErr w:type="spellEnd"/>
      <w:r w:rsidRPr="000A28C8">
        <w:rPr>
          <w:sz w:val="20"/>
          <w:szCs w:val="20"/>
        </w:rPr>
        <w:t xml:space="preserve"> fractures. </w:t>
      </w:r>
      <w:proofErr w:type="gramStart"/>
      <w:r w:rsidRPr="000A28C8">
        <w:rPr>
          <w:sz w:val="20"/>
          <w:szCs w:val="20"/>
        </w:rPr>
        <w:t>Hence ,</w:t>
      </w:r>
      <w:proofErr w:type="gramEnd"/>
      <w:r w:rsidRPr="000A28C8">
        <w:rPr>
          <w:sz w:val="20"/>
          <w:szCs w:val="20"/>
        </w:rPr>
        <w:t xml:space="preserve"> we conducted a </w:t>
      </w:r>
      <w:proofErr w:type="spellStart"/>
      <w:r w:rsidRPr="000A28C8">
        <w:rPr>
          <w:sz w:val="20"/>
          <w:szCs w:val="20"/>
        </w:rPr>
        <w:t>Randomised</w:t>
      </w:r>
      <w:proofErr w:type="spellEnd"/>
      <w:r w:rsidRPr="000A28C8">
        <w:rPr>
          <w:sz w:val="20"/>
          <w:szCs w:val="20"/>
        </w:rPr>
        <w:t xml:space="preserve"> control study to evaluate the operative procedures, clinical </w:t>
      </w:r>
      <w:r w:rsidR="006D403D" w:rsidRPr="000A28C8">
        <w:rPr>
          <w:sz w:val="20"/>
          <w:szCs w:val="20"/>
        </w:rPr>
        <w:t>outcomes</w:t>
      </w:r>
      <w:r w:rsidRPr="000A28C8">
        <w:rPr>
          <w:sz w:val="20"/>
          <w:szCs w:val="20"/>
        </w:rPr>
        <w:t xml:space="preserve"> and radiological outcomes in </w:t>
      </w:r>
      <w:proofErr w:type="spellStart"/>
      <w:r w:rsidRPr="000A28C8">
        <w:rPr>
          <w:sz w:val="20"/>
          <w:szCs w:val="20"/>
        </w:rPr>
        <w:t>trochanter</w:t>
      </w:r>
      <w:r w:rsidR="006D403D" w:rsidRPr="000A28C8">
        <w:rPr>
          <w:sz w:val="20"/>
          <w:szCs w:val="20"/>
        </w:rPr>
        <w:t>ic</w:t>
      </w:r>
      <w:proofErr w:type="spellEnd"/>
      <w:r w:rsidRPr="000A28C8">
        <w:rPr>
          <w:sz w:val="20"/>
          <w:szCs w:val="20"/>
        </w:rPr>
        <w:t xml:space="preserve"> fractures treated with DHS and PFLCP</w:t>
      </w:r>
    </w:p>
    <w:p w:rsidR="002C5CC4" w:rsidRPr="000A28C8" w:rsidRDefault="002C5CC4" w:rsidP="004F4471">
      <w:pPr>
        <w:jc w:val="both"/>
        <w:rPr>
          <w:sz w:val="20"/>
          <w:szCs w:val="20"/>
        </w:rPr>
      </w:pPr>
    </w:p>
    <w:p w:rsidR="00601341" w:rsidRPr="002C5CC4" w:rsidRDefault="00AA73C8" w:rsidP="004F4471">
      <w:pPr>
        <w:jc w:val="both"/>
        <w:rPr>
          <w:szCs w:val="24"/>
        </w:rPr>
      </w:pPr>
      <w:r w:rsidRPr="002C5CC4">
        <w:rPr>
          <w:szCs w:val="24"/>
        </w:rPr>
        <w:t xml:space="preserve"> </w:t>
      </w:r>
    </w:p>
    <w:p w:rsidR="00E54497" w:rsidRPr="000A28C8" w:rsidRDefault="00E54497" w:rsidP="004F4471">
      <w:pPr>
        <w:pStyle w:val="PlainText"/>
        <w:spacing w:after="80"/>
        <w:jc w:val="both"/>
        <w:rPr>
          <w:rFonts w:ascii="Times New Roman" w:hAnsi="Times New Roman"/>
          <w:b/>
          <w:sz w:val="22"/>
          <w:szCs w:val="22"/>
        </w:rPr>
      </w:pPr>
      <w:r w:rsidRPr="000A28C8">
        <w:rPr>
          <w:rFonts w:ascii="Times New Roman" w:hAnsi="Times New Roman"/>
          <w:b/>
          <w:sz w:val="22"/>
          <w:szCs w:val="22"/>
        </w:rPr>
        <w:t>PATIENTS/METHODS</w:t>
      </w:r>
    </w:p>
    <w:p w:rsidR="006D403D" w:rsidRPr="002C5CC4" w:rsidRDefault="006D403D" w:rsidP="004F4471">
      <w:pPr>
        <w:jc w:val="both"/>
        <w:rPr>
          <w:szCs w:val="24"/>
        </w:rPr>
      </w:pPr>
    </w:p>
    <w:p w:rsidR="006D403D" w:rsidRPr="000A28C8" w:rsidRDefault="006D403D" w:rsidP="004F4471">
      <w:pPr>
        <w:jc w:val="both"/>
        <w:rPr>
          <w:rFonts w:eastAsia="Calibri"/>
          <w:sz w:val="20"/>
          <w:szCs w:val="20"/>
        </w:rPr>
      </w:pPr>
      <w:r w:rsidRPr="000A28C8">
        <w:rPr>
          <w:rFonts w:eastAsia="Calibri"/>
          <w:sz w:val="20"/>
          <w:szCs w:val="20"/>
        </w:rPr>
        <w:t xml:space="preserve">We conducted a </w:t>
      </w:r>
      <w:proofErr w:type="spellStart"/>
      <w:r w:rsidRPr="000A28C8">
        <w:rPr>
          <w:rFonts w:eastAsia="Calibri"/>
          <w:sz w:val="20"/>
          <w:szCs w:val="20"/>
        </w:rPr>
        <w:t>Randomised</w:t>
      </w:r>
      <w:proofErr w:type="spellEnd"/>
      <w:r w:rsidRPr="000A28C8">
        <w:rPr>
          <w:rFonts w:eastAsia="Calibri"/>
          <w:sz w:val="20"/>
          <w:szCs w:val="20"/>
        </w:rPr>
        <w:t xml:space="preserve"> control study in the Department of </w:t>
      </w:r>
      <w:proofErr w:type="spellStart"/>
      <w:r w:rsidRPr="000A28C8">
        <w:rPr>
          <w:rFonts w:eastAsia="Calibri"/>
          <w:sz w:val="20"/>
          <w:szCs w:val="20"/>
        </w:rPr>
        <w:t>Orthopaedics</w:t>
      </w:r>
      <w:proofErr w:type="spellEnd"/>
      <w:r w:rsidRPr="000A28C8">
        <w:rPr>
          <w:rFonts w:eastAsia="Calibri"/>
          <w:sz w:val="20"/>
          <w:szCs w:val="20"/>
        </w:rPr>
        <w:t xml:space="preserve"> of </w:t>
      </w:r>
      <w:proofErr w:type="spellStart"/>
      <w:r w:rsidRPr="000A28C8">
        <w:rPr>
          <w:rFonts w:eastAsia="Calibri"/>
          <w:sz w:val="20"/>
          <w:szCs w:val="20"/>
        </w:rPr>
        <w:t>Gauhati</w:t>
      </w:r>
      <w:proofErr w:type="spellEnd"/>
      <w:r w:rsidRPr="000A28C8">
        <w:rPr>
          <w:rFonts w:eastAsia="Calibri"/>
          <w:sz w:val="20"/>
          <w:szCs w:val="20"/>
        </w:rPr>
        <w:t xml:space="preserve"> Medical College and Hospital, </w:t>
      </w:r>
      <w:proofErr w:type="spellStart"/>
      <w:r w:rsidRPr="000A28C8">
        <w:rPr>
          <w:rFonts w:eastAsia="Calibri"/>
          <w:sz w:val="20"/>
          <w:szCs w:val="20"/>
        </w:rPr>
        <w:t>Guwahati</w:t>
      </w:r>
      <w:proofErr w:type="spellEnd"/>
      <w:r w:rsidRPr="000A28C8">
        <w:rPr>
          <w:rFonts w:eastAsia="Calibri"/>
          <w:sz w:val="20"/>
          <w:szCs w:val="20"/>
        </w:rPr>
        <w:t xml:space="preserve"> from </w:t>
      </w:r>
      <w:r w:rsidR="00B2678F" w:rsidRPr="000A28C8">
        <w:rPr>
          <w:rFonts w:eastAsia="Calibri"/>
          <w:sz w:val="20"/>
          <w:szCs w:val="20"/>
        </w:rPr>
        <w:t>December</w:t>
      </w:r>
      <w:r w:rsidR="00A1702B" w:rsidRPr="000A28C8">
        <w:rPr>
          <w:rFonts w:eastAsia="Calibri"/>
          <w:sz w:val="20"/>
          <w:szCs w:val="20"/>
        </w:rPr>
        <w:t xml:space="preserve"> 2011</w:t>
      </w:r>
      <w:r w:rsidRPr="000A28C8">
        <w:rPr>
          <w:rFonts w:eastAsia="Calibri"/>
          <w:sz w:val="20"/>
          <w:szCs w:val="20"/>
        </w:rPr>
        <w:t xml:space="preserve"> to </w:t>
      </w:r>
      <w:r w:rsidR="00B2678F" w:rsidRPr="000A28C8">
        <w:rPr>
          <w:rFonts w:eastAsia="Calibri"/>
          <w:sz w:val="20"/>
          <w:szCs w:val="20"/>
        </w:rPr>
        <w:t>December 2013</w:t>
      </w:r>
      <w:r w:rsidRPr="000A28C8">
        <w:rPr>
          <w:rFonts w:eastAsia="Calibri"/>
          <w:sz w:val="20"/>
          <w:szCs w:val="20"/>
        </w:rPr>
        <w:t>.</w:t>
      </w:r>
    </w:p>
    <w:p w:rsidR="00300107" w:rsidRPr="000A28C8" w:rsidRDefault="00300107" w:rsidP="004F4471">
      <w:pPr>
        <w:jc w:val="both"/>
        <w:rPr>
          <w:rFonts w:eastAsia="Calibri"/>
          <w:sz w:val="20"/>
          <w:szCs w:val="20"/>
        </w:rPr>
      </w:pPr>
    </w:p>
    <w:p w:rsidR="00300107" w:rsidRPr="002C5CC4" w:rsidRDefault="00300107" w:rsidP="004F4471">
      <w:pPr>
        <w:jc w:val="both"/>
        <w:rPr>
          <w:rFonts w:eastAsia="Calibri"/>
          <w:b/>
          <w:bCs/>
          <w:szCs w:val="24"/>
        </w:rPr>
      </w:pPr>
      <w:r w:rsidRPr="002C5CC4">
        <w:rPr>
          <w:rFonts w:eastAsia="Calibri"/>
          <w:b/>
          <w:bCs/>
          <w:szCs w:val="24"/>
        </w:rPr>
        <w:t xml:space="preserve">The inclusion criteria </w:t>
      </w:r>
      <w:proofErr w:type="gramStart"/>
      <w:r w:rsidRPr="002C5CC4">
        <w:rPr>
          <w:rFonts w:eastAsia="Calibri"/>
          <w:b/>
          <w:bCs/>
          <w:szCs w:val="24"/>
        </w:rPr>
        <w:t>were :</w:t>
      </w:r>
      <w:proofErr w:type="gramEnd"/>
    </w:p>
    <w:p w:rsidR="00300107" w:rsidRPr="000A28C8" w:rsidRDefault="00300107" w:rsidP="004F4471">
      <w:pPr>
        <w:keepNext/>
        <w:jc w:val="both"/>
        <w:outlineLvl w:val="0"/>
        <w:rPr>
          <w:rFonts w:eastAsia="Calibri"/>
          <w:bCs/>
          <w:sz w:val="20"/>
          <w:szCs w:val="20"/>
        </w:rPr>
      </w:pPr>
      <w:r w:rsidRPr="000A28C8">
        <w:rPr>
          <w:rFonts w:eastAsia="Calibri"/>
          <w:bCs/>
          <w:sz w:val="20"/>
          <w:szCs w:val="20"/>
        </w:rPr>
        <w:t>1. Only those who gave consent.</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2. Adult patients (Age &gt; 18 years)</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 xml:space="preserve">3. Closed </w:t>
      </w:r>
      <w:proofErr w:type="spellStart"/>
      <w:r w:rsidRPr="000A28C8">
        <w:rPr>
          <w:rFonts w:eastAsia="Calibri"/>
          <w:bCs/>
          <w:sz w:val="20"/>
          <w:szCs w:val="20"/>
        </w:rPr>
        <w:t>trochanteric</w:t>
      </w:r>
      <w:proofErr w:type="spellEnd"/>
      <w:r w:rsidRPr="000A28C8">
        <w:rPr>
          <w:rFonts w:eastAsia="Calibri"/>
          <w:bCs/>
          <w:sz w:val="20"/>
          <w:szCs w:val="20"/>
        </w:rPr>
        <w:t xml:space="preserve"> fractures.</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4. Competent neurological and vascular status of the affected limb.</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 xml:space="preserve">5. </w:t>
      </w:r>
      <w:proofErr w:type="spellStart"/>
      <w:r w:rsidRPr="000A28C8">
        <w:rPr>
          <w:rFonts w:eastAsia="Calibri"/>
          <w:bCs/>
          <w:sz w:val="20"/>
          <w:szCs w:val="20"/>
        </w:rPr>
        <w:t>Ipsilateral</w:t>
      </w:r>
      <w:proofErr w:type="spellEnd"/>
      <w:r w:rsidRPr="000A28C8">
        <w:rPr>
          <w:rFonts w:eastAsia="Calibri"/>
          <w:bCs/>
          <w:sz w:val="20"/>
          <w:szCs w:val="20"/>
        </w:rPr>
        <w:t xml:space="preserve"> knee, Ankle, </w:t>
      </w:r>
      <w:proofErr w:type="spellStart"/>
      <w:r w:rsidRPr="000A28C8">
        <w:rPr>
          <w:rFonts w:eastAsia="Calibri"/>
          <w:bCs/>
          <w:sz w:val="20"/>
          <w:szCs w:val="20"/>
        </w:rPr>
        <w:t>contralateral</w:t>
      </w:r>
      <w:proofErr w:type="spellEnd"/>
      <w:r w:rsidRPr="000A28C8">
        <w:rPr>
          <w:rFonts w:eastAsia="Calibri"/>
          <w:bCs/>
          <w:sz w:val="20"/>
          <w:szCs w:val="20"/>
        </w:rPr>
        <w:t xml:space="preserve"> hip joint functionally good enough,  </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 xml:space="preserve">    </w:t>
      </w:r>
      <w:proofErr w:type="gramStart"/>
      <w:r w:rsidRPr="000A28C8">
        <w:rPr>
          <w:rFonts w:eastAsia="Calibri"/>
          <w:bCs/>
          <w:sz w:val="20"/>
          <w:szCs w:val="20"/>
        </w:rPr>
        <w:t>not</w:t>
      </w:r>
      <w:proofErr w:type="gramEnd"/>
      <w:r w:rsidRPr="000A28C8">
        <w:rPr>
          <w:rFonts w:eastAsia="Calibri"/>
          <w:bCs/>
          <w:sz w:val="20"/>
          <w:szCs w:val="20"/>
        </w:rPr>
        <w:t xml:space="preserve"> to exert a serious adverse effect on the rehabilitation process.</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 xml:space="preserve">6. Only patient </w:t>
      </w:r>
      <w:proofErr w:type="gramStart"/>
      <w:r w:rsidRPr="000A28C8">
        <w:rPr>
          <w:rFonts w:eastAsia="Calibri"/>
          <w:bCs/>
          <w:sz w:val="20"/>
          <w:szCs w:val="20"/>
        </w:rPr>
        <w:t>with a near normal daily activities</w:t>
      </w:r>
      <w:proofErr w:type="gramEnd"/>
      <w:r w:rsidRPr="000A28C8">
        <w:rPr>
          <w:rFonts w:eastAsia="Calibri"/>
          <w:bCs/>
          <w:sz w:val="20"/>
          <w:szCs w:val="20"/>
        </w:rPr>
        <w:t xml:space="preserve"> of life.</w:t>
      </w:r>
    </w:p>
    <w:p w:rsidR="00300107" w:rsidRPr="000A28C8" w:rsidRDefault="00A1702B" w:rsidP="004F4471">
      <w:pPr>
        <w:jc w:val="both"/>
        <w:rPr>
          <w:rFonts w:eastAsia="Calibri"/>
          <w:sz w:val="20"/>
          <w:szCs w:val="20"/>
        </w:rPr>
      </w:pPr>
      <w:r w:rsidRPr="000A28C8">
        <w:rPr>
          <w:rFonts w:eastAsia="Calibri"/>
          <w:sz w:val="20"/>
          <w:szCs w:val="20"/>
        </w:rPr>
        <w:t xml:space="preserve">7. </w:t>
      </w:r>
      <w:r w:rsidR="00300107" w:rsidRPr="000A28C8">
        <w:rPr>
          <w:rFonts w:eastAsia="Calibri"/>
          <w:sz w:val="20"/>
          <w:szCs w:val="20"/>
        </w:rPr>
        <w:t xml:space="preserve">No associated fracture in same limb </w:t>
      </w:r>
    </w:p>
    <w:p w:rsidR="00300107" w:rsidRPr="000A28C8" w:rsidRDefault="00300107" w:rsidP="004F4471">
      <w:pPr>
        <w:keepNext/>
        <w:jc w:val="both"/>
        <w:outlineLvl w:val="0"/>
        <w:rPr>
          <w:rFonts w:eastAsia="Calibri"/>
          <w:bCs/>
          <w:sz w:val="20"/>
          <w:szCs w:val="20"/>
        </w:rPr>
      </w:pPr>
      <w:r w:rsidRPr="000A28C8">
        <w:rPr>
          <w:rFonts w:eastAsia="Calibri"/>
          <w:bCs/>
          <w:sz w:val="20"/>
          <w:szCs w:val="20"/>
        </w:rPr>
        <w:t>8. Patients who can meet the medical standards for routine, elective surgery.</w:t>
      </w:r>
    </w:p>
    <w:p w:rsidR="00300107" w:rsidRPr="002C5CC4" w:rsidRDefault="00300107" w:rsidP="004F4471">
      <w:pPr>
        <w:jc w:val="both"/>
        <w:rPr>
          <w:rFonts w:eastAsia="Calibri"/>
          <w:szCs w:val="24"/>
        </w:rPr>
      </w:pPr>
    </w:p>
    <w:p w:rsidR="006D403D" w:rsidRPr="000A28C8" w:rsidRDefault="00B2678F" w:rsidP="004F4471">
      <w:pPr>
        <w:ind w:firstLine="720"/>
        <w:jc w:val="both"/>
        <w:rPr>
          <w:rFonts w:eastAsia="Calibri"/>
          <w:sz w:val="20"/>
          <w:szCs w:val="20"/>
        </w:rPr>
      </w:pPr>
      <w:r w:rsidRPr="000A28C8">
        <w:rPr>
          <w:rFonts w:eastAsia="Calibri"/>
          <w:sz w:val="20"/>
          <w:szCs w:val="20"/>
        </w:rPr>
        <w:lastRenderedPageBreak/>
        <w:t>The study included 52 patients</w:t>
      </w:r>
      <w:r w:rsidR="00300107" w:rsidRPr="000A28C8">
        <w:rPr>
          <w:rFonts w:eastAsia="Calibri"/>
          <w:sz w:val="20"/>
          <w:szCs w:val="20"/>
        </w:rPr>
        <w:t xml:space="preserve">, </w:t>
      </w:r>
      <w:r w:rsidR="006D403D" w:rsidRPr="000A28C8">
        <w:rPr>
          <w:rFonts w:eastAsia="Calibri"/>
          <w:sz w:val="20"/>
          <w:szCs w:val="20"/>
        </w:rPr>
        <w:t>admitted either through t</w:t>
      </w:r>
      <w:r w:rsidRPr="000A28C8">
        <w:rPr>
          <w:rFonts w:eastAsia="Calibri"/>
          <w:sz w:val="20"/>
          <w:szCs w:val="20"/>
        </w:rPr>
        <w:t xml:space="preserve">he </w:t>
      </w:r>
      <w:proofErr w:type="spellStart"/>
      <w:r w:rsidRPr="000A28C8">
        <w:rPr>
          <w:rFonts w:eastAsia="Calibri"/>
          <w:sz w:val="20"/>
          <w:szCs w:val="20"/>
        </w:rPr>
        <w:t>out patient</w:t>
      </w:r>
      <w:proofErr w:type="spellEnd"/>
      <w:r w:rsidRPr="000A28C8">
        <w:rPr>
          <w:rFonts w:eastAsia="Calibri"/>
          <w:sz w:val="20"/>
          <w:szCs w:val="20"/>
        </w:rPr>
        <w:t xml:space="preserve"> department or through</w:t>
      </w:r>
      <w:r w:rsidR="006D403D" w:rsidRPr="000A28C8">
        <w:rPr>
          <w:rFonts w:eastAsia="Calibri"/>
          <w:sz w:val="20"/>
          <w:szCs w:val="20"/>
        </w:rPr>
        <w:t xml:space="preserve"> emergency department of the hospital.</w:t>
      </w:r>
      <w:r w:rsidR="00300107" w:rsidRPr="000A28C8">
        <w:rPr>
          <w:rFonts w:eastAsia="Calibri"/>
          <w:sz w:val="20"/>
          <w:szCs w:val="20"/>
        </w:rPr>
        <w:t>26 patients were operated with DHS and other 26 with PFLCP.</w:t>
      </w:r>
    </w:p>
    <w:p w:rsidR="00B2678F" w:rsidRPr="000A28C8" w:rsidRDefault="00B2678F" w:rsidP="004F4471">
      <w:pPr>
        <w:ind w:firstLine="720"/>
        <w:jc w:val="both"/>
        <w:rPr>
          <w:rFonts w:eastAsia="Calibri"/>
          <w:sz w:val="20"/>
          <w:szCs w:val="20"/>
        </w:rPr>
      </w:pPr>
      <w:r w:rsidRPr="000A28C8">
        <w:rPr>
          <w:rFonts w:eastAsia="Calibri"/>
          <w:sz w:val="20"/>
          <w:szCs w:val="20"/>
        </w:rPr>
        <w:t xml:space="preserve">The subjects were randomized using online </w:t>
      </w:r>
      <w:r w:rsidR="00300107" w:rsidRPr="000A28C8">
        <w:rPr>
          <w:rFonts w:eastAsia="Calibri"/>
          <w:sz w:val="20"/>
          <w:szCs w:val="20"/>
        </w:rPr>
        <w:t>statistical</w:t>
      </w:r>
      <w:r w:rsidRPr="000A28C8">
        <w:rPr>
          <w:rFonts w:eastAsia="Calibri"/>
          <w:sz w:val="20"/>
          <w:szCs w:val="20"/>
        </w:rPr>
        <w:t xml:space="preserve"> computing web program - http://www.randomization.com/</w:t>
      </w:r>
    </w:p>
    <w:p w:rsidR="006D403D" w:rsidRPr="000A28C8" w:rsidRDefault="006D403D" w:rsidP="004F4471">
      <w:pPr>
        <w:ind w:firstLine="720"/>
        <w:jc w:val="both"/>
        <w:rPr>
          <w:rFonts w:eastAsia="Calibri"/>
          <w:sz w:val="20"/>
          <w:szCs w:val="20"/>
        </w:rPr>
      </w:pPr>
    </w:p>
    <w:p w:rsidR="00CB5DAE" w:rsidRPr="000A28C8" w:rsidRDefault="009E2E61" w:rsidP="004F4471">
      <w:pPr>
        <w:jc w:val="both"/>
        <w:rPr>
          <w:rFonts w:eastAsia="Calibri"/>
          <w:sz w:val="20"/>
          <w:szCs w:val="20"/>
        </w:rPr>
      </w:pPr>
      <w:r w:rsidRPr="000A28C8">
        <w:rPr>
          <w:rFonts w:eastAsia="Calibri"/>
          <w:sz w:val="20"/>
          <w:szCs w:val="20"/>
        </w:rPr>
        <w:t>All pat</w:t>
      </w:r>
      <w:r w:rsidR="00CC4A83" w:rsidRPr="000A28C8">
        <w:rPr>
          <w:rFonts w:eastAsia="Calibri"/>
          <w:sz w:val="20"/>
          <w:szCs w:val="20"/>
        </w:rPr>
        <w:t xml:space="preserve">ients were admitted </w:t>
      </w:r>
      <w:proofErr w:type="gramStart"/>
      <w:r w:rsidR="00CC4A83" w:rsidRPr="000A28C8">
        <w:rPr>
          <w:rFonts w:eastAsia="Calibri"/>
          <w:sz w:val="20"/>
          <w:szCs w:val="20"/>
        </w:rPr>
        <w:t xml:space="preserve">and </w:t>
      </w:r>
      <w:r w:rsidRPr="000A28C8">
        <w:rPr>
          <w:rFonts w:eastAsia="Calibri"/>
          <w:sz w:val="20"/>
          <w:szCs w:val="20"/>
        </w:rPr>
        <w:t xml:space="preserve"> immediately</w:t>
      </w:r>
      <w:proofErr w:type="gramEnd"/>
      <w:r w:rsidRPr="000A28C8">
        <w:rPr>
          <w:rFonts w:eastAsia="Calibri"/>
          <w:sz w:val="20"/>
          <w:szCs w:val="20"/>
        </w:rPr>
        <w:t xml:space="preserve"> given emergency care. The </w:t>
      </w:r>
      <w:proofErr w:type="gramStart"/>
      <w:r w:rsidRPr="000A28C8">
        <w:rPr>
          <w:rFonts w:eastAsia="Calibri"/>
          <w:sz w:val="20"/>
          <w:szCs w:val="20"/>
        </w:rPr>
        <w:t>level of fracture was determined and were</w:t>
      </w:r>
      <w:proofErr w:type="gramEnd"/>
      <w:r w:rsidRPr="000A28C8">
        <w:rPr>
          <w:rFonts w:eastAsia="Calibri"/>
          <w:sz w:val="20"/>
          <w:szCs w:val="20"/>
        </w:rPr>
        <w:t xml:space="preserve"> classified according to AO. The patient was prepared for elective surgery after performing the routine preoperative investigations and pre </w:t>
      </w:r>
      <w:proofErr w:type="spellStart"/>
      <w:r w:rsidRPr="000A28C8">
        <w:rPr>
          <w:rFonts w:eastAsia="Calibri"/>
          <w:sz w:val="20"/>
          <w:szCs w:val="20"/>
        </w:rPr>
        <w:t>anaesthetic</w:t>
      </w:r>
      <w:proofErr w:type="spellEnd"/>
      <w:r w:rsidRPr="000A28C8">
        <w:rPr>
          <w:rFonts w:eastAsia="Calibri"/>
          <w:sz w:val="20"/>
          <w:szCs w:val="20"/>
        </w:rPr>
        <w:t xml:space="preserve"> evaluation. Spinal </w:t>
      </w:r>
      <w:proofErr w:type="spellStart"/>
      <w:r w:rsidRPr="000A28C8">
        <w:rPr>
          <w:rFonts w:eastAsia="Calibri"/>
          <w:sz w:val="20"/>
          <w:szCs w:val="20"/>
        </w:rPr>
        <w:t>anaesthesia</w:t>
      </w:r>
      <w:proofErr w:type="spellEnd"/>
      <w:r w:rsidRPr="000A28C8">
        <w:rPr>
          <w:rFonts w:eastAsia="Calibri"/>
          <w:sz w:val="20"/>
          <w:szCs w:val="20"/>
        </w:rPr>
        <w:t xml:space="preserve"> was given to the patients and closed reduction done using fracture table and C-arm. Once acceptable reduction was </w:t>
      </w:r>
      <w:proofErr w:type="gramStart"/>
      <w:r w:rsidRPr="000A28C8">
        <w:rPr>
          <w:rFonts w:eastAsia="Calibri"/>
          <w:sz w:val="20"/>
          <w:szCs w:val="20"/>
        </w:rPr>
        <w:t>achieved ,</w:t>
      </w:r>
      <w:proofErr w:type="gramEnd"/>
      <w:r w:rsidRPr="000A28C8">
        <w:rPr>
          <w:rFonts w:eastAsia="Calibri"/>
          <w:sz w:val="20"/>
          <w:szCs w:val="20"/>
        </w:rPr>
        <w:t xml:space="preserve"> the operative part was scrubbed, painted and draped for surgery. If reduction wasn’t achieved despite several attempts, open reduction was performed. Standard lateral approach incising the </w:t>
      </w:r>
      <w:proofErr w:type="spellStart"/>
      <w:r w:rsidRPr="000A28C8">
        <w:rPr>
          <w:rFonts w:eastAsia="Calibri"/>
          <w:sz w:val="20"/>
          <w:szCs w:val="20"/>
        </w:rPr>
        <w:t>iliotibial</w:t>
      </w:r>
      <w:proofErr w:type="spellEnd"/>
      <w:r w:rsidRPr="000A28C8">
        <w:rPr>
          <w:rFonts w:eastAsia="Calibri"/>
          <w:sz w:val="20"/>
          <w:szCs w:val="20"/>
        </w:rPr>
        <w:t xml:space="preserve"> band and splitting the </w:t>
      </w:r>
      <w:proofErr w:type="spellStart"/>
      <w:r w:rsidRPr="000A28C8">
        <w:rPr>
          <w:rFonts w:eastAsia="Calibri"/>
          <w:sz w:val="20"/>
          <w:szCs w:val="20"/>
        </w:rPr>
        <w:t>vastus</w:t>
      </w:r>
      <w:proofErr w:type="spellEnd"/>
      <w:r w:rsidRPr="000A28C8">
        <w:rPr>
          <w:rFonts w:eastAsia="Calibri"/>
          <w:sz w:val="20"/>
          <w:szCs w:val="20"/>
        </w:rPr>
        <w:t xml:space="preserve"> </w:t>
      </w:r>
      <w:proofErr w:type="spellStart"/>
      <w:r w:rsidRPr="000A28C8">
        <w:rPr>
          <w:rFonts w:eastAsia="Calibri"/>
          <w:sz w:val="20"/>
          <w:szCs w:val="20"/>
        </w:rPr>
        <w:t>lateralis</w:t>
      </w:r>
      <w:proofErr w:type="spellEnd"/>
      <w:r w:rsidRPr="000A28C8">
        <w:rPr>
          <w:rFonts w:eastAsia="Calibri"/>
          <w:sz w:val="20"/>
          <w:szCs w:val="20"/>
        </w:rPr>
        <w:t xml:space="preserve"> </w:t>
      </w:r>
      <w:r w:rsidR="00A1702B" w:rsidRPr="000A28C8">
        <w:rPr>
          <w:rFonts w:eastAsia="Calibri"/>
          <w:sz w:val="20"/>
          <w:szCs w:val="20"/>
        </w:rPr>
        <w:t xml:space="preserve">parallel to the skin incision </w:t>
      </w:r>
      <w:r w:rsidR="00A5709B" w:rsidRPr="000A28C8">
        <w:rPr>
          <w:rFonts w:eastAsia="Calibri"/>
          <w:sz w:val="20"/>
          <w:szCs w:val="20"/>
        </w:rPr>
        <w:t>was used to expose the</w:t>
      </w:r>
      <w:r w:rsidRPr="000A28C8">
        <w:rPr>
          <w:rFonts w:eastAsia="Calibri"/>
          <w:sz w:val="20"/>
          <w:szCs w:val="20"/>
        </w:rPr>
        <w:t xml:space="preserve"> </w:t>
      </w:r>
      <w:proofErr w:type="spellStart"/>
      <w:r w:rsidRPr="000A28C8">
        <w:rPr>
          <w:rFonts w:eastAsia="Calibri"/>
          <w:sz w:val="20"/>
          <w:szCs w:val="20"/>
        </w:rPr>
        <w:t>trochanter</w:t>
      </w:r>
      <w:proofErr w:type="spellEnd"/>
      <w:r w:rsidRPr="000A28C8">
        <w:rPr>
          <w:rFonts w:eastAsia="Calibri"/>
          <w:sz w:val="20"/>
          <w:szCs w:val="20"/>
        </w:rPr>
        <w:t>.</w:t>
      </w:r>
      <w:r w:rsidR="00A1702B" w:rsidRPr="000A28C8">
        <w:rPr>
          <w:rFonts w:eastAsia="Calibri"/>
          <w:sz w:val="20"/>
          <w:szCs w:val="20"/>
        </w:rPr>
        <w:t xml:space="preserve"> </w:t>
      </w:r>
      <w:r w:rsidRPr="000A28C8">
        <w:rPr>
          <w:rFonts w:eastAsia="Calibri"/>
          <w:sz w:val="20"/>
          <w:szCs w:val="20"/>
        </w:rPr>
        <w:t xml:space="preserve">As per the </w:t>
      </w:r>
      <w:proofErr w:type="spellStart"/>
      <w:r w:rsidRPr="000A28C8">
        <w:rPr>
          <w:rFonts w:eastAsia="Calibri"/>
          <w:sz w:val="20"/>
          <w:szCs w:val="20"/>
        </w:rPr>
        <w:t>randomistion</w:t>
      </w:r>
      <w:proofErr w:type="spellEnd"/>
      <w:r w:rsidRPr="000A28C8">
        <w:rPr>
          <w:rFonts w:eastAsia="Calibri"/>
          <w:sz w:val="20"/>
          <w:szCs w:val="20"/>
        </w:rPr>
        <w:t xml:space="preserve"> data for that particular case, DHS or PFLCP was used to stabilize the fracture after achieving good reduction. The procedure and techniques were followed as per the AO guidelines. The procedures </w:t>
      </w:r>
      <w:r w:rsidR="00F853CC" w:rsidRPr="000A28C8">
        <w:rPr>
          <w:rFonts w:eastAsia="Calibri"/>
          <w:sz w:val="20"/>
          <w:szCs w:val="20"/>
        </w:rPr>
        <w:t xml:space="preserve">were performed confirming AP and lateral images </w:t>
      </w:r>
      <w:r w:rsidRPr="000A28C8">
        <w:rPr>
          <w:rFonts w:eastAsia="Calibri"/>
          <w:sz w:val="20"/>
          <w:szCs w:val="20"/>
        </w:rPr>
        <w:t>using C-arm</w:t>
      </w:r>
      <w:r w:rsidR="00F853CC" w:rsidRPr="000A28C8">
        <w:rPr>
          <w:rFonts w:eastAsia="Calibri"/>
          <w:sz w:val="20"/>
          <w:szCs w:val="20"/>
        </w:rPr>
        <w:t xml:space="preserve">. After the implantation, </w:t>
      </w:r>
      <w:r w:rsidR="00CC4A83" w:rsidRPr="000A28C8">
        <w:rPr>
          <w:rFonts w:eastAsia="Calibri"/>
          <w:sz w:val="20"/>
          <w:szCs w:val="20"/>
        </w:rPr>
        <w:t xml:space="preserve">14 size </w:t>
      </w:r>
      <w:r w:rsidR="00926384" w:rsidRPr="000A28C8">
        <w:rPr>
          <w:rFonts w:eastAsia="Calibri"/>
          <w:sz w:val="20"/>
          <w:szCs w:val="20"/>
        </w:rPr>
        <w:t xml:space="preserve">negative suction </w:t>
      </w:r>
      <w:proofErr w:type="gramStart"/>
      <w:r w:rsidR="00CC4A83" w:rsidRPr="000A28C8">
        <w:rPr>
          <w:rFonts w:eastAsia="Calibri"/>
          <w:sz w:val="20"/>
          <w:szCs w:val="20"/>
        </w:rPr>
        <w:t>drain</w:t>
      </w:r>
      <w:proofErr w:type="gramEnd"/>
      <w:r w:rsidR="00CC4A83" w:rsidRPr="000A28C8">
        <w:rPr>
          <w:rFonts w:eastAsia="Calibri"/>
          <w:sz w:val="20"/>
          <w:szCs w:val="20"/>
        </w:rPr>
        <w:t xml:space="preserve"> was put and </w:t>
      </w:r>
      <w:r w:rsidR="00F853CC" w:rsidRPr="000A28C8">
        <w:rPr>
          <w:rFonts w:eastAsia="Calibri"/>
          <w:sz w:val="20"/>
          <w:szCs w:val="20"/>
        </w:rPr>
        <w:t>the</w:t>
      </w:r>
      <w:r w:rsidR="00CC4A83" w:rsidRPr="000A28C8">
        <w:rPr>
          <w:rFonts w:eastAsia="Calibri"/>
          <w:sz w:val="20"/>
          <w:szCs w:val="20"/>
        </w:rPr>
        <w:t xml:space="preserve"> tissues were closed in layers. </w:t>
      </w:r>
    </w:p>
    <w:p w:rsidR="003C220D" w:rsidRPr="000A28C8" w:rsidRDefault="003C220D" w:rsidP="004F4471">
      <w:pPr>
        <w:autoSpaceDE w:val="0"/>
        <w:autoSpaceDN w:val="0"/>
        <w:adjustRightInd w:val="0"/>
        <w:jc w:val="both"/>
        <w:rPr>
          <w:rFonts w:eastAsia="Calibri"/>
          <w:sz w:val="20"/>
          <w:szCs w:val="20"/>
        </w:rPr>
      </w:pPr>
    </w:p>
    <w:p w:rsidR="009E2E61" w:rsidRPr="000A28C8" w:rsidRDefault="003C220D" w:rsidP="00A5709B">
      <w:pPr>
        <w:autoSpaceDE w:val="0"/>
        <w:autoSpaceDN w:val="0"/>
        <w:adjustRightInd w:val="0"/>
        <w:jc w:val="both"/>
        <w:rPr>
          <w:rFonts w:eastAsia="Calibri"/>
          <w:sz w:val="20"/>
          <w:szCs w:val="20"/>
        </w:rPr>
      </w:pPr>
      <w:r w:rsidRPr="000A28C8">
        <w:rPr>
          <w:rFonts w:eastAsia="Calibri"/>
          <w:sz w:val="20"/>
          <w:szCs w:val="20"/>
        </w:rPr>
        <w:t xml:space="preserve">    </w:t>
      </w:r>
      <w:r w:rsidR="00CB5DAE" w:rsidRPr="000A28C8">
        <w:rPr>
          <w:rFonts w:eastAsia="Calibri"/>
          <w:sz w:val="20"/>
          <w:szCs w:val="20"/>
        </w:rPr>
        <w:t>Sitting up in bed was encouraged on the first post operative day. Quadriceps exercise and range of movement exercises of the hip and knee started on the first day after surgery within limits of pain. The general supportive measures were taken and stitches were remo</w:t>
      </w:r>
      <w:r w:rsidRPr="000A28C8">
        <w:rPr>
          <w:rFonts w:eastAsia="Calibri"/>
          <w:sz w:val="20"/>
          <w:szCs w:val="20"/>
        </w:rPr>
        <w:t xml:space="preserve">ved on tenth post operative day. </w:t>
      </w:r>
      <w:r w:rsidR="00CB5DAE" w:rsidRPr="000A28C8">
        <w:rPr>
          <w:rFonts w:eastAsia="Calibri"/>
          <w:sz w:val="20"/>
          <w:szCs w:val="20"/>
        </w:rPr>
        <w:t>Early ambulation was encouraged usually after 5-6 days. Depending on the age, fracture pattern, stability of fracture fixation, toe touching to partial weight bearing was allowed till first follow up (6 wks). Then unprotected full weight bearing was allowed after reviewing radiograph.</w:t>
      </w:r>
      <w:r w:rsidR="00A5709B" w:rsidRPr="000A28C8">
        <w:rPr>
          <w:rFonts w:eastAsia="Calibri"/>
          <w:sz w:val="20"/>
          <w:szCs w:val="20"/>
        </w:rPr>
        <w:t xml:space="preserve"> Follow up was carried out at</w:t>
      </w:r>
      <w:r w:rsidR="00CB5DAE" w:rsidRPr="000A28C8">
        <w:rPr>
          <w:rFonts w:eastAsia="Calibri"/>
          <w:sz w:val="20"/>
          <w:szCs w:val="20"/>
        </w:rPr>
        <w:t xml:space="preserve"> 6, 12, 16, 24 weeks and then at two monthly </w:t>
      </w:r>
      <w:proofErr w:type="spellStart"/>
      <w:r w:rsidR="00CB5DAE" w:rsidRPr="000A28C8">
        <w:rPr>
          <w:rFonts w:eastAsia="Calibri"/>
          <w:sz w:val="20"/>
          <w:szCs w:val="20"/>
        </w:rPr>
        <w:t>intervals.</w:t>
      </w:r>
      <w:r w:rsidRPr="000A28C8">
        <w:rPr>
          <w:rFonts w:eastAsia="Calibri"/>
          <w:sz w:val="20"/>
          <w:szCs w:val="20"/>
        </w:rPr>
        <w:t>A</w:t>
      </w:r>
      <w:r w:rsidR="000D6EA0" w:rsidRPr="000A28C8">
        <w:rPr>
          <w:sz w:val="20"/>
          <w:szCs w:val="20"/>
        </w:rPr>
        <w:t>ll</w:t>
      </w:r>
      <w:proofErr w:type="spellEnd"/>
      <w:r w:rsidR="000D6EA0" w:rsidRPr="000A28C8">
        <w:rPr>
          <w:sz w:val="20"/>
          <w:szCs w:val="20"/>
        </w:rPr>
        <w:t xml:space="preserve"> statistical analyses were conducted with</w:t>
      </w:r>
      <w:r w:rsidR="00A5709B" w:rsidRPr="000A28C8">
        <w:rPr>
          <w:sz w:val="20"/>
          <w:szCs w:val="20"/>
        </w:rPr>
        <w:t xml:space="preserve"> SPSS</w:t>
      </w:r>
      <w:r w:rsidR="000D6EA0" w:rsidRPr="000A28C8">
        <w:rPr>
          <w:sz w:val="20"/>
          <w:szCs w:val="20"/>
        </w:rPr>
        <w:t xml:space="preserve"> for windows (version 18.0, </w:t>
      </w:r>
      <w:proofErr w:type="spellStart"/>
      <w:proofErr w:type="gramStart"/>
      <w:r w:rsidR="000D6EA0" w:rsidRPr="000A28C8">
        <w:rPr>
          <w:sz w:val="20"/>
          <w:szCs w:val="20"/>
        </w:rPr>
        <w:t>chicago</w:t>
      </w:r>
      <w:proofErr w:type="spellEnd"/>
      <w:proofErr w:type="gramEnd"/>
      <w:r w:rsidR="000D6EA0" w:rsidRPr="000A28C8">
        <w:rPr>
          <w:sz w:val="20"/>
          <w:szCs w:val="20"/>
        </w:rPr>
        <w:t xml:space="preserve">, </w:t>
      </w:r>
      <w:proofErr w:type="spellStart"/>
      <w:r w:rsidR="000D6EA0" w:rsidRPr="000A28C8">
        <w:rPr>
          <w:sz w:val="20"/>
          <w:szCs w:val="20"/>
        </w:rPr>
        <w:t>il</w:t>
      </w:r>
      <w:proofErr w:type="spellEnd"/>
      <w:r w:rsidR="000D6EA0" w:rsidRPr="000A28C8">
        <w:rPr>
          <w:sz w:val="20"/>
          <w:szCs w:val="20"/>
        </w:rPr>
        <w:t>), and p values of &lt;0.05 were considered significant.</w:t>
      </w:r>
    </w:p>
    <w:p w:rsidR="00E54497" w:rsidRPr="002C5CC4" w:rsidRDefault="00E54497" w:rsidP="004F4471">
      <w:pPr>
        <w:pStyle w:val="PlainText"/>
        <w:spacing w:after="80"/>
        <w:jc w:val="both"/>
        <w:rPr>
          <w:rFonts w:ascii="Times New Roman" w:hAnsi="Times New Roman"/>
          <w:b/>
          <w:sz w:val="24"/>
          <w:szCs w:val="24"/>
        </w:rPr>
      </w:pPr>
    </w:p>
    <w:p w:rsidR="00E54497" w:rsidRPr="000A28C8" w:rsidRDefault="00E54497" w:rsidP="004F4471">
      <w:pPr>
        <w:pStyle w:val="PlainText"/>
        <w:spacing w:after="80"/>
        <w:jc w:val="both"/>
        <w:rPr>
          <w:rFonts w:ascii="Times New Roman" w:hAnsi="Times New Roman"/>
          <w:b/>
          <w:sz w:val="22"/>
          <w:szCs w:val="22"/>
        </w:rPr>
      </w:pPr>
      <w:r w:rsidRPr="000A28C8">
        <w:rPr>
          <w:rFonts w:ascii="Times New Roman" w:hAnsi="Times New Roman"/>
          <w:b/>
          <w:sz w:val="22"/>
          <w:szCs w:val="22"/>
        </w:rPr>
        <w:t>RESULTS</w:t>
      </w:r>
    </w:p>
    <w:p w:rsidR="003C220D" w:rsidRPr="000A28C8" w:rsidRDefault="009730BF" w:rsidP="004F4471">
      <w:pPr>
        <w:ind w:firstLine="720"/>
        <w:jc w:val="both"/>
        <w:rPr>
          <w:rFonts w:eastAsia="Times New Roman"/>
          <w:sz w:val="20"/>
          <w:szCs w:val="20"/>
        </w:rPr>
      </w:pPr>
      <w:r w:rsidRPr="000A28C8">
        <w:rPr>
          <w:rFonts w:eastAsia="Times New Roman"/>
          <w:sz w:val="20"/>
          <w:szCs w:val="20"/>
        </w:rPr>
        <w:t>The youngest patient was of 23 yrs and the oldest was 78 yrs of age.</w:t>
      </w:r>
      <w:r w:rsidR="00B5373D" w:rsidRPr="000A28C8">
        <w:rPr>
          <w:rFonts w:eastAsia="Times New Roman"/>
          <w:sz w:val="20"/>
          <w:szCs w:val="20"/>
        </w:rPr>
        <w:t xml:space="preserve"> The mean age was 55.84 </w:t>
      </w:r>
      <w:proofErr w:type="spellStart"/>
      <w:r w:rsidR="00B5373D" w:rsidRPr="000A28C8">
        <w:rPr>
          <w:rFonts w:eastAsia="Times New Roman"/>
          <w:sz w:val="20"/>
          <w:szCs w:val="20"/>
        </w:rPr>
        <w:t>years.</w:t>
      </w:r>
      <w:r w:rsidRPr="000A28C8">
        <w:rPr>
          <w:rFonts w:eastAsia="Times New Roman"/>
          <w:sz w:val="20"/>
          <w:szCs w:val="20"/>
        </w:rPr>
        <w:t>The</w:t>
      </w:r>
      <w:proofErr w:type="spellEnd"/>
      <w:r w:rsidRPr="000A28C8">
        <w:rPr>
          <w:rFonts w:eastAsia="Times New Roman"/>
          <w:sz w:val="20"/>
          <w:szCs w:val="20"/>
        </w:rPr>
        <w:t xml:space="preserve"> maximum numbers of cases were</w:t>
      </w:r>
      <w:r w:rsidR="00B5373D" w:rsidRPr="000A28C8">
        <w:rPr>
          <w:rFonts w:eastAsia="Times New Roman"/>
          <w:sz w:val="20"/>
          <w:szCs w:val="20"/>
        </w:rPr>
        <w:t xml:space="preserve"> observed between 61-70 years. </w:t>
      </w:r>
      <w:r w:rsidRPr="000A28C8">
        <w:rPr>
          <w:rFonts w:eastAsia="Times New Roman"/>
          <w:sz w:val="20"/>
          <w:szCs w:val="20"/>
        </w:rPr>
        <w:t>The male to female</w:t>
      </w:r>
      <w:r w:rsidR="003C220D" w:rsidRPr="000A28C8">
        <w:rPr>
          <w:rFonts w:eastAsia="Times New Roman"/>
          <w:sz w:val="20"/>
          <w:szCs w:val="20"/>
        </w:rPr>
        <w:t xml:space="preserve"> ratio was found to be </w:t>
      </w:r>
      <w:proofErr w:type="gramStart"/>
      <w:r w:rsidR="003C220D" w:rsidRPr="000A28C8">
        <w:rPr>
          <w:rFonts w:eastAsia="Times New Roman"/>
          <w:sz w:val="20"/>
          <w:szCs w:val="20"/>
        </w:rPr>
        <w:t xml:space="preserve">1.6:1 </w:t>
      </w:r>
      <w:r w:rsidRPr="000A28C8">
        <w:rPr>
          <w:rFonts w:eastAsia="Times New Roman"/>
          <w:sz w:val="20"/>
          <w:szCs w:val="20"/>
        </w:rPr>
        <w:t>.</w:t>
      </w:r>
      <w:proofErr w:type="gramEnd"/>
      <w:r w:rsidRPr="000A28C8">
        <w:rPr>
          <w:rFonts w:eastAsia="Times New Roman"/>
          <w:sz w:val="20"/>
          <w:szCs w:val="20"/>
        </w:rPr>
        <w:t xml:space="preserve"> </w:t>
      </w:r>
      <w:r w:rsidR="00702A38" w:rsidRPr="000A28C8">
        <w:rPr>
          <w:rFonts w:eastAsia="Times New Roman"/>
          <w:sz w:val="20"/>
          <w:szCs w:val="20"/>
        </w:rPr>
        <w:t>The fractures were more commonly encountered on the left side (53.84%).</w:t>
      </w:r>
      <w:r w:rsidR="00B5373D" w:rsidRPr="000A28C8">
        <w:rPr>
          <w:rFonts w:eastAsia="Times New Roman"/>
          <w:sz w:val="20"/>
          <w:szCs w:val="20"/>
        </w:rPr>
        <w:t xml:space="preserve"> There </w:t>
      </w:r>
      <w:proofErr w:type="gramStart"/>
      <w:r w:rsidR="00B5373D" w:rsidRPr="000A28C8">
        <w:rPr>
          <w:rFonts w:eastAsia="Times New Roman"/>
          <w:sz w:val="20"/>
          <w:szCs w:val="20"/>
        </w:rPr>
        <w:t>were</w:t>
      </w:r>
      <w:proofErr w:type="gramEnd"/>
      <w:r w:rsidR="00B5373D" w:rsidRPr="000A28C8">
        <w:rPr>
          <w:rFonts w:eastAsia="Times New Roman"/>
          <w:sz w:val="20"/>
          <w:szCs w:val="20"/>
        </w:rPr>
        <w:t xml:space="preserve"> no bilateral </w:t>
      </w:r>
      <w:proofErr w:type="spellStart"/>
      <w:r w:rsidR="00B5373D" w:rsidRPr="000A28C8">
        <w:rPr>
          <w:rFonts w:eastAsia="Times New Roman"/>
          <w:sz w:val="20"/>
          <w:szCs w:val="20"/>
        </w:rPr>
        <w:t>cases.</w:t>
      </w:r>
      <w:r w:rsidR="00702A38" w:rsidRPr="000A28C8">
        <w:rPr>
          <w:rFonts w:eastAsia="Times New Roman"/>
          <w:sz w:val="20"/>
          <w:szCs w:val="20"/>
        </w:rPr>
        <w:t>The</w:t>
      </w:r>
      <w:proofErr w:type="spellEnd"/>
      <w:r w:rsidR="00702A38" w:rsidRPr="000A28C8">
        <w:rPr>
          <w:rFonts w:eastAsia="Times New Roman"/>
          <w:sz w:val="20"/>
          <w:szCs w:val="20"/>
        </w:rPr>
        <w:t xml:space="preserve"> commonest mode of injury in our patient was fall on ground (63.46%) either by slipping, stumbling or missing a step. The other modes were – road traffic accident (RTA), fall from height and assault</w:t>
      </w:r>
      <w:r w:rsidR="00B5373D" w:rsidRPr="000A28C8">
        <w:rPr>
          <w:rFonts w:eastAsia="Times New Roman"/>
          <w:sz w:val="20"/>
          <w:szCs w:val="20"/>
        </w:rPr>
        <w:t xml:space="preserve">. </w:t>
      </w:r>
      <w:r w:rsidR="00702A38" w:rsidRPr="000A28C8">
        <w:rPr>
          <w:rFonts w:eastAsia="Times New Roman"/>
          <w:sz w:val="20"/>
          <w:szCs w:val="20"/>
        </w:rPr>
        <w:t>The fractures were classified according to A</w:t>
      </w:r>
      <w:r w:rsidR="003C220D" w:rsidRPr="000A28C8">
        <w:rPr>
          <w:rFonts w:eastAsia="Times New Roman"/>
          <w:sz w:val="20"/>
          <w:szCs w:val="20"/>
        </w:rPr>
        <w:t>O classification system (1979).</w:t>
      </w:r>
      <w:r w:rsidR="00702A38" w:rsidRPr="000A28C8">
        <w:rPr>
          <w:rFonts w:eastAsia="Times New Roman"/>
          <w:sz w:val="20"/>
          <w:szCs w:val="20"/>
        </w:rPr>
        <w:t>Following nine types of fractures were encountered in different proportions</w:t>
      </w:r>
      <w:r w:rsidR="00B5373D" w:rsidRPr="000A28C8">
        <w:rPr>
          <w:rFonts w:eastAsia="Times New Roman"/>
          <w:sz w:val="20"/>
          <w:szCs w:val="20"/>
        </w:rPr>
        <w:t xml:space="preserve">. </w:t>
      </w:r>
      <w:r w:rsidR="00702A38" w:rsidRPr="000A28C8">
        <w:rPr>
          <w:rFonts w:eastAsia="Times New Roman"/>
          <w:sz w:val="20"/>
          <w:szCs w:val="20"/>
        </w:rPr>
        <w:t>Most of the cases (75%) were operated in 3-7 days following injury. The mean time interval between surgery and trauma was 5 days.</w:t>
      </w:r>
    </w:p>
    <w:p w:rsidR="009730BF" w:rsidRPr="000A28C8" w:rsidRDefault="00702A38" w:rsidP="004F4471">
      <w:pPr>
        <w:ind w:firstLine="720"/>
        <w:jc w:val="both"/>
        <w:rPr>
          <w:rFonts w:eastAsia="Times New Roman"/>
          <w:sz w:val="20"/>
          <w:szCs w:val="20"/>
        </w:rPr>
      </w:pPr>
      <w:r w:rsidRPr="000A28C8">
        <w:rPr>
          <w:rFonts w:eastAsia="Times New Roman"/>
          <w:sz w:val="20"/>
          <w:szCs w:val="20"/>
        </w:rPr>
        <w:t>The</w:t>
      </w:r>
      <w:r w:rsidRPr="000A28C8">
        <w:rPr>
          <w:rFonts w:eastAsia="Times New Roman"/>
          <w:b/>
          <w:sz w:val="20"/>
          <w:szCs w:val="20"/>
        </w:rPr>
        <w:t xml:space="preserve"> </w:t>
      </w:r>
      <w:r w:rsidRPr="000A28C8">
        <w:rPr>
          <w:rFonts w:eastAsia="Times New Roman"/>
          <w:sz w:val="20"/>
          <w:szCs w:val="20"/>
        </w:rPr>
        <w:t xml:space="preserve">operative time was calculated from starting of the skin incision till last skin stitch was </w:t>
      </w:r>
      <w:proofErr w:type="spellStart"/>
      <w:r w:rsidRPr="000A28C8">
        <w:rPr>
          <w:rFonts w:eastAsia="Times New Roman"/>
          <w:sz w:val="20"/>
          <w:szCs w:val="20"/>
        </w:rPr>
        <w:t>made.The</w:t>
      </w:r>
      <w:proofErr w:type="spellEnd"/>
      <w:r w:rsidRPr="000A28C8">
        <w:rPr>
          <w:rFonts w:eastAsia="Times New Roman"/>
          <w:sz w:val="20"/>
          <w:szCs w:val="20"/>
        </w:rPr>
        <w:t xml:space="preserve"> mean operative time of surgery in the PFLCP group </w:t>
      </w:r>
      <w:r w:rsidR="003C220D" w:rsidRPr="000A28C8">
        <w:rPr>
          <w:rFonts w:eastAsia="Times New Roman"/>
          <w:sz w:val="20"/>
          <w:szCs w:val="20"/>
        </w:rPr>
        <w:t>was found to be 93.07 minutes and</w:t>
      </w:r>
      <w:r w:rsidRPr="000A28C8">
        <w:rPr>
          <w:rFonts w:eastAsia="Times New Roman"/>
          <w:sz w:val="20"/>
          <w:szCs w:val="20"/>
        </w:rPr>
        <w:t xml:space="preserve"> in the DHS group was found to be 57.69 minutes.</w:t>
      </w:r>
      <w:r w:rsidR="00B5373D" w:rsidRPr="000A28C8">
        <w:rPr>
          <w:rFonts w:eastAsia="Times New Roman"/>
          <w:sz w:val="20"/>
          <w:szCs w:val="20"/>
        </w:rPr>
        <w:t xml:space="preserve"> </w:t>
      </w:r>
      <w:r w:rsidRPr="000A28C8">
        <w:rPr>
          <w:rFonts w:eastAsia="Times New Roman"/>
          <w:sz w:val="20"/>
          <w:szCs w:val="20"/>
        </w:rPr>
        <w:t xml:space="preserve">The above two values were tested statistically by unpaired t test to find out whether the difference is statistically significant or not. The </w:t>
      </w:r>
      <w:r w:rsidRPr="000A28C8">
        <w:rPr>
          <w:rFonts w:eastAsia="Times New Roman"/>
          <w:i/>
          <w:sz w:val="20"/>
          <w:szCs w:val="20"/>
        </w:rPr>
        <w:t>p</w:t>
      </w:r>
      <w:r w:rsidRPr="000A28C8">
        <w:rPr>
          <w:rFonts w:eastAsia="Times New Roman"/>
          <w:sz w:val="20"/>
          <w:szCs w:val="20"/>
        </w:rPr>
        <w:t xml:space="preserve"> value was 0.00427, which is statistically significant. The average blood loss in the PFLCP group was found to 305.76 </w:t>
      </w:r>
      <w:proofErr w:type="spellStart"/>
      <w:r w:rsidRPr="000A28C8">
        <w:rPr>
          <w:rFonts w:eastAsia="Times New Roman"/>
          <w:sz w:val="20"/>
          <w:szCs w:val="20"/>
        </w:rPr>
        <w:t>ml</w:t>
      </w:r>
      <w:r w:rsidR="00B5373D" w:rsidRPr="000A28C8">
        <w:rPr>
          <w:rFonts w:eastAsia="Times New Roman"/>
          <w:sz w:val="20"/>
          <w:szCs w:val="20"/>
        </w:rPr>
        <w:t>.</w:t>
      </w:r>
      <w:r w:rsidRPr="000A28C8">
        <w:rPr>
          <w:rFonts w:eastAsia="Times New Roman"/>
          <w:sz w:val="20"/>
          <w:szCs w:val="20"/>
        </w:rPr>
        <w:t>The</w:t>
      </w:r>
      <w:proofErr w:type="spellEnd"/>
      <w:r w:rsidRPr="000A28C8">
        <w:rPr>
          <w:rFonts w:eastAsia="Times New Roman"/>
          <w:sz w:val="20"/>
          <w:szCs w:val="20"/>
        </w:rPr>
        <w:t xml:space="preserve"> average blood loss in the DHS group was found to be less, </w:t>
      </w:r>
      <w:proofErr w:type="spellStart"/>
      <w:r w:rsidRPr="000A28C8">
        <w:rPr>
          <w:rFonts w:eastAsia="Times New Roman"/>
          <w:sz w:val="20"/>
          <w:szCs w:val="20"/>
        </w:rPr>
        <w:t>i.e</w:t>
      </w:r>
      <w:proofErr w:type="spellEnd"/>
      <w:r w:rsidRPr="000A28C8">
        <w:rPr>
          <w:rFonts w:eastAsia="Times New Roman"/>
          <w:sz w:val="20"/>
          <w:szCs w:val="20"/>
        </w:rPr>
        <w:t xml:space="preserve"> 230.65 ml .The above two values were tested statistically by unpaired t test to find out whether the difference is statistically significant or not. The </w:t>
      </w:r>
      <w:r w:rsidRPr="000A28C8">
        <w:rPr>
          <w:rFonts w:eastAsia="Times New Roman"/>
          <w:i/>
          <w:sz w:val="20"/>
          <w:szCs w:val="20"/>
        </w:rPr>
        <w:t>p</w:t>
      </w:r>
      <w:r w:rsidRPr="000A28C8">
        <w:rPr>
          <w:rFonts w:eastAsia="Times New Roman"/>
          <w:sz w:val="20"/>
          <w:szCs w:val="20"/>
        </w:rPr>
        <w:t xml:space="preserve"> value was 0.000317, which is statistically significant. </w:t>
      </w:r>
    </w:p>
    <w:p w:rsidR="00B5373D" w:rsidRPr="000A28C8" w:rsidRDefault="00B5373D" w:rsidP="004F4471">
      <w:pPr>
        <w:jc w:val="both"/>
        <w:rPr>
          <w:rFonts w:eastAsia="Times New Roman"/>
          <w:sz w:val="20"/>
          <w:szCs w:val="20"/>
        </w:rPr>
      </w:pPr>
    </w:p>
    <w:p w:rsidR="00CB5240" w:rsidRPr="000A28C8" w:rsidRDefault="00B5373D" w:rsidP="004F4471">
      <w:pPr>
        <w:jc w:val="both"/>
        <w:rPr>
          <w:rFonts w:eastAsia="Times New Roman"/>
          <w:sz w:val="20"/>
          <w:szCs w:val="20"/>
        </w:rPr>
      </w:pPr>
      <w:r w:rsidRPr="000A28C8">
        <w:rPr>
          <w:rFonts w:eastAsia="Times New Roman"/>
          <w:sz w:val="20"/>
          <w:szCs w:val="20"/>
        </w:rPr>
        <w:t xml:space="preserve">      </w:t>
      </w:r>
      <w:r w:rsidR="00702A38" w:rsidRPr="000A28C8">
        <w:rPr>
          <w:rFonts w:eastAsia="Times New Roman"/>
          <w:sz w:val="20"/>
          <w:szCs w:val="20"/>
        </w:rPr>
        <w:t>The mean duration of hospital stay in the PFLCP g</w:t>
      </w:r>
      <w:r w:rsidR="003C220D" w:rsidRPr="000A28C8">
        <w:rPr>
          <w:rFonts w:eastAsia="Times New Roman"/>
          <w:sz w:val="20"/>
          <w:szCs w:val="20"/>
        </w:rPr>
        <w:t xml:space="preserve">roup was found to be 8.19 days and </w:t>
      </w:r>
      <w:r w:rsidR="00702A38" w:rsidRPr="000A28C8">
        <w:rPr>
          <w:rFonts w:eastAsia="Times New Roman"/>
          <w:sz w:val="20"/>
          <w:szCs w:val="20"/>
        </w:rPr>
        <w:t>in the DHS group was found to be 7.73 days</w:t>
      </w:r>
      <w:r w:rsidRPr="000A28C8">
        <w:rPr>
          <w:rFonts w:eastAsia="Times New Roman"/>
          <w:sz w:val="20"/>
          <w:szCs w:val="20"/>
        </w:rPr>
        <w:t xml:space="preserve">. </w:t>
      </w:r>
      <w:r w:rsidR="00702A38" w:rsidRPr="000A28C8">
        <w:rPr>
          <w:rFonts w:eastAsia="Times New Roman"/>
          <w:sz w:val="20"/>
          <w:szCs w:val="20"/>
        </w:rPr>
        <w:t xml:space="preserve">Harris Hip Scoring system was used to evaluate the functional result in our study. Patients who had a normal range of motion, minimum limp, no pain and who rarely used a cane, were graded as having </w:t>
      </w:r>
      <w:r w:rsidR="003C220D" w:rsidRPr="000A28C8">
        <w:rPr>
          <w:rFonts w:eastAsia="Times New Roman"/>
          <w:sz w:val="20"/>
          <w:szCs w:val="20"/>
        </w:rPr>
        <w:t>excellent result (score 90-100)</w:t>
      </w:r>
      <w:r w:rsidR="00702A38" w:rsidRPr="000A28C8">
        <w:rPr>
          <w:rFonts w:eastAsia="Times New Roman"/>
          <w:sz w:val="20"/>
          <w:szCs w:val="20"/>
        </w:rPr>
        <w:t>. Patients who had a normal range of motion but a noticeable limp and occasional mild pain and who used a cane were graded as having good result (score 80-90). Patient who had a limited range of motion, a noticeable limp, moderate pain and who use two canes or walker were graded as having fair result (score 70-80). Patient who had pain on any motion and who were in a wheelchair or were non ambulatory were graded as having poor result (</w:t>
      </w:r>
      <w:proofErr w:type="gramStart"/>
      <w:r w:rsidR="00702A38" w:rsidRPr="000A28C8">
        <w:rPr>
          <w:rFonts w:eastAsia="Times New Roman"/>
          <w:sz w:val="20"/>
          <w:szCs w:val="20"/>
        </w:rPr>
        <w:t>score  &lt;</w:t>
      </w:r>
      <w:proofErr w:type="gramEnd"/>
      <w:r w:rsidR="00702A38" w:rsidRPr="000A28C8">
        <w:rPr>
          <w:rFonts w:eastAsia="Times New Roman"/>
          <w:sz w:val="20"/>
          <w:szCs w:val="20"/>
        </w:rPr>
        <w:t xml:space="preserve"> 70). We obtained excellent result in </w:t>
      </w:r>
      <w:r w:rsidR="00702A38" w:rsidRPr="000A28C8">
        <w:rPr>
          <w:rFonts w:eastAsia="Times New Roman"/>
          <w:sz w:val="20"/>
          <w:szCs w:val="20"/>
        </w:rPr>
        <w:lastRenderedPageBreak/>
        <w:t>59.61% of cases, good result in 26.93% of cases, fair in 9.61% of cases and poor result in 3.84% of cases in the total study group.</w:t>
      </w:r>
      <w:r w:rsidRPr="000A28C8">
        <w:rPr>
          <w:rFonts w:eastAsia="Times New Roman"/>
          <w:sz w:val="20"/>
          <w:szCs w:val="20"/>
        </w:rPr>
        <w:t xml:space="preserve"> </w:t>
      </w:r>
      <w:r w:rsidR="00702A38" w:rsidRPr="000A28C8">
        <w:rPr>
          <w:rFonts w:eastAsia="Times New Roman"/>
          <w:sz w:val="20"/>
          <w:szCs w:val="20"/>
        </w:rPr>
        <w:t xml:space="preserve">In the PFLCP group, excellent results were in 53.84% of cases, good results in 34.61, </w:t>
      </w:r>
      <w:proofErr w:type="gramStart"/>
      <w:r w:rsidR="00702A38" w:rsidRPr="000A28C8">
        <w:rPr>
          <w:rFonts w:eastAsia="Times New Roman"/>
          <w:sz w:val="20"/>
          <w:szCs w:val="20"/>
        </w:rPr>
        <w:t>fair</w:t>
      </w:r>
      <w:proofErr w:type="gramEnd"/>
      <w:r w:rsidR="00702A38" w:rsidRPr="000A28C8">
        <w:rPr>
          <w:rFonts w:eastAsia="Times New Roman"/>
          <w:sz w:val="20"/>
          <w:szCs w:val="20"/>
        </w:rPr>
        <w:t xml:space="preserve"> results in 7.69% and poor result in 3.84% cases each.</w:t>
      </w:r>
      <w:r w:rsidRPr="000A28C8">
        <w:rPr>
          <w:rFonts w:eastAsia="Times New Roman"/>
          <w:sz w:val="20"/>
          <w:szCs w:val="20"/>
        </w:rPr>
        <w:t xml:space="preserve"> </w:t>
      </w:r>
      <w:r w:rsidR="00702A38" w:rsidRPr="000A28C8">
        <w:rPr>
          <w:rFonts w:eastAsia="Times New Roman"/>
          <w:sz w:val="20"/>
          <w:szCs w:val="20"/>
        </w:rPr>
        <w:t>In the DHS group, excellent results were in 65.38% of cases, good result in 19.28% of cases, fair result in 11.53% and poor result in 3.84%% cases each.</w:t>
      </w:r>
      <w:r w:rsidR="00CB5240" w:rsidRPr="000A28C8">
        <w:rPr>
          <w:rFonts w:eastAsia="Times New Roman"/>
          <w:sz w:val="20"/>
          <w:szCs w:val="20"/>
        </w:rPr>
        <w:t xml:space="preserve">  No mortality was recorded in our series. No general complication from surgery like </w:t>
      </w:r>
      <w:proofErr w:type="spellStart"/>
      <w:r w:rsidR="00CB5240" w:rsidRPr="000A28C8">
        <w:rPr>
          <w:rFonts w:eastAsia="Times New Roman"/>
          <w:sz w:val="20"/>
          <w:szCs w:val="20"/>
        </w:rPr>
        <w:t>septicaemia</w:t>
      </w:r>
      <w:proofErr w:type="spellEnd"/>
      <w:r w:rsidR="00CB5240" w:rsidRPr="000A28C8">
        <w:rPr>
          <w:rFonts w:eastAsia="Times New Roman"/>
          <w:sz w:val="20"/>
          <w:szCs w:val="20"/>
        </w:rPr>
        <w:t xml:space="preserve">, deep </w:t>
      </w:r>
      <w:proofErr w:type="spellStart"/>
      <w:r w:rsidR="00CB5240" w:rsidRPr="000A28C8">
        <w:rPr>
          <w:rFonts w:eastAsia="Times New Roman"/>
          <w:sz w:val="20"/>
          <w:szCs w:val="20"/>
        </w:rPr>
        <w:t>vain</w:t>
      </w:r>
      <w:proofErr w:type="spellEnd"/>
      <w:r w:rsidR="00CB5240" w:rsidRPr="000A28C8">
        <w:rPr>
          <w:rFonts w:eastAsia="Times New Roman"/>
          <w:sz w:val="20"/>
          <w:szCs w:val="20"/>
        </w:rPr>
        <w:t xml:space="preserve"> thrombosis, pulmonary emboli, CVA etc. was encountered. Unspecific hip pain was noticed in 2 cases of PFLCP and 1 case of DHS. Superficial wound infection was seen in 2 cases of PFLCP and 1 case in DHS </w:t>
      </w:r>
      <w:proofErr w:type="spellStart"/>
      <w:r w:rsidR="00CB5240" w:rsidRPr="000A28C8">
        <w:rPr>
          <w:rFonts w:eastAsia="Times New Roman"/>
          <w:sz w:val="20"/>
          <w:szCs w:val="20"/>
        </w:rPr>
        <w:t>group.</w:t>
      </w:r>
      <w:r w:rsidR="00DC18E4" w:rsidRPr="000A28C8">
        <w:rPr>
          <w:rFonts w:eastAsia="Times New Roman"/>
          <w:sz w:val="20"/>
          <w:szCs w:val="20"/>
        </w:rPr>
        <w:t>The</w:t>
      </w:r>
      <w:proofErr w:type="spellEnd"/>
      <w:r w:rsidR="00DC18E4" w:rsidRPr="000A28C8">
        <w:rPr>
          <w:rFonts w:eastAsia="Times New Roman"/>
          <w:sz w:val="20"/>
          <w:szCs w:val="20"/>
        </w:rPr>
        <w:t xml:space="preserve"> difference in the functional result between the two groups was not statistically significant. </w:t>
      </w:r>
    </w:p>
    <w:p w:rsidR="00CB5240" w:rsidRPr="000A28C8" w:rsidRDefault="00CB5240" w:rsidP="004F4471">
      <w:pPr>
        <w:jc w:val="both"/>
        <w:rPr>
          <w:rFonts w:eastAsia="Times New Roman"/>
          <w:sz w:val="20"/>
          <w:szCs w:val="20"/>
        </w:rPr>
      </w:pPr>
    </w:p>
    <w:p w:rsidR="00CB5240" w:rsidRPr="000A28C8" w:rsidRDefault="00702A38" w:rsidP="004F4471">
      <w:pPr>
        <w:jc w:val="both"/>
        <w:rPr>
          <w:sz w:val="20"/>
          <w:szCs w:val="20"/>
        </w:rPr>
      </w:pPr>
      <w:r w:rsidRPr="000A28C8">
        <w:rPr>
          <w:rFonts w:eastAsia="Times New Roman"/>
          <w:sz w:val="20"/>
          <w:szCs w:val="20"/>
        </w:rPr>
        <w:t xml:space="preserve">The criteria of Anderson et al (1975) were taken into account to assess the union of the fracture.  A fracture was defined as healed when there was obliteration of fracture line and evidence of bridging </w:t>
      </w:r>
      <w:proofErr w:type="spellStart"/>
      <w:r w:rsidRPr="000A28C8">
        <w:rPr>
          <w:rFonts w:eastAsia="Times New Roman"/>
          <w:sz w:val="20"/>
          <w:szCs w:val="20"/>
        </w:rPr>
        <w:t>trabeculae</w:t>
      </w:r>
      <w:proofErr w:type="spellEnd"/>
      <w:r w:rsidRPr="000A28C8">
        <w:rPr>
          <w:rFonts w:eastAsia="Times New Roman"/>
          <w:sz w:val="20"/>
          <w:szCs w:val="20"/>
        </w:rPr>
        <w:t xml:space="preserve">. The union rate was 100% </w:t>
      </w:r>
      <w:proofErr w:type="gramStart"/>
      <w:r w:rsidRPr="000A28C8">
        <w:rPr>
          <w:rFonts w:eastAsia="Times New Roman"/>
          <w:sz w:val="20"/>
          <w:szCs w:val="20"/>
        </w:rPr>
        <w:t>in  the</w:t>
      </w:r>
      <w:proofErr w:type="gramEnd"/>
      <w:r w:rsidRPr="000A28C8">
        <w:rPr>
          <w:rFonts w:eastAsia="Times New Roman"/>
          <w:sz w:val="20"/>
          <w:szCs w:val="20"/>
        </w:rPr>
        <w:t xml:space="preserve"> PFLCP group, with no delayed or non unions in the study , and there was 1 case of non union in DHS group.</w:t>
      </w:r>
      <w:r w:rsidR="00B5373D" w:rsidRPr="000A28C8">
        <w:rPr>
          <w:rFonts w:eastAsia="Times New Roman"/>
          <w:sz w:val="20"/>
          <w:szCs w:val="20"/>
        </w:rPr>
        <w:t xml:space="preserve"> </w:t>
      </w:r>
      <w:r w:rsidRPr="000A28C8">
        <w:rPr>
          <w:rFonts w:eastAsia="Times New Roman"/>
          <w:sz w:val="20"/>
          <w:szCs w:val="20"/>
        </w:rPr>
        <w:t>The time taken for union in the PFLCP group ranged from 15 to 22 weeks with a mean of 18.03 weeks. The time taken in the DHS group for radiological union ranged from 15 to 22 weeks, with a mean of 17.56 weeks</w:t>
      </w:r>
      <w:r w:rsidR="00CB5240" w:rsidRPr="000A28C8">
        <w:rPr>
          <w:rFonts w:eastAsia="Times New Roman"/>
          <w:sz w:val="20"/>
          <w:szCs w:val="20"/>
        </w:rPr>
        <w:t xml:space="preserve">. There was 1 case of Implant </w:t>
      </w:r>
      <w:proofErr w:type="gramStart"/>
      <w:r w:rsidR="00CB5240" w:rsidRPr="000A28C8">
        <w:rPr>
          <w:rFonts w:eastAsia="Times New Roman"/>
          <w:sz w:val="20"/>
          <w:szCs w:val="20"/>
        </w:rPr>
        <w:t>cutout ,</w:t>
      </w:r>
      <w:proofErr w:type="gramEnd"/>
      <w:r w:rsidR="00CB5240" w:rsidRPr="000A28C8">
        <w:rPr>
          <w:rFonts w:eastAsia="Times New Roman"/>
          <w:sz w:val="20"/>
          <w:szCs w:val="20"/>
        </w:rPr>
        <w:t xml:space="preserve"> </w:t>
      </w:r>
      <w:proofErr w:type="spellStart"/>
      <w:r w:rsidR="00CB5240" w:rsidRPr="000A28C8">
        <w:rPr>
          <w:rFonts w:eastAsia="Times New Roman"/>
          <w:sz w:val="20"/>
          <w:szCs w:val="20"/>
        </w:rPr>
        <w:t>Medialization</w:t>
      </w:r>
      <w:proofErr w:type="spellEnd"/>
      <w:r w:rsidR="00CB5240" w:rsidRPr="000A28C8">
        <w:rPr>
          <w:rFonts w:eastAsia="Times New Roman"/>
          <w:sz w:val="20"/>
          <w:szCs w:val="20"/>
        </w:rPr>
        <w:t xml:space="preserve"> and Non union  each , in DHS group</w:t>
      </w:r>
      <w:r w:rsidR="00CB5240" w:rsidRPr="000A28C8">
        <w:rPr>
          <w:sz w:val="20"/>
          <w:szCs w:val="20"/>
        </w:rPr>
        <w:t xml:space="preserve">. </w:t>
      </w:r>
      <w:proofErr w:type="spellStart"/>
      <w:r w:rsidR="00CB5240" w:rsidRPr="000A28C8">
        <w:rPr>
          <w:rFonts w:eastAsia="Times New Roman"/>
          <w:sz w:val="20"/>
          <w:szCs w:val="20"/>
        </w:rPr>
        <w:t>Varus</w:t>
      </w:r>
      <w:proofErr w:type="spellEnd"/>
      <w:r w:rsidR="00CB5240" w:rsidRPr="000A28C8">
        <w:rPr>
          <w:rFonts w:eastAsia="Times New Roman"/>
          <w:sz w:val="20"/>
          <w:szCs w:val="20"/>
        </w:rPr>
        <w:t xml:space="preserve"> deformity was seen in 2 cases of PFLCP and 1 in DHS group. </w:t>
      </w:r>
    </w:p>
    <w:p w:rsidR="003C220D" w:rsidRDefault="003C220D" w:rsidP="004F4471">
      <w:pPr>
        <w:pStyle w:val="PlainText"/>
        <w:spacing w:after="40"/>
        <w:jc w:val="both"/>
        <w:rPr>
          <w:rFonts w:ascii="Times New Roman" w:eastAsia="Times New Roman" w:hAnsi="Times New Roman"/>
          <w:sz w:val="24"/>
          <w:szCs w:val="24"/>
        </w:rPr>
      </w:pPr>
    </w:p>
    <w:p w:rsidR="00E54497" w:rsidRPr="000A28C8" w:rsidRDefault="00E54497" w:rsidP="004F4471">
      <w:pPr>
        <w:pStyle w:val="PlainText"/>
        <w:spacing w:after="40"/>
        <w:jc w:val="both"/>
        <w:rPr>
          <w:rFonts w:ascii="Times New Roman" w:hAnsi="Times New Roman"/>
          <w:b/>
          <w:sz w:val="22"/>
          <w:szCs w:val="22"/>
        </w:rPr>
      </w:pPr>
      <w:r w:rsidRPr="000A28C8">
        <w:rPr>
          <w:rFonts w:ascii="Times New Roman" w:hAnsi="Times New Roman"/>
          <w:b/>
          <w:sz w:val="22"/>
          <w:szCs w:val="22"/>
        </w:rPr>
        <w:t>DISCUSSION</w:t>
      </w:r>
    </w:p>
    <w:p w:rsidR="00CB5240" w:rsidRPr="002C5CC4" w:rsidRDefault="00CB5240" w:rsidP="004F4471">
      <w:pPr>
        <w:pStyle w:val="PlainText"/>
        <w:spacing w:after="40"/>
        <w:jc w:val="both"/>
        <w:rPr>
          <w:rFonts w:ascii="Times New Roman" w:hAnsi="Times New Roman"/>
          <w:b/>
          <w:sz w:val="24"/>
          <w:szCs w:val="24"/>
        </w:rPr>
      </w:pPr>
    </w:p>
    <w:p w:rsidR="0049278B" w:rsidRPr="000A28C8" w:rsidRDefault="00CB5240" w:rsidP="004F4471">
      <w:pPr>
        <w:jc w:val="both"/>
        <w:rPr>
          <w:sz w:val="20"/>
          <w:szCs w:val="20"/>
        </w:rPr>
      </w:pPr>
      <w:r w:rsidRPr="000A28C8">
        <w:rPr>
          <w:sz w:val="20"/>
          <w:szCs w:val="20"/>
        </w:rPr>
        <w:t xml:space="preserve">Agreement has been achieved on the significance of restoring stability and early </w:t>
      </w:r>
      <w:proofErr w:type="spellStart"/>
      <w:r w:rsidRPr="000A28C8">
        <w:rPr>
          <w:sz w:val="20"/>
          <w:szCs w:val="20"/>
        </w:rPr>
        <w:t>mobilisation</w:t>
      </w:r>
      <w:proofErr w:type="spellEnd"/>
      <w:r w:rsidRPr="000A28C8">
        <w:rPr>
          <w:sz w:val="20"/>
          <w:szCs w:val="20"/>
        </w:rPr>
        <w:t xml:space="preserve"> during the treatment of </w:t>
      </w:r>
      <w:proofErr w:type="spellStart"/>
      <w:r w:rsidRPr="000A28C8">
        <w:rPr>
          <w:sz w:val="20"/>
          <w:szCs w:val="20"/>
        </w:rPr>
        <w:t>pertrochanteric</w:t>
      </w:r>
      <w:proofErr w:type="spellEnd"/>
      <w:r w:rsidRPr="000A28C8">
        <w:rPr>
          <w:sz w:val="20"/>
          <w:szCs w:val="20"/>
        </w:rPr>
        <w:t xml:space="preserve"> fractures. The successful restoration of stability and early </w:t>
      </w:r>
      <w:proofErr w:type="spellStart"/>
      <w:r w:rsidRPr="000A28C8">
        <w:rPr>
          <w:sz w:val="20"/>
          <w:szCs w:val="20"/>
        </w:rPr>
        <w:t>mobilisation</w:t>
      </w:r>
      <w:proofErr w:type="spellEnd"/>
      <w:r w:rsidRPr="000A28C8">
        <w:rPr>
          <w:sz w:val="20"/>
          <w:szCs w:val="20"/>
        </w:rPr>
        <w:t xml:space="preserve"> reduce the morbidity/mortality rates associated with prolonged </w:t>
      </w:r>
      <w:proofErr w:type="spellStart"/>
      <w:r w:rsidRPr="000A28C8">
        <w:rPr>
          <w:sz w:val="20"/>
          <w:szCs w:val="20"/>
        </w:rPr>
        <w:t>immobilisation</w:t>
      </w:r>
      <w:proofErr w:type="spellEnd"/>
      <w:r w:rsidRPr="000A28C8">
        <w:rPr>
          <w:sz w:val="20"/>
          <w:szCs w:val="20"/>
        </w:rPr>
        <w:t xml:space="preserve">. Moreover, they can improve functional recovery by avoiding </w:t>
      </w:r>
      <w:proofErr w:type="spellStart"/>
      <w:r w:rsidRPr="000A28C8">
        <w:rPr>
          <w:sz w:val="20"/>
          <w:szCs w:val="20"/>
        </w:rPr>
        <w:t>malunion</w:t>
      </w:r>
      <w:proofErr w:type="spellEnd"/>
      <w:r w:rsidRPr="000A28C8">
        <w:rPr>
          <w:sz w:val="20"/>
          <w:szCs w:val="20"/>
        </w:rPr>
        <w:t xml:space="preserve"> and encouraging mobility. The best treatment module to achieve this outcome for these fractures remains controversial. Although DHS is one of the standard treatments, high failure rates of sliding hip screws in unstable fractures have been reported. The PFLCP has been introduced as a new implant that allows angular – stable plating for the treatment of complex comminuted and osteoporotic fractures</w:t>
      </w:r>
      <w:r w:rsidR="006840E1" w:rsidRPr="000A28C8">
        <w:rPr>
          <w:sz w:val="20"/>
          <w:szCs w:val="20"/>
        </w:rPr>
        <w:t>.</w:t>
      </w:r>
    </w:p>
    <w:p w:rsidR="0037780F" w:rsidRPr="000A28C8" w:rsidRDefault="00CB5240" w:rsidP="004F4471">
      <w:pPr>
        <w:autoSpaceDE w:val="0"/>
        <w:autoSpaceDN w:val="0"/>
        <w:adjustRightInd w:val="0"/>
        <w:jc w:val="both"/>
        <w:rPr>
          <w:sz w:val="20"/>
          <w:szCs w:val="20"/>
        </w:rPr>
      </w:pPr>
      <w:r w:rsidRPr="000A28C8">
        <w:rPr>
          <w:sz w:val="20"/>
          <w:szCs w:val="20"/>
        </w:rPr>
        <w:t xml:space="preserve"> </w:t>
      </w:r>
      <w:r w:rsidR="0037780F" w:rsidRPr="000A28C8">
        <w:rPr>
          <w:sz w:val="20"/>
          <w:szCs w:val="20"/>
        </w:rPr>
        <w:t xml:space="preserve">In our study, the </w:t>
      </w:r>
      <w:r w:rsidR="006840E1" w:rsidRPr="000A28C8">
        <w:rPr>
          <w:sz w:val="20"/>
          <w:szCs w:val="20"/>
        </w:rPr>
        <w:t xml:space="preserve">mean </w:t>
      </w:r>
      <w:r w:rsidR="0037780F" w:rsidRPr="000A28C8">
        <w:rPr>
          <w:sz w:val="20"/>
          <w:szCs w:val="20"/>
        </w:rPr>
        <w:t xml:space="preserve">operative time in the PFLCP group </w:t>
      </w:r>
      <w:r w:rsidR="006840E1" w:rsidRPr="000A28C8">
        <w:rPr>
          <w:sz w:val="20"/>
          <w:szCs w:val="20"/>
        </w:rPr>
        <w:t>(93.07 min.)</w:t>
      </w:r>
      <w:proofErr w:type="gramStart"/>
      <w:r w:rsidR="006840E1" w:rsidRPr="000A28C8">
        <w:rPr>
          <w:sz w:val="20"/>
          <w:szCs w:val="20"/>
        </w:rPr>
        <w:t>and</w:t>
      </w:r>
      <w:proofErr w:type="gramEnd"/>
      <w:r w:rsidR="006840E1" w:rsidRPr="000A28C8">
        <w:rPr>
          <w:sz w:val="20"/>
          <w:szCs w:val="20"/>
        </w:rPr>
        <w:t xml:space="preserve"> </w:t>
      </w:r>
      <w:r w:rsidR="0037780F" w:rsidRPr="000A28C8">
        <w:rPr>
          <w:sz w:val="20"/>
          <w:szCs w:val="20"/>
        </w:rPr>
        <w:t xml:space="preserve">In the DHS group was 57.69 </w:t>
      </w:r>
      <w:r w:rsidR="006840E1" w:rsidRPr="000A28C8">
        <w:rPr>
          <w:sz w:val="20"/>
          <w:szCs w:val="20"/>
        </w:rPr>
        <w:t>min</w:t>
      </w:r>
      <w:r w:rsidR="0037780F" w:rsidRPr="000A28C8">
        <w:rPr>
          <w:sz w:val="20"/>
          <w:szCs w:val="20"/>
        </w:rPr>
        <w:t>.</w:t>
      </w:r>
      <w:r w:rsidR="002D3659" w:rsidRPr="000A28C8">
        <w:rPr>
          <w:sz w:val="20"/>
          <w:szCs w:val="20"/>
        </w:rPr>
        <w:t xml:space="preserve"> The above two values were tested statistically and the difference was found to be statistically significant (</w:t>
      </w:r>
      <w:r w:rsidR="002D3659" w:rsidRPr="000A28C8">
        <w:rPr>
          <w:i/>
          <w:sz w:val="20"/>
          <w:szCs w:val="20"/>
        </w:rPr>
        <w:t>p</w:t>
      </w:r>
      <w:r w:rsidR="002D3659" w:rsidRPr="000A28C8">
        <w:rPr>
          <w:sz w:val="20"/>
          <w:szCs w:val="20"/>
        </w:rPr>
        <w:t>-</w:t>
      </w:r>
      <w:r w:rsidR="002D3659" w:rsidRPr="000A28C8">
        <w:rPr>
          <w:i/>
          <w:sz w:val="20"/>
          <w:szCs w:val="20"/>
        </w:rPr>
        <w:t>value</w:t>
      </w:r>
      <w:r w:rsidR="002D3659" w:rsidRPr="000A28C8">
        <w:rPr>
          <w:sz w:val="20"/>
          <w:szCs w:val="20"/>
        </w:rPr>
        <w:t xml:space="preserve"> was 0.00427)</w:t>
      </w:r>
      <w:r w:rsidR="0037780F" w:rsidRPr="000A28C8">
        <w:rPr>
          <w:sz w:val="20"/>
          <w:szCs w:val="20"/>
        </w:rPr>
        <w:t xml:space="preserve"> </w:t>
      </w:r>
      <w:r w:rsidR="00E025E5" w:rsidRPr="000A28C8">
        <w:rPr>
          <w:sz w:val="20"/>
          <w:szCs w:val="20"/>
        </w:rPr>
        <w:t>Various</w:t>
      </w:r>
      <w:r w:rsidR="0037780F" w:rsidRPr="000A28C8">
        <w:rPr>
          <w:sz w:val="20"/>
          <w:szCs w:val="20"/>
        </w:rPr>
        <w:t xml:space="preserve"> studies in the literature have reported the operative time of different procedures in proximal femoral fractures</w:t>
      </w:r>
      <w:proofErr w:type="gramStart"/>
      <w:r w:rsidR="0037780F" w:rsidRPr="000A28C8">
        <w:rPr>
          <w:sz w:val="20"/>
          <w:szCs w:val="20"/>
        </w:rPr>
        <w:t>.</w:t>
      </w:r>
      <w:r w:rsidR="006840E1" w:rsidRPr="000A28C8">
        <w:rPr>
          <w:sz w:val="20"/>
          <w:szCs w:val="20"/>
        </w:rPr>
        <w:t>(</w:t>
      </w:r>
      <w:proofErr w:type="gramEnd"/>
      <w:r w:rsidR="006840E1" w:rsidRPr="000A28C8">
        <w:rPr>
          <w:sz w:val="20"/>
          <w:szCs w:val="20"/>
        </w:rPr>
        <w:t>Table 1)</w:t>
      </w:r>
      <w:r w:rsidR="0037780F" w:rsidRPr="000A28C8">
        <w:rPr>
          <w:sz w:val="20"/>
          <w:szCs w:val="20"/>
        </w:rPr>
        <w:t xml:space="preserve"> </w:t>
      </w:r>
    </w:p>
    <w:tbl>
      <w:tblPr>
        <w:tblpPr w:leftFromText="180" w:rightFromText="180"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7"/>
        <w:gridCol w:w="1071"/>
        <w:gridCol w:w="2700"/>
        <w:gridCol w:w="2952"/>
      </w:tblGrid>
      <w:tr w:rsidR="0037780F" w:rsidRPr="002C5CC4" w:rsidTr="001220E2">
        <w:tc>
          <w:tcPr>
            <w:tcW w:w="2277" w:type="dxa"/>
          </w:tcPr>
          <w:p w:rsidR="0037780F" w:rsidRPr="002C5CC4" w:rsidRDefault="0037780F" w:rsidP="004F4471">
            <w:pPr>
              <w:autoSpaceDE w:val="0"/>
              <w:autoSpaceDN w:val="0"/>
              <w:adjustRightInd w:val="0"/>
              <w:jc w:val="both"/>
              <w:rPr>
                <w:b/>
                <w:bCs/>
                <w:szCs w:val="24"/>
              </w:rPr>
            </w:pPr>
            <w:r w:rsidRPr="002C5CC4">
              <w:rPr>
                <w:b/>
                <w:bCs/>
                <w:szCs w:val="24"/>
              </w:rPr>
              <w:t>AUTHORS</w:t>
            </w:r>
          </w:p>
        </w:tc>
        <w:tc>
          <w:tcPr>
            <w:tcW w:w="1071" w:type="dxa"/>
          </w:tcPr>
          <w:p w:rsidR="0037780F" w:rsidRPr="002C5CC4" w:rsidRDefault="0037780F" w:rsidP="004F4471">
            <w:pPr>
              <w:autoSpaceDE w:val="0"/>
              <w:autoSpaceDN w:val="0"/>
              <w:adjustRightInd w:val="0"/>
              <w:jc w:val="both"/>
              <w:rPr>
                <w:b/>
                <w:bCs/>
                <w:szCs w:val="24"/>
              </w:rPr>
            </w:pPr>
            <w:r w:rsidRPr="002C5CC4">
              <w:rPr>
                <w:b/>
                <w:bCs/>
                <w:szCs w:val="24"/>
              </w:rPr>
              <w:t>YEAR</w:t>
            </w:r>
          </w:p>
        </w:tc>
        <w:tc>
          <w:tcPr>
            <w:tcW w:w="2700" w:type="dxa"/>
          </w:tcPr>
          <w:p w:rsidR="0037780F" w:rsidRPr="002C5CC4" w:rsidRDefault="0037780F" w:rsidP="004F4471">
            <w:pPr>
              <w:autoSpaceDE w:val="0"/>
              <w:autoSpaceDN w:val="0"/>
              <w:adjustRightInd w:val="0"/>
              <w:jc w:val="both"/>
              <w:rPr>
                <w:b/>
                <w:bCs/>
                <w:szCs w:val="24"/>
              </w:rPr>
            </w:pPr>
            <w:r w:rsidRPr="002C5CC4">
              <w:rPr>
                <w:b/>
                <w:bCs/>
                <w:szCs w:val="24"/>
              </w:rPr>
              <w:t>OPERATION</w:t>
            </w:r>
          </w:p>
        </w:tc>
        <w:tc>
          <w:tcPr>
            <w:tcW w:w="2952" w:type="dxa"/>
          </w:tcPr>
          <w:p w:rsidR="0037780F" w:rsidRPr="002C5CC4" w:rsidRDefault="0037780F" w:rsidP="004F4471">
            <w:pPr>
              <w:autoSpaceDE w:val="0"/>
              <w:autoSpaceDN w:val="0"/>
              <w:adjustRightInd w:val="0"/>
              <w:jc w:val="both"/>
              <w:rPr>
                <w:b/>
                <w:bCs/>
                <w:szCs w:val="24"/>
              </w:rPr>
            </w:pPr>
            <w:r w:rsidRPr="002C5CC4">
              <w:rPr>
                <w:b/>
                <w:bCs/>
                <w:szCs w:val="24"/>
              </w:rPr>
              <w:t>MEAN TIME (min.)</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Bridle</w:t>
            </w:r>
            <w:r w:rsidR="0091651A" w:rsidRPr="000A28C8">
              <w:rPr>
                <w:sz w:val="20"/>
                <w:szCs w:val="20"/>
                <w:vertAlign w:val="superscript"/>
              </w:rPr>
              <w:t>3</w:t>
            </w:r>
            <w:r w:rsidRPr="000A28C8">
              <w:rPr>
                <w:sz w:val="20"/>
                <w:szCs w:val="20"/>
              </w:rPr>
              <w:t xml:space="preserve"> et al.</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1991</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42.5</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proofErr w:type="spellStart"/>
            <w:r w:rsidRPr="000A28C8">
              <w:rPr>
                <w:sz w:val="20"/>
                <w:szCs w:val="20"/>
              </w:rPr>
              <w:t>Goldhagen</w:t>
            </w:r>
            <w:proofErr w:type="spellEnd"/>
            <w:r w:rsidRPr="000A28C8">
              <w:rPr>
                <w:sz w:val="20"/>
                <w:szCs w:val="20"/>
              </w:rPr>
              <w:t xml:space="preserve"> et al.</w:t>
            </w:r>
            <w:r w:rsidR="0091651A" w:rsidRPr="000A28C8">
              <w:rPr>
                <w:sz w:val="20"/>
                <w:szCs w:val="20"/>
                <w:vertAlign w:val="superscript"/>
              </w:rPr>
              <w:t>4</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1994</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47</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O’Brien et al</w:t>
            </w:r>
            <w:r w:rsidRPr="000A28C8">
              <w:rPr>
                <w:sz w:val="20"/>
                <w:szCs w:val="20"/>
                <w:vertAlign w:val="superscript"/>
              </w:rPr>
              <w:t>.</w:t>
            </w:r>
            <w:r w:rsidR="00765A9E" w:rsidRPr="000A28C8">
              <w:rPr>
                <w:sz w:val="20"/>
                <w:szCs w:val="20"/>
                <w:vertAlign w:val="superscript"/>
              </w:rPr>
              <w:t>5</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1995</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47</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proofErr w:type="spellStart"/>
            <w:r w:rsidRPr="000A28C8">
              <w:rPr>
                <w:sz w:val="20"/>
                <w:szCs w:val="20"/>
              </w:rPr>
              <w:t>Habernek</w:t>
            </w:r>
            <w:proofErr w:type="spellEnd"/>
            <w:r w:rsidRPr="000A28C8">
              <w:rPr>
                <w:sz w:val="20"/>
                <w:szCs w:val="20"/>
              </w:rPr>
              <w:t xml:space="preserve"> et al.</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2000</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27</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Little et al.</w:t>
            </w:r>
            <w:r w:rsidR="00765A9E" w:rsidRPr="000A28C8">
              <w:rPr>
                <w:sz w:val="20"/>
                <w:szCs w:val="20"/>
                <w:vertAlign w:val="superscript"/>
              </w:rPr>
              <w:t>6</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2008</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40.4</w:t>
            </w:r>
          </w:p>
        </w:tc>
      </w:tr>
      <w:tr w:rsidR="0037780F" w:rsidRPr="002C5CC4" w:rsidTr="001220E2">
        <w:trPr>
          <w:cantSplit/>
        </w:trPr>
        <w:tc>
          <w:tcPr>
            <w:tcW w:w="2277" w:type="dxa"/>
            <w:vAlign w:val="center"/>
          </w:tcPr>
          <w:p w:rsidR="0037780F" w:rsidRPr="000A28C8" w:rsidRDefault="0037780F" w:rsidP="004F4471">
            <w:pPr>
              <w:autoSpaceDE w:val="0"/>
              <w:autoSpaceDN w:val="0"/>
              <w:adjustRightInd w:val="0"/>
              <w:jc w:val="both"/>
              <w:rPr>
                <w:sz w:val="20"/>
                <w:szCs w:val="20"/>
              </w:rPr>
            </w:pPr>
            <w:proofErr w:type="spellStart"/>
            <w:r w:rsidRPr="000A28C8">
              <w:rPr>
                <w:sz w:val="20"/>
                <w:szCs w:val="20"/>
              </w:rPr>
              <w:t>Guo</w:t>
            </w:r>
            <w:proofErr w:type="spellEnd"/>
            <w:r w:rsidRPr="000A28C8">
              <w:rPr>
                <w:sz w:val="20"/>
                <w:szCs w:val="20"/>
              </w:rPr>
              <w:t>-Chun Zha</w:t>
            </w:r>
            <w:r w:rsidR="00765A9E" w:rsidRPr="000A28C8">
              <w:rPr>
                <w:sz w:val="20"/>
                <w:szCs w:val="20"/>
                <w:vertAlign w:val="superscript"/>
              </w:rPr>
              <w:t>7</w:t>
            </w:r>
          </w:p>
        </w:tc>
        <w:tc>
          <w:tcPr>
            <w:tcW w:w="1071"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2011</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PFLCP</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35.5</w:t>
            </w:r>
          </w:p>
        </w:tc>
      </w:tr>
      <w:tr w:rsidR="0037780F" w:rsidRPr="002C5CC4" w:rsidTr="001220E2">
        <w:trPr>
          <w:cantSplit/>
        </w:trPr>
        <w:tc>
          <w:tcPr>
            <w:tcW w:w="2277" w:type="dxa"/>
            <w:vMerge w:val="restart"/>
            <w:vAlign w:val="center"/>
          </w:tcPr>
          <w:p w:rsidR="0037780F" w:rsidRPr="000A28C8" w:rsidRDefault="0037780F" w:rsidP="004F4471">
            <w:pPr>
              <w:autoSpaceDE w:val="0"/>
              <w:autoSpaceDN w:val="0"/>
              <w:adjustRightInd w:val="0"/>
              <w:jc w:val="both"/>
              <w:rPr>
                <w:sz w:val="20"/>
                <w:szCs w:val="20"/>
              </w:rPr>
            </w:pPr>
            <w:r w:rsidRPr="000A28C8">
              <w:rPr>
                <w:sz w:val="20"/>
                <w:szCs w:val="20"/>
              </w:rPr>
              <w:t>Present study</w:t>
            </w:r>
          </w:p>
        </w:tc>
        <w:tc>
          <w:tcPr>
            <w:tcW w:w="1071" w:type="dxa"/>
            <w:vMerge w:val="restart"/>
            <w:vAlign w:val="center"/>
          </w:tcPr>
          <w:p w:rsidR="0037780F" w:rsidRPr="000A28C8" w:rsidRDefault="0037780F" w:rsidP="004F4471">
            <w:pPr>
              <w:autoSpaceDE w:val="0"/>
              <w:autoSpaceDN w:val="0"/>
              <w:adjustRightInd w:val="0"/>
              <w:jc w:val="both"/>
              <w:rPr>
                <w:sz w:val="20"/>
                <w:szCs w:val="20"/>
              </w:rPr>
            </w:pPr>
            <w:r w:rsidRPr="000A28C8">
              <w:rPr>
                <w:sz w:val="20"/>
                <w:szCs w:val="20"/>
              </w:rPr>
              <w:t>201</w:t>
            </w:r>
            <w:r w:rsidR="00F26198" w:rsidRPr="000A28C8">
              <w:rPr>
                <w:sz w:val="20"/>
                <w:szCs w:val="20"/>
              </w:rPr>
              <w:t>3</w:t>
            </w: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PFLCP</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93.07</w:t>
            </w:r>
          </w:p>
        </w:tc>
      </w:tr>
      <w:tr w:rsidR="0037780F" w:rsidRPr="002C5CC4" w:rsidTr="001220E2">
        <w:trPr>
          <w:cantSplit/>
        </w:trPr>
        <w:tc>
          <w:tcPr>
            <w:tcW w:w="2277" w:type="dxa"/>
            <w:vMerge/>
          </w:tcPr>
          <w:p w:rsidR="0037780F" w:rsidRPr="000A28C8" w:rsidRDefault="0037780F" w:rsidP="004F4471">
            <w:pPr>
              <w:autoSpaceDE w:val="0"/>
              <w:autoSpaceDN w:val="0"/>
              <w:adjustRightInd w:val="0"/>
              <w:jc w:val="both"/>
              <w:rPr>
                <w:sz w:val="20"/>
                <w:szCs w:val="20"/>
              </w:rPr>
            </w:pPr>
          </w:p>
        </w:tc>
        <w:tc>
          <w:tcPr>
            <w:tcW w:w="1071" w:type="dxa"/>
            <w:vMerge/>
            <w:vAlign w:val="center"/>
          </w:tcPr>
          <w:p w:rsidR="0037780F" w:rsidRPr="000A28C8" w:rsidRDefault="0037780F" w:rsidP="004F4471">
            <w:pPr>
              <w:autoSpaceDE w:val="0"/>
              <w:autoSpaceDN w:val="0"/>
              <w:adjustRightInd w:val="0"/>
              <w:jc w:val="both"/>
              <w:rPr>
                <w:sz w:val="20"/>
                <w:szCs w:val="20"/>
              </w:rPr>
            </w:pPr>
          </w:p>
        </w:tc>
        <w:tc>
          <w:tcPr>
            <w:tcW w:w="2700"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DHS</w:t>
            </w:r>
          </w:p>
        </w:tc>
        <w:tc>
          <w:tcPr>
            <w:tcW w:w="2952" w:type="dxa"/>
            <w:vAlign w:val="center"/>
          </w:tcPr>
          <w:p w:rsidR="0037780F" w:rsidRPr="000A28C8" w:rsidRDefault="0037780F" w:rsidP="004F4471">
            <w:pPr>
              <w:autoSpaceDE w:val="0"/>
              <w:autoSpaceDN w:val="0"/>
              <w:adjustRightInd w:val="0"/>
              <w:jc w:val="both"/>
              <w:rPr>
                <w:sz w:val="20"/>
                <w:szCs w:val="20"/>
              </w:rPr>
            </w:pPr>
            <w:r w:rsidRPr="000A28C8">
              <w:rPr>
                <w:sz w:val="20"/>
                <w:szCs w:val="20"/>
              </w:rPr>
              <w:t>57.69</w:t>
            </w:r>
          </w:p>
        </w:tc>
      </w:tr>
    </w:tbl>
    <w:p w:rsidR="0037780F" w:rsidRPr="002C5CC4" w:rsidRDefault="006840E1" w:rsidP="006840E1">
      <w:pPr>
        <w:autoSpaceDE w:val="0"/>
        <w:autoSpaceDN w:val="0"/>
        <w:adjustRightInd w:val="0"/>
        <w:jc w:val="center"/>
        <w:rPr>
          <w:szCs w:val="24"/>
        </w:rPr>
      </w:pPr>
      <w:r>
        <w:rPr>
          <w:szCs w:val="24"/>
        </w:rPr>
        <w:t>Table 1</w:t>
      </w:r>
    </w:p>
    <w:p w:rsidR="0037780F" w:rsidRPr="000A28C8" w:rsidRDefault="0037780F" w:rsidP="004F4471">
      <w:pPr>
        <w:ind w:firstLine="720"/>
        <w:jc w:val="both"/>
        <w:rPr>
          <w:sz w:val="20"/>
          <w:szCs w:val="20"/>
        </w:rPr>
      </w:pPr>
      <w:r w:rsidRPr="000A28C8">
        <w:rPr>
          <w:sz w:val="20"/>
          <w:szCs w:val="20"/>
        </w:rPr>
        <w:t xml:space="preserve">The increased operative time with PFLCP is may be because the surgeon is handling a new technique with new implant </w:t>
      </w:r>
    </w:p>
    <w:p w:rsidR="00DC18E4" w:rsidRPr="000A28C8" w:rsidRDefault="0037780F" w:rsidP="004F4471">
      <w:pPr>
        <w:jc w:val="both"/>
        <w:rPr>
          <w:sz w:val="20"/>
          <w:szCs w:val="20"/>
        </w:rPr>
      </w:pPr>
      <w:r w:rsidRPr="000A28C8">
        <w:rPr>
          <w:sz w:val="20"/>
          <w:szCs w:val="20"/>
        </w:rPr>
        <w:tab/>
        <w:t>There have been a few studies in literature that have estimated the amount of blood loss in different procedures for proximal femoral f</w:t>
      </w:r>
      <w:r w:rsidR="00DC18E4" w:rsidRPr="000A28C8">
        <w:rPr>
          <w:sz w:val="20"/>
          <w:szCs w:val="20"/>
        </w:rPr>
        <w:t>ractures.</w:t>
      </w:r>
      <w:r w:rsidRPr="000A28C8">
        <w:rPr>
          <w:sz w:val="20"/>
          <w:szCs w:val="20"/>
        </w:rPr>
        <w:t xml:space="preserve"> Little et al </w:t>
      </w:r>
      <w:r w:rsidR="00765A9E" w:rsidRPr="000A28C8">
        <w:rPr>
          <w:sz w:val="20"/>
          <w:szCs w:val="20"/>
          <w:vertAlign w:val="superscript"/>
        </w:rPr>
        <w:t>6</w:t>
      </w:r>
      <w:r w:rsidRPr="000A28C8">
        <w:rPr>
          <w:sz w:val="20"/>
          <w:szCs w:val="20"/>
        </w:rPr>
        <w:t>(2008)</w:t>
      </w:r>
      <w:r w:rsidR="00DC18E4" w:rsidRPr="000A28C8">
        <w:rPr>
          <w:sz w:val="20"/>
          <w:szCs w:val="20"/>
        </w:rPr>
        <w:t xml:space="preserve">, </w:t>
      </w:r>
      <w:proofErr w:type="spellStart"/>
      <w:r w:rsidR="00DC18E4" w:rsidRPr="000A28C8">
        <w:rPr>
          <w:sz w:val="20"/>
          <w:szCs w:val="20"/>
        </w:rPr>
        <w:t>Guo</w:t>
      </w:r>
      <w:proofErr w:type="spellEnd"/>
      <w:r w:rsidR="00DC18E4" w:rsidRPr="000A28C8">
        <w:rPr>
          <w:sz w:val="20"/>
          <w:szCs w:val="20"/>
        </w:rPr>
        <w:t xml:space="preserve">-Chun </w:t>
      </w:r>
      <w:proofErr w:type="spellStart"/>
      <w:r w:rsidR="00DC18E4" w:rsidRPr="000A28C8">
        <w:rPr>
          <w:sz w:val="20"/>
          <w:szCs w:val="20"/>
        </w:rPr>
        <w:t>Zha</w:t>
      </w:r>
      <w:proofErr w:type="spellEnd"/>
      <w:r w:rsidR="00DC18E4" w:rsidRPr="000A28C8">
        <w:rPr>
          <w:sz w:val="20"/>
          <w:szCs w:val="20"/>
        </w:rPr>
        <w:t xml:space="preserve"> et al </w:t>
      </w:r>
      <w:r w:rsidR="00765A9E" w:rsidRPr="000A28C8">
        <w:rPr>
          <w:sz w:val="20"/>
          <w:szCs w:val="20"/>
          <w:vertAlign w:val="superscript"/>
        </w:rPr>
        <w:t>7</w:t>
      </w:r>
      <w:r w:rsidRPr="000A28C8">
        <w:rPr>
          <w:sz w:val="20"/>
          <w:szCs w:val="20"/>
        </w:rPr>
        <w:t xml:space="preserve"> studied the intra operative blood loss in DHS</w:t>
      </w:r>
      <w:r w:rsidR="00DC18E4" w:rsidRPr="000A28C8">
        <w:rPr>
          <w:sz w:val="20"/>
          <w:szCs w:val="20"/>
        </w:rPr>
        <w:t xml:space="preserve"> and </w:t>
      </w:r>
      <w:proofErr w:type="gramStart"/>
      <w:r w:rsidR="00DC18E4" w:rsidRPr="000A28C8">
        <w:rPr>
          <w:sz w:val="20"/>
          <w:szCs w:val="20"/>
        </w:rPr>
        <w:t xml:space="preserve">PFLCP </w:t>
      </w:r>
      <w:r w:rsidRPr="000A28C8">
        <w:rPr>
          <w:sz w:val="20"/>
          <w:szCs w:val="20"/>
        </w:rPr>
        <w:t>.</w:t>
      </w:r>
      <w:proofErr w:type="gramEnd"/>
      <w:r w:rsidRPr="000A28C8">
        <w:rPr>
          <w:sz w:val="20"/>
          <w:szCs w:val="20"/>
        </w:rPr>
        <w:t xml:space="preserve">   Intra operative blood loss was measured in our study. The average blood loss in the PFLCP group was found to be 3</w:t>
      </w:r>
      <w:r w:rsidR="00DC18E4" w:rsidRPr="000A28C8">
        <w:rPr>
          <w:sz w:val="20"/>
          <w:szCs w:val="20"/>
        </w:rPr>
        <w:t xml:space="preserve">05.76 ml, </w:t>
      </w:r>
      <w:proofErr w:type="gramStart"/>
      <w:r w:rsidR="00DC18E4" w:rsidRPr="000A28C8">
        <w:rPr>
          <w:sz w:val="20"/>
          <w:szCs w:val="20"/>
        </w:rPr>
        <w:t xml:space="preserve">and </w:t>
      </w:r>
      <w:r w:rsidRPr="000A28C8">
        <w:rPr>
          <w:sz w:val="20"/>
          <w:szCs w:val="20"/>
        </w:rPr>
        <w:t xml:space="preserve"> in</w:t>
      </w:r>
      <w:proofErr w:type="gramEnd"/>
      <w:r w:rsidRPr="000A28C8">
        <w:rPr>
          <w:sz w:val="20"/>
          <w:szCs w:val="20"/>
        </w:rPr>
        <w:t xml:space="preserve"> the DHS group was found to be less, </w:t>
      </w:r>
      <w:proofErr w:type="spellStart"/>
      <w:r w:rsidRPr="000A28C8">
        <w:rPr>
          <w:sz w:val="20"/>
          <w:szCs w:val="20"/>
        </w:rPr>
        <w:t>i.e</w:t>
      </w:r>
      <w:proofErr w:type="spellEnd"/>
      <w:r w:rsidRPr="000A28C8">
        <w:rPr>
          <w:sz w:val="20"/>
          <w:szCs w:val="20"/>
        </w:rPr>
        <w:t xml:space="preserve"> 230.65 ml.  The above two values were tested statistically and the difference was found to be statistically significant (</w:t>
      </w:r>
      <w:r w:rsidRPr="000A28C8">
        <w:rPr>
          <w:i/>
          <w:sz w:val="20"/>
          <w:szCs w:val="20"/>
        </w:rPr>
        <w:t>p</w:t>
      </w:r>
      <w:r w:rsidRPr="000A28C8">
        <w:rPr>
          <w:sz w:val="20"/>
          <w:szCs w:val="20"/>
        </w:rPr>
        <w:t>-</w:t>
      </w:r>
      <w:r w:rsidRPr="000A28C8">
        <w:rPr>
          <w:i/>
          <w:sz w:val="20"/>
          <w:szCs w:val="20"/>
        </w:rPr>
        <w:t>value</w:t>
      </w:r>
      <w:r w:rsidRPr="000A28C8">
        <w:rPr>
          <w:sz w:val="20"/>
          <w:szCs w:val="20"/>
        </w:rPr>
        <w:t xml:space="preserve"> was 0.000317). In our study, out of 26 cases of PFLCP, 6 cases were transfused with 1 unit of blood. In the DHS </w:t>
      </w:r>
      <w:proofErr w:type="gramStart"/>
      <w:r w:rsidRPr="000A28C8">
        <w:rPr>
          <w:sz w:val="20"/>
          <w:szCs w:val="20"/>
        </w:rPr>
        <w:t>group  2</w:t>
      </w:r>
      <w:proofErr w:type="gramEnd"/>
      <w:r w:rsidRPr="000A28C8">
        <w:rPr>
          <w:sz w:val="20"/>
          <w:szCs w:val="20"/>
        </w:rPr>
        <w:t xml:space="preserve"> cases were transfused with 1 unit of blood each.. Little </w:t>
      </w:r>
      <w:r w:rsidRPr="000A28C8">
        <w:rPr>
          <w:sz w:val="20"/>
          <w:szCs w:val="20"/>
        </w:rPr>
        <w:lastRenderedPageBreak/>
        <w:t xml:space="preserve">et al </w:t>
      </w:r>
      <w:r w:rsidR="00765A9E" w:rsidRPr="000A28C8">
        <w:rPr>
          <w:sz w:val="20"/>
          <w:szCs w:val="20"/>
          <w:vertAlign w:val="superscript"/>
        </w:rPr>
        <w:t>6</w:t>
      </w:r>
      <w:r w:rsidRPr="000A28C8">
        <w:rPr>
          <w:sz w:val="20"/>
          <w:szCs w:val="20"/>
        </w:rPr>
        <w:t>(2008) stated that blood transfusion was needed in 23 cases of DHS out of 98 cases</w:t>
      </w:r>
      <w:r w:rsidR="00DC18E4" w:rsidRPr="000A28C8">
        <w:rPr>
          <w:sz w:val="20"/>
          <w:szCs w:val="20"/>
        </w:rPr>
        <w:t xml:space="preserve"> </w:t>
      </w:r>
      <w:r w:rsidRPr="000A28C8">
        <w:rPr>
          <w:sz w:val="20"/>
          <w:szCs w:val="20"/>
        </w:rPr>
        <w:t>It may be explained by the min</w:t>
      </w:r>
      <w:r w:rsidR="00DC18E4" w:rsidRPr="000A28C8">
        <w:rPr>
          <w:sz w:val="20"/>
          <w:szCs w:val="20"/>
        </w:rPr>
        <w:t xml:space="preserve">imal soft tissue dissection and </w:t>
      </w:r>
      <w:r w:rsidRPr="000A28C8">
        <w:rPr>
          <w:sz w:val="20"/>
          <w:szCs w:val="20"/>
        </w:rPr>
        <w:t xml:space="preserve">less operative time </w:t>
      </w:r>
      <w:r w:rsidR="00DC18E4" w:rsidRPr="000A28C8">
        <w:rPr>
          <w:sz w:val="20"/>
          <w:szCs w:val="20"/>
        </w:rPr>
        <w:t>in the DHS group.</w:t>
      </w:r>
      <w:r w:rsidR="006840E1" w:rsidRPr="000A28C8">
        <w:rPr>
          <w:sz w:val="20"/>
          <w:szCs w:val="20"/>
        </w:rPr>
        <w:t xml:space="preserve"> (Table 2)</w:t>
      </w:r>
    </w:p>
    <w:p w:rsidR="006840E1" w:rsidRPr="002C5CC4" w:rsidRDefault="006840E1" w:rsidP="004F4471">
      <w:pPr>
        <w:jc w:val="both"/>
        <w:rPr>
          <w:szCs w:val="24"/>
        </w:rPr>
      </w:pPr>
    </w:p>
    <w:p w:rsidR="00DC18E4" w:rsidRPr="002C5CC4" w:rsidRDefault="00DC18E4" w:rsidP="004F4471">
      <w:pPr>
        <w:jc w:val="both"/>
        <w:rPr>
          <w:szCs w:val="24"/>
        </w:rPr>
      </w:pPr>
    </w:p>
    <w:tbl>
      <w:tblPr>
        <w:tblStyle w:val="TableGrid"/>
        <w:tblW w:w="0" w:type="auto"/>
        <w:tblLook w:val="04A0"/>
      </w:tblPr>
      <w:tblGrid>
        <w:gridCol w:w="4500"/>
        <w:gridCol w:w="4500"/>
      </w:tblGrid>
      <w:tr w:rsidR="0037780F" w:rsidRPr="002C5CC4" w:rsidTr="000A28C8">
        <w:trPr>
          <w:trHeight w:val="422"/>
        </w:trPr>
        <w:tc>
          <w:tcPr>
            <w:tcW w:w="4500" w:type="dxa"/>
          </w:tcPr>
          <w:p w:rsidR="0037780F" w:rsidRPr="002C5CC4" w:rsidRDefault="0037780F" w:rsidP="004F4471">
            <w:pPr>
              <w:jc w:val="both"/>
              <w:rPr>
                <w:sz w:val="24"/>
                <w:szCs w:val="24"/>
              </w:rPr>
            </w:pPr>
            <w:r w:rsidRPr="002C5CC4">
              <w:rPr>
                <w:b/>
                <w:bCs/>
                <w:sz w:val="24"/>
                <w:szCs w:val="24"/>
              </w:rPr>
              <w:t>AUTHORS</w:t>
            </w:r>
          </w:p>
        </w:tc>
        <w:tc>
          <w:tcPr>
            <w:tcW w:w="4500" w:type="dxa"/>
          </w:tcPr>
          <w:p w:rsidR="0037780F" w:rsidRPr="002C5CC4" w:rsidRDefault="0037780F" w:rsidP="004F4471">
            <w:pPr>
              <w:jc w:val="both"/>
              <w:rPr>
                <w:sz w:val="24"/>
                <w:szCs w:val="24"/>
              </w:rPr>
            </w:pPr>
            <w:r w:rsidRPr="002C5CC4">
              <w:rPr>
                <w:b/>
                <w:sz w:val="24"/>
                <w:szCs w:val="24"/>
              </w:rPr>
              <w:t>INTRA OPERATIVE BLOOD LOSS</w:t>
            </w:r>
          </w:p>
          <w:p w:rsidR="0037780F" w:rsidRPr="002C5CC4" w:rsidRDefault="0037780F" w:rsidP="004F4471">
            <w:pPr>
              <w:jc w:val="both"/>
              <w:rPr>
                <w:sz w:val="24"/>
                <w:szCs w:val="24"/>
              </w:rPr>
            </w:pPr>
          </w:p>
        </w:tc>
      </w:tr>
      <w:tr w:rsidR="0037780F" w:rsidRPr="002C5CC4" w:rsidTr="001220E2">
        <w:tc>
          <w:tcPr>
            <w:tcW w:w="4500" w:type="dxa"/>
          </w:tcPr>
          <w:p w:rsidR="0037780F" w:rsidRPr="000A28C8" w:rsidRDefault="0037780F" w:rsidP="004F4471">
            <w:pPr>
              <w:jc w:val="both"/>
              <w:rPr>
                <w:sz w:val="20"/>
                <w:szCs w:val="20"/>
              </w:rPr>
            </w:pPr>
            <w:r w:rsidRPr="000A28C8">
              <w:rPr>
                <w:sz w:val="20"/>
                <w:szCs w:val="20"/>
              </w:rPr>
              <w:t xml:space="preserve">Little et al </w:t>
            </w:r>
            <w:r w:rsidR="00765A9E" w:rsidRPr="000A28C8">
              <w:rPr>
                <w:sz w:val="20"/>
                <w:szCs w:val="20"/>
                <w:vertAlign w:val="superscript"/>
              </w:rPr>
              <w:t>6</w:t>
            </w:r>
            <w:r w:rsidRPr="000A28C8">
              <w:rPr>
                <w:sz w:val="20"/>
                <w:szCs w:val="20"/>
              </w:rPr>
              <w:t xml:space="preserve"> (2008)</w:t>
            </w:r>
            <w:r w:rsidR="007C1787" w:rsidRPr="000A28C8">
              <w:rPr>
                <w:sz w:val="20"/>
                <w:szCs w:val="20"/>
              </w:rPr>
              <w:t xml:space="preserve"> DHS</w:t>
            </w:r>
          </w:p>
        </w:tc>
        <w:tc>
          <w:tcPr>
            <w:tcW w:w="4500" w:type="dxa"/>
          </w:tcPr>
          <w:p w:rsidR="0037780F" w:rsidRPr="000A28C8" w:rsidRDefault="0037780F" w:rsidP="004F4471">
            <w:pPr>
              <w:jc w:val="both"/>
              <w:rPr>
                <w:sz w:val="20"/>
                <w:szCs w:val="20"/>
              </w:rPr>
            </w:pPr>
            <w:r w:rsidRPr="000A28C8">
              <w:rPr>
                <w:sz w:val="20"/>
                <w:szCs w:val="20"/>
              </w:rPr>
              <w:t>160 ml</w:t>
            </w:r>
          </w:p>
        </w:tc>
      </w:tr>
      <w:tr w:rsidR="0037780F" w:rsidRPr="002C5CC4" w:rsidTr="001220E2">
        <w:tc>
          <w:tcPr>
            <w:tcW w:w="4500" w:type="dxa"/>
          </w:tcPr>
          <w:p w:rsidR="0037780F" w:rsidRPr="000A28C8" w:rsidRDefault="0037780F" w:rsidP="004F4471">
            <w:pPr>
              <w:jc w:val="both"/>
              <w:rPr>
                <w:sz w:val="20"/>
                <w:szCs w:val="20"/>
              </w:rPr>
            </w:pPr>
            <w:proofErr w:type="spellStart"/>
            <w:r w:rsidRPr="000A28C8">
              <w:rPr>
                <w:sz w:val="20"/>
                <w:szCs w:val="20"/>
              </w:rPr>
              <w:t>Guo</w:t>
            </w:r>
            <w:proofErr w:type="spellEnd"/>
            <w:r w:rsidRPr="000A28C8">
              <w:rPr>
                <w:sz w:val="20"/>
                <w:szCs w:val="20"/>
              </w:rPr>
              <w:t xml:space="preserve">-Chun </w:t>
            </w:r>
            <w:proofErr w:type="spellStart"/>
            <w:r w:rsidRPr="000A28C8">
              <w:rPr>
                <w:sz w:val="20"/>
                <w:szCs w:val="20"/>
              </w:rPr>
              <w:t>Zhaet</w:t>
            </w:r>
            <w:proofErr w:type="spellEnd"/>
            <w:r w:rsidRPr="000A28C8">
              <w:rPr>
                <w:sz w:val="20"/>
                <w:szCs w:val="20"/>
              </w:rPr>
              <w:t xml:space="preserve"> al</w:t>
            </w:r>
            <w:r w:rsidR="00765A9E" w:rsidRPr="000A28C8">
              <w:rPr>
                <w:sz w:val="20"/>
                <w:szCs w:val="20"/>
                <w:vertAlign w:val="superscript"/>
              </w:rPr>
              <w:t>7</w:t>
            </w:r>
            <w:r w:rsidRPr="000A28C8">
              <w:rPr>
                <w:sz w:val="20"/>
                <w:szCs w:val="20"/>
              </w:rPr>
              <w:t>(2011)</w:t>
            </w:r>
            <w:r w:rsidR="007C1787" w:rsidRPr="000A28C8">
              <w:rPr>
                <w:sz w:val="20"/>
                <w:szCs w:val="20"/>
              </w:rPr>
              <w:t xml:space="preserve"> PFLCP</w:t>
            </w:r>
          </w:p>
        </w:tc>
        <w:tc>
          <w:tcPr>
            <w:tcW w:w="4500" w:type="dxa"/>
          </w:tcPr>
          <w:p w:rsidR="0037780F" w:rsidRPr="000A28C8" w:rsidRDefault="0037780F" w:rsidP="004F4471">
            <w:pPr>
              <w:jc w:val="both"/>
              <w:rPr>
                <w:sz w:val="20"/>
                <w:szCs w:val="20"/>
              </w:rPr>
            </w:pPr>
            <w:r w:rsidRPr="000A28C8">
              <w:rPr>
                <w:sz w:val="20"/>
                <w:szCs w:val="20"/>
              </w:rPr>
              <w:t>150 ml</w:t>
            </w:r>
          </w:p>
        </w:tc>
      </w:tr>
      <w:tr w:rsidR="0037780F" w:rsidRPr="002C5CC4" w:rsidTr="001220E2">
        <w:tc>
          <w:tcPr>
            <w:tcW w:w="4500" w:type="dxa"/>
          </w:tcPr>
          <w:p w:rsidR="0037780F" w:rsidRPr="000A28C8" w:rsidRDefault="0037780F" w:rsidP="004F4471">
            <w:pPr>
              <w:jc w:val="both"/>
              <w:rPr>
                <w:sz w:val="20"/>
                <w:szCs w:val="20"/>
              </w:rPr>
            </w:pPr>
            <w:r w:rsidRPr="000A28C8">
              <w:rPr>
                <w:sz w:val="20"/>
                <w:szCs w:val="20"/>
              </w:rPr>
              <w:t>Present study                PFLCP</w:t>
            </w:r>
          </w:p>
        </w:tc>
        <w:tc>
          <w:tcPr>
            <w:tcW w:w="4500" w:type="dxa"/>
          </w:tcPr>
          <w:p w:rsidR="0037780F" w:rsidRPr="000A28C8" w:rsidRDefault="0037780F" w:rsidP="004F4471">
            <w:pPr>
              <w:jc w:val="both"/>
              <w:rPr>
                <w:sz w:val="20"/>
                <w:szCs w:val="20"/>
              </w:rPr>
            </w:pPr>
            <w:r w:rsidRPr="000A28C8">
              <w:rPr>
                <w:sz w:val="20"/>
                <w:szCs w:val="20"/>
              </w:rPr>
              <w:t>305.76 ml</w:t>
            </w:r>
          </w:p>
        </w:tc>
      </w:tr>
      <w:tr w:rsidR="0037780F" w:rsidRPr="002C5CC4" w:rsidTr="001220E2">
        <w:tc>
          <w:tcPr>
            <w:tcW w:w="4500" w:type="dxa"/>
          </w:tcPr>
          <w:p w:rsidR="0037780F" w:rsidRPr="000A28C8" w:rsidRDefault="0037780F" w:rsidP="004F4471">
            <w:pPr>
              <w:jc w:val="both"/>
              <w:rPr>
                <w:sz w:val="20"/>
                <w:szCs w:val="20"/>
              </w:rPr>
            </w:pPr>
            <w:r w:rsidRPr="000A28C8">
              <w:rPr>
                <w:sz w:val="20"/>
                <w:szCs w:val="20"/>
              </w:rPr>
              <w:t xml:space="preserve">                                     DHS</w:t>
            </w:r>
          </w:p>
        </w:tc>
        <w:tc>
          <w:tcPr>
            <w:tcW w:w="4500" w:type="dxa"/>
          </w:tcPr>
          <w:p w:rsidR="0037780F" w:rsidRPr="000A28C8" w:rsidRDefault="0037780F" w:rsidP="004F4471">
            <w:pPr>
              <w:jc w:val="both"/>
              <w:rPr>
                <w:sz w:val="20"/>
                <w:szCs w:val="20"/>
              </w:rPr>
            </w:pPr>
            <w:r w:rsidRPr="000A28C8">
              <w:rPr>
                <w:sz w:val="20"/>
                <w:szCs w:val="20"/>
              </w:rPr>
              <w:t>230.65 ml</w:t>
            </w:r>
          </w:p>
        </w:tc>
      </w:tr>
    </w:tbl>
    <w:p w:rsidR="006840E1" w:rsidRDefault="006840E1" w:rsidP="006840E1">
      <w:pPr>
        <w:jc w:val="center"/>
        <w:rPr>
          <w:szCs w:val="24"/>
        </w:rPr>
      </w:pPr>
      <w:r>
        <w:rPr>
          <w:szCs w:val="24"/>
        </w:rPr>
        <w:t>Table 2</w:t>
      </w:r>
    </w:p>
    <w:p w:rsidR="006840E1" w:rsidRDefault="006840E1" w:rsidP="004F4471">
      <w:pPr>
        <w:jc w:val="both"/>
        <w:rPr>
          <w:szCs w:val="24"/>
        </w:rPr>
      </w:pPr>
    </w:p>
    <w:p w:rsidR="0037780F" w:rsidRPr="000A28C8" w:rsidRDefault="0037780F" w:rsidP="004F4471">
      <w:pPr>
        <w:jc w:val="both"/>
        <w:rPr>
          <w:sz w:val="20"/>
          <w:szCs w:val="20"/>
        </w:rPr>
      </w:pPr>
      <w:r w:rsidRPr="000A28C8">
        <w:rPr>
          <w:sz w:val="20"/>
          <w:szCs w:val="20"/>
        </w:rPr>
        <w:t xml:space="preserve">When we compare our series to previously done studies regarding intra- operative blood </w:t>
      </w:r>
      <w:proofErr w:type="gramStart"/>
      <w:r w:rsidRPr="000A28C8">
        <w:rPr>
          <w:sz w:val="20"/>
          <w:szCs w:val="20"/>
        </w:rPr>
        <w:t>loss ,we</w:t>
      </w:r>
      <w:proofErr w:type="gramEnd"/>
      <w:r w:rsidRPr="000A28C8">
        <w:rPr>
          <w:sz w:val="20"/>
          <w:szCs w:val="20"/>
        </w:rPr>
        <w:t xml:space="preserve"> find increased blood loss with PFLCP group , probably becau</w:t>
      </w:r>
      <w:r w:rsidR="00DC18E4" w:rsidRPr="000A28C8">
        <w:rPr>
          <w:sz w:val="20"/>
          <w:szCs w:val="20"/>
        </w:rPr>
        <w:t>se of increased operative time and more soft tissue dissection.</w:t>
      </w:r>
    </w:p>
    <w:p w:rsidR="00DC18E4" w:rsidRPr="000A28C8" w:rsidRDefault="00DC18E4" w:rsidP="004F4471">
      <w:pPr>
        <w:jc w:val="both"/>
        <w:rPr>
          <w:sz w:val="20"/>
          <w:szCs w:val="20"/>
        </w:rPr>
      </w:pPr>
    </w:p>
    <w:p w:rsidR="00DC18E4" w:rsidRPr="000A28C8" w:rsidRDefault="00DC18E4" w:rsidP="004F4471">
      <w:pPr>
        <w:jc w:val="both"/>
        <w:rPr>
          <w:sz w:val="20"/>
          <w:szCs w:val="20"/>
        </w:rPr>
      </w:pPr>
    </w:p>
    <w:p w:rsidR="00DC18E4" w:rsidRPr="000A28C8" w:rsidRDefault="00DC18E4" w:rsidP="004F4471">
      <w:pPr>
        <w:autoSpaceDE w:val="0"/>
        <w:autoSpaceDN w:val="0"/>
        <w:adjustRightInd w:val="0"/>
        <w:jc w:val="both"/>
        <w:rPr>
          <w:sz w:val="20"/>
          <w:szCs w:val="20"/>
        </w:rPr>
      </w:pPr>
      <w:r w:rsidRPr="000A28C8">
        <w:rPr>
          <w:sz w:val="20"/>
          <w:szCs w:val="20"/>
        </w:rPr>
        <w:t xml:space="preserve">Functional results of the procedures were evaluated using Harris Hip Scoring System. We obtained excellent result in59.61% of cases, good result in 26.93% of cases, fair in 9.61% of cases and poor result in 3.84% of cases in the total study group. In the PFLCP group, excellent results were in 53.84% of cases, good results in 34.61%, fair results in 7.69% and poor result in 3.84% cases </w:t>
      </w:r>
      <w:proofErr w:type="gramStart"/>
      <w:r w:rsidRPr="000A28C8">
        <w:rPr>
          <w:sz w:val="20"/>
          <w:szCs w:val="20"/>
        </w:rPr>
        <w:t>each .</w:t>
      </w:r>
      <w:proofErr w:type="gramEnd"/>
      <w:r w:rsidRPr="000A28C8">
        <w:rPr>
          <w:rFonts w:eastAsia="Times New Roman"/>
          <w:sz w:val="20"/>
          <w:szCs w:val="20"/>
        </w:rPr>
        <w:t xml:space="preserve"> </w:t>
      </w:r>
      <w:r w:rsidRPr="000A28C8">
        <w:rPr>
          <w:sz w:val="20"/>
          <w:szCs w:val="20"/>
        </w:rPr>
        <w:t xml:space="preserve">In the DHS group, excellent results were in 65.38% of cases, good result in 19.28% of cases, fair result in 11.53% and poor result in 3.84%% cases each.  Kyle et al </w:t>
      </w:r>
      <w:r w:rsidR="00613710" w:rsidRPr="000A28C8">
        <w:rPr>
          <w:sz w:val="20"/>
          <w:szCs w:val="20"/>
          <w:vertAlign w:val="superscript"/>
        </w:rPr>
        <w:t>1</w:t>
      </w:r>
      <w:r w:rsidRPr="000A28C8">
        <w:rPr>
          <w:sz w:val="20"/>
          <w:szCs w:val="20"/>
        </w:rPr>
        <w:t>(1979) obtained good to excellent result in 89% , fair in 5% and poor in 6% of cases of DHS.</w:t>
      </w:r>
      <w:r w:rsidR="00F26198" w:rsidRPr="000A28C8">
        <w:rPr>
          <w:sz w:val="20"/>
          <w:szCs w:val="20"/>
        </w:rPr>
        <w:t xml:space="preserve"> (Table 3)</w:t>
      </w:r>
    </w:p>
    <w:p w:rsidR="00DC18E4" w:rsidRPr="002C5CC4" w:rsidRDefault="00DC18E4" w:rsidP="004F4471">
      <w:pPr>
        <w:autoSpaceDE w:val="0"/>
        <w:autoSpaceDN w:val="0"/>
        <w:adjustRightInd w:val="0"/>
        <w:jc w:val="both"/>
        <w:rPr>
          <w:szCs w:val="24"/>
        </w:rPr>
      </w:pPr>
    </w:p>
    <w:tbl>
      <w:tblPr>
        <w:tblStyle w:val="TableGrid"/>
        <w:tblW w:w="0" w:type="auto"/>
        <w:tblLook w:val="04A0"/>
      </w:tblPr>
      <w:tblGrid>
        <w:gridCol w:w="4500"/>
        <w:gridCol w:w="4500"/>
      </w:tblGrid>
      <w:tr w:rsidR="00DC18E4" w:rsidRPr="002C5CC4" w:rsidTr="001220E2">
        <w:tc>
          <w:tcPr>
            <w:tcW w:w="4500" w:type="dxa"/>
          </w:tcPr>
          <w:p w:rsidR="00DC18E4" w:rsidRPr="002C5CC4" w:rsidRDefault="00DC18E4" w:rsidP="004F4471">
            <w:pPr>
              <w:autoSpaceDE w:val="0"/>
              <w:autoSpaceDN w:val="0"/>
              <w:adjustRightInd w:val="0"/>
              <w:jc w:val="both"/>
              <w:rPr>
                <w:sz w:val="24"/>
                <w:szCs w:val="24"/>
              </w:rPr>
            </w:pPr>
            <w:r w:rsidRPr="002C5CC4">
              <w:rPr>
                <w:b/>
                <w:bCs/>
                <w:sz w:val="24"/>
                <w:szCs w:val="24"/>
              </w:rPr>
              <w:t>AUTHORS</w:t>
            </w:r>
          </w:p>
        </w:tc>
        <w:tc>
          <w:tcPr>
            <w:tcW w:w="4500" w:type="dxa"/>
          </w:tcPr>
          <w:p w:rsidR="00DC18E4" w:rsidRPr="002C5CC4" w:rsidRDefault="00DC18E4" w:rsidP="004F4471">
            <w:pPr>
              <w:autoSpaceDE w:val="0"/>
              <w:autoSpaceDN w:val="0"/>
              <w:adjustRightInd w:val="0"/>
              <w:jc w:val="both"/>
              <w:rPr>
                <w:sz w:val="24"/>
                <w:szCs w:val="24"/>
              </w:rPr>
            </w:pPr>
            <w:r w:rsidRPr="002C5CC4">
              <w:rPr>
                <w:b/>
                <w:sz w:val="24"/>
                <w:szCs w:val="24"/>
              </w:rPr>
              <w:t>EXCELLENT AND GOOD FUNCTIONAL RESULT</w:t>
            </w:r>
          </w:p>
        </w:tc>
      </w:tr>
      <w:tr w:rsidR="00DC18E4" w:rsidRPr="002C5CC4" w:rsidTr="001220E2">
        <w:tc>
          <w:tcPr>
            <w:tcW w:w="4500" w:type="dxa"/>
          </w:tcPr>
          <w:p w:rsidR="00DC18E4" w:rsidRPr="000A28C8" w:rsidRDefault="00DC18E4" w:rsidP="004F4471">
            <w:pPr>
              <w:autoSpaceDE w:val="0"/>
              <w:autoSpaceDN w:val="0"/>
              <w:adjustRightInd w:val="0"/>
              <w:jc w:val="both"/>
              <w:rPr>
                <w:sz w:val="20"/>
                <w:szCs w:val="20"/>
              </w:rPr>
            </w:pPr>
            <w:r w:rsidRPr="000A28C8">
              <w:rPr>
                <w:sz w:val="20"/>
                <w:szCs w:val="20"/>
              </w:rPr>
              <w:t xml:space="preserve">Kyle et al </w:t>
            </w:r>
            <w:r w:rsidR="00613710" w:rsidRPr="000A28C8">
              <w:rPr>
                <w:sz w:val="20"/>
                <w:szCs w:val="20"/>
                <w:vertAlign w:val="superscript"/>
              </w:rPr>
              <w:t>1</w:t>
            </w:r>
            <w:r w:rsidRPr="000A28C8">
              <w:rPr>
                <w:sz w:val="20"/>
                <w:szCs w:val="20"/>
              </w:rPr>
              <w:t>(1979)</w:t>
            </w:r>
          </w:p>
        </w:tc>
        <w:tc>
          <w:tcPr>
            <w:tcW w:w="4500" w:type="dxa"/>
          </w:tcPr>
          <w:p w:rsidR="00DC18E4" w:rsidRPr="000A28C8" w:rsidRDefault="00DC18E4" w:rsidP="004F4471">
            <w:pPr>
              <w:autoSpaceDE w:val="0"/>
              <w:autoSpaceDN w:val="0"/>
              <w:adjustRightInd w:val="0"/>
              <w:jc w:val="both"/>
              <w:rPr>
                <w:sz w:val="20"/>
                <w:szCs w:val="20"/>
              </w:rPr>
            </w:pPr>
            <w:r w:rsidRPr="000A28C8">
              <w:rPr>
                <w:sz w:val="20"/>
                <w:szCs w:val="20"/>
              </w:rPr>
              <w:t>89%</w:t>
            </w:r>
          </w:p>
        </w:tc>
      </w:tr>
      <w:tr w:rsidR="00DC18E4" w:rsidRPr="002C5CC4" w:rsidTr="001220E2">
        <w:tc>
          <w:tcPr>
            <w:tcW w:w="4500" w:type="dxa"/>
          </w:tcPr>
          <w:p w:rsidR="00DC18E4" w:rsidRPr="000A28C8" w:rsidRDefault="00DC18E4" w:rsidP="004F4471">
            <w:pPr>
              <w:autoSpaceDE w:val="0"/>
              <w:autoSpaceDN w:val="0"/>
              <w:adjustRightInd w:val="0"/>
              <w:jc w:val="both"/>
              <w:rPr>
                <w:sz w:val="20"/>
                <w:szCs w:val="20"/>
              </w:rPr>
            </w:pPr>
            <w:r w:rsidRPr="000A28C8">
              <w:rPr>
                <w:rStyle w:val="author-name"/>
                <w:sz w:val="20"/>
                <w:szCs w:val="20"/>
              </w:rPr>
              <w:t xml:space="preserve">P. </w:t>
            </w:r>
            <w:proofErr w:type="spellStart"/>
            <w:r w:rsidRPr="000A28C8">
              <w:rPr>
                <w:rStyle w:val="author-name"/>
                <w:sz w:val="20"/>
                <w:szCs w:val="20"/>
              </w:rPr>
              <w:t>Kamboj</w:t>
            </w:r>
            <w:proofErr w:type="spellEnd"/>
            <w:r w:rsidRPr="000A28C8">
              <w:rPr>
                <w:rStyle w:val="author-name"/>
                <w:sz w:val="20"/>
                <w:szCs w:val="20"/>
              </w:rPr>
              <w:t xml:space="preserve"> MS et al (2007)</w:t>
            </w:r>
          </w:p>
        </w:tc>
        <w:tc>
          <w:tcPr>
            <w:tcW w:w="4500" w:type="dxa"/>
          </w:tcPr>
          <w:p w:rsidR="00DC18E4" w:rsidRPr="000A28C8" w:rsidRDefault="00DC18E4" w:rsidP="004F4471">
            <w:pPr>
              <w:autoSpaceDE w:val="0"/>
              <w:autoSpaceDN w:val="0"/>
              <w:adjustRightInd w:val="0"/>
              <w:jc w:val="both"/>
              <w:rPr>
                <w:sz w:val="20"/>
                <w:szCs w:val="20"/>
              </w:rPr>
            </w:pPr>
            <w:r w:rsidRPr="000A28C8">
              <w:rPr>
                <w:sz w:val="20"/>
                <w:szCs w:val="20"/>
              </w:rPr>
              <w:t>80%</w:t>
            </w:r>
          </w:p>
        </w:tc>
      </w:tr>
      <w:tr w:rsidR="00DC18E4" w:rsidRPr="002C5CC4" w:rsidTr="001220E2">
        <w:tc>
          <w:tcPr>
            <w:tcW w:w="4500" w:type="dxa"/>
          </w:tcPr>
          <w:p w:rsidR="00DC18E4" w:rsidRPr="000A28C8" w:rsidRDefault="00DC18E4" w:rsidP="004F4471">
            <w:pPr>
              <w:jc w:val="both"/>
              <w:rPr>
                <w:sz w:val="20"/>
                <w:szCs w:val="20"/>
              </w:rPr>
            </w:pPr>
            <w:r w:rsidRPr="000A28C8">
              <w:rPr>
                <w:sz w:val="20"/>
                <w:szCs w:val="20"/>
              </w:rPr>
              <w:t>Present study               PFLCP</w:t>
            </w:r>
          </w:p>
        </w:tc>
        <w:tc>
          <w:tcPr>
            <w:tcW w:w="4500" w:type="dxa"/>
          </w:tcPr>
          <w:p w:rsidR="00DC18E4" w:rsidRPr="000A28C8" w:rsidRDefault="00DC18E4" w:rsidP="004F4471">
            <w:pPr>
              <w:jc w:val="both"/>
              <w:rPr>
                <w:sz w:val="20"/>
                <w:szCs w:val="20"/>
              </w:rPr>
            </w:pPr>
            <w:r w:rsidRPr="000A28C8">
              <w:rPr>
                <w:sz w:val="20"/>
                <w:szCs w:val="20"/>
              </w:rPr>
              <w:t>88.45%</w:t>
            </w:r>
          </w:p>
        </w:tc>
      </w:tr>
      <w:tr w:rsidR="00DC18E4" w:rsidRPr="002C5CC4" w:rsidTr="001220E2">
        <w:tc>
          <w:tcPr>
            <w:tcW w:w="4500" w:type="dxa"/>
          </w:tcPr>
          <w:p w:rsidR="00DC18E4" w:rsidRPr="000A28C8" w:rsidRDefault="00DC18E4" w:rsidP="004F4471">
            <w:pPr>
              <w:jc w:val="both"/>
              <w:rPr>
                <w:sz w:val="20"/>
                <w:szCs w:val="20"/>
              </w:rPr>
            </w:pPr>
            <w:r w:rsidRPr="000A28C8">
              <w:rPr>
                <w:sz w:val="20"/>
                <w:szCs w:val="20"/>
              </w:rPr>
              <w:t xml:space="preserve">                                     DHS</w:t>
            </w:r>
          </w:p>
        </w:tc>
        <w:tc>
          <w:tcPr>
            <w:tcW w:w="4500" w:type="dxa"/>
          </w:tcPr>
          <w:p w:rsidR="00DC18E4" w:rsidRPr="000A28C8" w:rsidRDefault="00DC18E4" w:rsidP="004F4471">
            <w:pPr>
              <w:jc w:val="both"/>
              <w:rPr>
                <w:sz w:val="20"/>
                <w:szCs w:val="20"/>
              </w:rPr>
            </w:pPr>
            <w:r w:rsidRPr="000A28C8">
              <w:rPr>
                <w:sz w:val="20"/>
                <w:szCs w:val="20"/>
              </w:rPr>
              <w:t>84.66%</w:t>
            </w:r>
          </w:p>
        </w:tc>
      </w:tr>
    </w:tbl>
    <w:p w:rsidR="00DC18E4" w:rsidRDefault="00F26198" w:rsidP="00F26198">
      <w:pPr>
        <w:autoSpaceDE w:val="0"/>
        <w:autoSpaceDN w:val="0"/>
        <w:adjustRightInd w:val="0"/>
        <w:jc w:val="center"/>
        <w:rPr>
          <w:szCs w:val="24"/>
        </w:rPr>
      </w:pPr>
      <w:r>
        <w:rPr>
          <w:szCs w:val="24"/>
        </w:rPr>
        <w:t>Table 3</w:t>
      </w:r>
    </w:p>
    <w:p w:rsidR="00F26198" w:rsidRPr="002C5CC4" w:rsidRDefault="00F26198" w:rsidP="00F26198">
      <w:pPr>
        <w:autoSpaceDE w:val="0"/>
        <w:autoSpaceDN w:val="0"/>
        <w:adjustRightInd w:val="0"/>
        <w:jc w:val="center"/>
        <w:rPr>
          <w:szCs w:val="24"/>
        </w:rPr>
      </w:pPr>
    </w:p>
    <w:p w:rsidR="00DC18E4" w:rsidRPr="000A28C8" w:rsidRDefault="00DC18E4" w:rsidP="004F4471">
      <w:pPr>
        <w:jc w:val="both"/>
        <w:rPr>
          <w:sz w:val="20"/>
          <w:szCs w:val="20"/>
        </w:rPr>
      </w:pPr>
      <w:r w:rsidRPr="000A28C8">
        <w:rPr>
          <w:sz w:val="20"/>
          <w:szCs w:val="20"/>
        </w:rPr>
        <w:t>When we compare our series to previously done studies regarding</w:t>
      </w:r>
      <w:r w:rsidR="004B2CED" w:rsidRPr="000A28C8">
        <w:rPr>
          <w:sz w:val="20"/>
          <w:szCs w:val="20"/>
        </w:rPr>
        <w:t xml:space="preserve"> functional result, </w:t>
      </w:r>
      <w:r w:rsidRPr="000A28C8">
        <w:rPr>
          <w:sz w:val="20"/>
          <w:szCs w:val="20"/>
        </w:rPr>
        <w:t>we find comparable result.</w:t>
      </w:r>
    </w:p>
    <w:p w:rsidR="004B2CED" w:rsidRPr="000A28C8" w:rsidRDefault="004B2CED" w:rsidP="004F4471">
      <w:pPr>
        <w:jc w:val="both"/>
        <w:rPr>
          <w:sz w:val="20"/>
          <w:szCs w:val="20"/>
        </w:rPr>
      </w:pPr>
      <w:r w:rsidRPr="000A28C8">
        <w:rPr>
          <w:sz w:val="20"/>
          <w:szCs w:val="20"/>
        </w:rPr>
        <w:t xml:space="preserve">There were 2 cases </w:t>
      </w:r>
      <w:proofErr w:type="gramStart"/>
      <w:r w:rsidRPr="000A28C8">
        <w:rPr>
          <w:sz w:val="20"/>
          <w:szCs w:val="20"/>
        </w:rPr>
        <w:t>of  superficial</w:t>
      </w:r>
      <w:proofErr w:type="gramEnd"/>
      <w:r w:rsidRPr="000A28C8">
        <w:rPr>
          <w:sz w:val="20"/>
          <w:szCs w:val="20"/>
        </w:rPr>
        <w:t xml:space="preserve"> wound infection in PFLCP group and 1 case in DHS group in our study. </w:t>
      </w:r>
    </w:p>
    <w:p w:rsidR="004B2CED" w:rsidRPr="002C5CC4" w:rsidRDefault="004B2CED" w:rsidP="004F4471">
      <w:pPr>
        <w:jc w:val="both"/>
        <w:rPr>
          <w:szCs w:val="24"/>
        </w:rPr>
      </w:pPr>
    </w:p>
    <w:tbl>
      <w:tblPr>
        <w:tblStyle w:val="TableGrid"/>
        <w:tblW w:w="0" w:type="auto"/>
        <w:tblLook w:val="04A0"/>
      </w:tblPr>
      <w:tblGrid>
        <w:gridCol w:w="3086"/>
        <w:gridCol w:w="2663"/>
        <w:gridCol w:w="3251"/>
      </w:tblGrid>
      <w:tr w:rsidR="004B2CED" w:rsidRPr="002C5CC4" w:rsidTr="001220E2">
        <w:tc>
          <w:tcPr>
            <w:tcW w:w="3086" w:type="dxa"/>
          </w:tcPr>
          <w:p w:rsidR="004B2CED" w:rsidRPr="002C5CC4" w:rsidRDefault="004B2CED" w:rsidP="004F4471">
            <w:pPr>
              <w:jc w:val="both"/>
              <w:rPr>
                <w:sz w:val="24"/>
                <w:szCs w:val="24"/>
              </w:rPr>
            </w:pPr>
            <w:r w:rsidRPr="002C5CC4">
              <w:rPr>
                <w:b/>
                <w:bCs/>
                <w:sz w:val="24"/>
                <w:szCs w:val="24"/>
              </w:rPr>
              <w:t>AUTHORS</w:t>
            </w:r>
          </w:p>
        </w:tc>
        <w:tc>
          <w:tcPr>
            <w:tcW w:w="2663" w:type="dxa"/>
          </w:tcPr>
          <w:p w:rsidR="004B2CED" w:rsidRPr="002C5CC4" w:rsidRDefault="004B2CED" w:rsidP="004F4471">
            <w:pPr>
              <w:jc w:val="both"/>
              <w:rPr>
                <w:b/>
                <w:sz w:val="24"/>
                <w:szCs w:val="24"/>
              </w:rPr>
            </w:pPr>
            <w:r w:rsidRPr="002C5CC4">
              <w:rPr>
                <w:b/>
                <w:bCs/>
                <w:sz w:val="24"/>
                <w:szCs w:val="24"/>
              </w:rPr>
              <w:t>IMPLANTS</w:t>
            </w:r>
          </w:p>
        </w:tc>
        <w:tc>
          <w:tcPr>
            <w:tcW w:w="3251" w:type="dxa"/>
          </w:tcPr>
          <w:p w:rsidR="004B2CED" w:rsidRPr="002C5CC4" w:rsidRDefault="004B2CED" w:rsidP="004F4471">
            <w:pPr>
              <w:jc w:val="both"/>
              <w:rPr>
                <w:b/>
                <w:sz w:val="24"/>
                <w:szCs w:val="24"/>
              </w:rPr>
            </w:pPr>
            <w:r w:rsidRPr="002C5CC4">
              <w:rPr>
                <w:b/>
                <w:sz w:val="24"/>
                <w:szCs w:val="24"/>
              </w:rPr>
              <w:t>INFECTION RATE</w:t>
            </w:r>
          </w:p>
        </w:tc>
      </w:tr>
      <w:tr w:rsidR="004B2CED" w:rsidRPr="002C5CC4" w:rsidTr="001220E2">
        <w:tc>
          <w:tcPr>
            <w:tcW w:w="3086" w:type="dxa"/>
          </w:tcPr>
          <w:p w:rsidR="004B2CED" w:rsidRPr="000A28C8" w:rsidRDefault="004B2CED" w:rsidP="004F4471">
            <w:pPr>
              <w:jc w:val="both"/>
              <w:rPr>
                <w:sz w:val="20"/>
                <w:szCs w:val="20"/>
              </w:rPr>
            </w:pPr>
            <w:r w:rsidRPr="000A28C8">
              <w:rPr>
                <w:sz w:val="20"/>
                <w:szCs w:val="20"/>
              </w:rPr>
              <w:t>Larsson et al</w:t>
            </w:r>
            <w:r w:rsidR="00765A9E" w:rsidRPr="000A28C8">
              <w:rPr>
                <w:sz w:val="20"/>
                <w:szCs w:val="20"/>
                <w:vertAlign w:val="superscript"/>
              </w:rPr>
              <w:t>8</w:t>
            </w:r>
            <w:r w:rsidRPr="000A28C8">
              <w:rPr>
                <w:sz w:val="20"/>
                <w:szCs w:val="20"/>
                <w:vertAlign w:val="superscript"/>
              </w:rPr>
              <w:t xml:space="preserve"> </w:t>
            </w:r>
            <w:r w:rsidRPr="000A28C8">
              <w:rPr>
                <w:sz w:val="20"/>
                <w:szCs w:val="20"/>
              </w:rPr>
              <w:t>(1990</w:t>
            </w:r>
          </w:p>
        </w:tc>
        <w:tc>
          <w:tcPr>
            <w:tcW w:w="2663" w:type="dxa"/>
          </w:tcPr>
          <w:p w:rsidR="004B2CED" w:rsidRPr="000A28C8" w:rsidRDefault="004B2CED" w:rsidP="004F4471">
            <w:pPr>
              <w:jc w:val="both"/>
              <w:rPr>
                <w:sz w:val="20"/>
                <w:szCs w:val="20"/>
              </w:rPr>
            </w:pPr>
            <w:r w:rsidRPr="000A28C8">
              <w:rPr>
                <w:sz w:val="20"/>
                <w:szCs w:val="20"/>
              </w:rPr>
              <w:t>DHS</w:t>
            </w:r>
          </w:p>
        </w:tc>
        <w:tc>
          <w:tcPr>
            <w:tcW w:w="3251" w:type="dxa"/>
          </w:tcPr>
          <w:p w:rsidR="004B2CED" w:rsidRPr="000A28C8" w:rsidRDefault="004B2CED" w:rsidP="004F4471">
            <w:pPr>
              <w:jc w:val="both"/>
              <w:rPr>
                <w:sz w:val="20"/>
                <w:szCs w:val="20"/>
              </w:rPr>
            </w:pPr>
            <w:r w:rsidRPr="000A28C8">
              <w:rPr>
                <w:sz w:val="20"/>
                <w:szCs w:val="20"/>
              </w:rPr>
              <w:t>1.8%</w:t>
            </w:r>
          </w:p>
        </w:tc>
      </w:tr>
      <w:tr w:rsidR="004B2CED" w:rsidRPr="002C5CC4" w:rsidTr="001220E2">
        <w:tc>
          <w:tcPr>
            <w:tcW w:w="3086" w:type="dxa"/>
          </w:tcPr>
          <w:p w:rsidR="004B2CED" w:rsidRPr="000A28C8" w:rsidRDefault="004B2CED" w:rsidP="004F4471">
            <w:pPr>
              <w:jc w:val="both"/>
              <w:rPr>
                <w:sz w:val="20"/>
                <w:szCs w:val="20"/>
              </w:rPr>
            </w:pPr>
            <w:proofErr w:type="spellStart"/>
            <w:r w:rsidRPr="000A28C8">
              <w:rPr>
                <w:sz w:val="20"/>
                <w:szCs w:val="20"/>
              </w:rPr>
              <w:t>Birdle</w:t>
            </w:r>
            <w:proofErr w:type="spellEnd"/>
            <w:r w:rsidRPr="000A28C8">
              <w:rPr>
                <w:sz w:val="20"/>
                <w:szCs w:val="20"/>
              </w:rPr>
              <w:t xml:space="preserve"> et al (1991)</w:t>
            </w:r>
          </w:p>
        </w:tc>
        <w:tc>
          <w:tcPr>
            <w:tcW w:w="2663" w:type="dxa"/>
          </w:tcPr>
          <w:p w:rsidR="004B2CED" w:rsidRPr="000A28C8" w:rsidRDefault="004B2CED" w:rsidP="004F4471">
            <w:pPr>
              <w:jc w:val="both"/>
              <w:rPr>
                <w:sz w:val="20"/>
                <w:szCs w:val="20"/>
              </w:rPr>
            </w:pPr>
            <w:r w:rsidRPr="000A28C8">
              <w:rPr>
                <w:sz w:val="20"/>
                <w:szCs w:val="20"/>
              </w:rPr>
              <w:t>DHS</w:t>
            </w:r>
          </w:p>
        </w:tc>
        <w:tc>
          <w:tcPr>
            <w:tcW w:w="3251" w:type="dxa"/>
          </w:tcPr>
          <w:p w:rsidR="004B2CED" w:rsidRPr="000A28C8" w:rsidRDefault="004B2CED" w:rsidP="004F4471">
            <w:pPr>
              <w:jc w:val="both"/>
              <w:rPr>
                <w:sz w:val="20"/>
                <w:szCs w:val="20"/>
              </w:rPr>
            </w:pPr>
            <w:r w:rsidRPr="000A28C8">
              <w:rPr>
                <w:sz w:val="20"/>
                <w:szCs w:val="20"/>
              </w:rPr>
              <w:t>3.9%</w:t>
            </w:r>
          </w:p>
        </w:tc>
      </w:tr>
      <w:tr w:rsidR="004B2CED" w:rsidRPr="002C5CC4" w:rsidTr="001220E2">
        <w:tc>
          <w:tcPr>
            <w:tcW w:w="3086" w:type="dxa"/>
          </w:tcPr>
          <w:p w:rsidR="004B2CED" w:rsidRPr="000A28C8" w:rsidRDefault="004B2CED" w:rsidP="004F4471">
            <w:pPr>
              <w:jc w:val="both"/>
              <w:rPr>
                <w:sz w:val="20"/>
                <w:szCs w:val="20"/>
              </w:rPr>
            </w:pPr>
            <w:r w:rsidRPr="000A28C8">
              <w:rPr>
                <w:sz w:val="20"/>
                <w:szCs w:val="20"/>
              </w:rPr>
              <w:t>Butt et al</w:t>
            </w:r>
            <w:r w:rsidR="00301E95" w:rsidRPr="000A28C8">
              <w:rPr>
                <w:sz w:val="20"/>
                <w:szCs w:val="20"/>
                <w:vertAlign w:val="superscript"/>
              </w:rPr>
              <w:t>9</w:t>
            </w:r>
            <w:r w:rsidRPr="000A28C8">
              <w:rPr>
                <w:sz w:val="20"/>
                <w:szCs w:val="20"/>
              </w:rPr>
              <w:t xml:space="preserve"> (1995)</w:t>
            </w:r>
          </w:p>
        </w:tc>
        <w:tc>
          <w:tcPr>
            <w:tcW w:w="2663" w:type="dxa"/>
          </w:tcPr>
          <w:p w:rsidR="004B2CED" w:rsidRPr="000A28C8" w:rsidRDefault="004B2CED" w:rsidP="004F4471">
            <w:pPr>
              <w:jc w:val="both"/>
              <w:rPr>
                <w:sz w:val="20"/>
                <w:szCs w:val="20"/>
              </w:rPr>
            </w:pPr>
            <w:r w:rsidRPr="000A28C8">
              <w:rPr>
                <w:sz w:val="20"/>
                <w:szCs w:val="20"/>
              </w:rPr>
              <w:t>DHS</w:t>
            </w:r>
          </w:p>
        </w:tc>
        <w:tc>
          <w:tcPr>
            <w:tcW w:w="3251" w:type="dxa"/>
          </w:tcPr>
          <w:p w:rsidR="004B2CED" w:rsidRPr="000A28C8" w:rsidRDefault="004B2CED" w:rsidP="004F4471">
            <w:pPr>
              <w:jc w:val="both"/>
              <w:rPr>
                <w:sz w:val="20"/>
                <w:szCs w:val="20"/>
              </w:rPr>
            </w:pPr>
            <w:r w:rsidRPr="000A28C8">
              <w:rPr>
                <w:sz w:val="20"/>
                <w:szCs w:val="20"/>
              </w:rPr>
              <w:t>4%</w:t>
            </w:r>
          </w:p>
        </w:tc>
      </w:tr>
      <w:tr w:rsidR="004B2CED" w:rsidRPr="002C5CC4" w:rsidTr="001220E2">
        <w:tc>
          <w:tcPr>
            <w:tcW w:w="3086" w:type="dxa"/>
          </w:tcPr>
          <w:p w:rsidR="004B2CED" w:rsidRPr="000A28C8" w:rsidRDefault="004B2CED" w:rsidP="004F4471">
            <w:pPr>
              <w:jc w:val="both"/>
              <w:rPr>
                <w:sz w:val="20"/>
                <w:szCs w:val="20"/>
              </w:rPr>
            </w:pPr>
            <w:proofErr w:type="spellStart"/>
            <w:r w:rsidRPr="000A28C8">
              <w:rPr>
                <w:sz w:val="20"/>
                <w:szCs w:val="20"/>
              </w:rPr>
              <w:t>Hebernek</w:t>
            </w:r>
            <w:proofErr w:type="spellEnd"/>
            <w:r w:rsidRPr="000A28C8">
              <w:rPr>
                <w:sz w:val="20"/>
                <w:szCs w:val="20"/>
              </w:rPr>
              <w:t xml:space="preserve"> et al (2000)</w:t>
            </w:r>
          </w:p>
        </w:tc>
        <w:tc>
          <w:tcPr>
            <w:tcW w:w="2663" w:type="dxa"/>
          </w:tcPr>
          <w:p w:rsidR="004B2CED" w:rsidRPr="000A28C8" w:rsidRDefault="004B2CED" w:rsidP="004F4471">
            <w:pPr>
              <w:jc w:val="both"/>
              <w:rPr>
                <w:sz w:val="20"/>
                <w:szCs w:val="20"/>
              </w:rPr>
            </w:pPr>
            <w:r w:rsidRPr="000A28C8">
              <w:rPr>
                <w:sz w:val="20"/>
                <w:szCs w:val="20"/>
              </w:rPr>
              <w:t>DHS</w:t>
            </w:r>
          </w:p>
        </w:tc>
        <w:tc>
          <w:tcPr>
            <w:tcW w:w="3251" w:type="dxa"/>
          </w:tcPr>
          <w:p w:rsidR="004B2CED" w:rsidRPr="000A28C8" w:rsidRDefault="004B2CED" w:rsidP="004F4471">
            <w:pPr>
              <w:jc w:val="both"/>
              <w:rPr>
                <w:sz w:val="20"/>
                <w:szCs w:val="20"/>
              </w:rPr>
            </w:pPr>
            <w:r w:rsidRPr="000A28C8">
              <w:rPr>
                <w:sz w:val="20"/>
                <w:szCs w:val="20"/>
              </w:rPr>
              <w:t>2.4%</w:t>
            </w:r>
          </w:p>
        </w:tc>
      </w:tr>
      <w:tr w:rsidR="004B2CED" w:rsidRPr="002C5CC4" w:rsidTr="001220E2">
        <w:tc>
          <w:tcPr>
            <w:tcW w:w="3086" w:type="dxa"/>
          </w:tcPr>
          <w:p w:rsidR="004B2CED" w:rsidRPr="000A28C8" w:rsidRDefault="004B2CED" w:rsidP="004F4471">
            <w:pPr>
              <w:jc w:val="both"/>
              <w:rPr>
                <w:sz w:val="20"/>
                <w:szCs w:val="20"/>
              </w:rPr>
            </w:pPr>
            <w:proofErr w:type="spellStart"/>
            <w:r w:rsidRPr="000A28C8">
              <w:rPr>
                <w:sz w:val="20"/>
                <w:szCs w:val="20"/>
              </w:rPr>
              <w:t>Guo</w:t>
            </w:r>
            <w:proofErr w:type="spellEnd"/>
            <w:r w:rsidRPr="000A28C8">
              <w:rPr>
                <w:sz w:val="20"/>
                <w:szCs w:val="20"/>
              </w:rPr>
              <w:t xml:space="preserve">-Chun </w:t>
            </w:r>
            <w:proofErr w:type="spellStart"/>
            <w:r w:rsidRPr="000A28C8">
              <w:rPr>
                <w:sz w:val="20"/>
                <w:szCs w:val="20"/>
              </w:rPr>
              <w:t>Zha</w:t>
            </w:r>
            <w:proofErr w:type="spellEnd"/>
            <w:r w:rsidRPr="000A28C8">
              <w:rPr>
                <w:sz w:val="20"/>
                <w:szCs w:val="20"/>
              </w:rPr>
              <w:t xml:space="preserve"> et al </w:t>
            </w:r>
            <w:r w:rsidR="00301E95" w:rsidRPr="000A28C8">
              <w:rPr>
                <w:sz w:val="20"/>
                <w:szCs w:val="20"/>
                <w:vertAlign w:val="superscript"/>
              </w:rPr>
              <w:t>7</w:t>
            </w:r>
            <w:r w:rsidRPr="000A28C8">
              <w:rPr>
                <w:sz w:val="20"/>
                <w:szCs w:val="20"/>
              </w:rPr>
              <w:t>(2011)</w:t>
            </w:r>
          </w:p>
        </w:tc>
        <w:tc>
          <w:tcPr>
            <w:tcW w:w="2663" w:type="dxa"/>
          </w:tcPr>
          <w:p w:rsidR="004B2CED" w:rsidRPr="000A28C8" w:rsidRDefault="004B2CED" w:rsidP="004F4471">
            <w:pPr>
              <w:jc w:val="both"/>
              <w:rPr>
                <w:sz w:val="20"/>
                <w:szCs w:val="20"/>
              </w:rPr>
            </w:pPr>
            <w:r w:rsidRPr="000A28C8">
              <w:rPr>
                <w:sz w:val="20"/>
                <w:szCs w:val="20"/>
              </w:rPr>
              <w:t>PFLCP</w:t>
            </w:r>
          </w:p>
        </w:tc>
        <w:tc>
          <w:tcPr>
            <w:tcW w:w="3251" w:type="dxa"/>
          </w:tcPr>
          <w:p w:rsidR="004B2CED" w:rsidRPr="000A28C8" w:rsidRDefault="004B2CED" w:rsidP="004F4471">
            <w:pPr>
              <w:jc w:val="both"/>
              <w:rPr>
                <w:sz w:val="20"/>
                <w:szCs w:val="20"/>
              </w:rPr>
            </w:pPr>
            <w:r w:rsidRPr="000A28C8">
              <w:rPr>
                <w:sz w:val="20"/>
                <w:szCs w:val="20"/>
              </w:rPr>
              <w:t>1.81%</w:t>
            </w:r>
          </w:p>
        </w:tc>
      </w:tr>
      <w:tr w:rsidR="004B2CED" w:rsidRPr="002C5CC4" w:rsidTr="001220E2">
        <w:tc>
          <w:tcPr>
            <w:tcW w:w="3086" w:type="dxa"/>
            <w:vMerge w:val="restart"/>
          </w:tcPr>
          <w:p w:rsidR="004B2CED" w:rsidRPr="000A28C8" w:rsidRDefault="004B2CED" w:rsidP="004F4471">
            <w:pPr>
              <w:jc w:val="both"/>
              <w:rPr>
                <w:sz w:val="20"/>
                <w:szCs w:val="20"/>
              </w:rPr>
            </w:pPr>
            <w:r w:rsidRPr="000A28C8">
              <w:rPr>
                <w:sz w:val="20"/>
                <w:szCs w:val="20"/>
              </w:rPr>
              <w:t>Present study</w:t>
            </w:r>
          </w:p>
        </w:tc>
        <w:tc>
          <w:tcPr>
            <w:tcW w:w="2663" w:type="dxa"/>
          </w:tcPr>
          <w:p w:rsidR="004B2CED" w:rsidRPr="000A28C8" w:rsidRDefault="004B2CED" w:rsidP="004F4471">
            <w:pPr>
              <w:jc w:val="both"/>
              <w:rPr>
                <w:sz w:val="20"/>
                <w:szCs w:val="20"/>
              </w:rPr>
            </w:pPr>
            <w:r w:rsidRPr="000A28C8">
              <w:rPr>
                <w:sz w:val="20"/>
                <w:szCs w:val="20"/>
              </w:rPr>
              <w:t>PFLCP</w:t>
            </w:r>
          </w:p>
        </w:tc>
        <w:tc>
          <w:tcPr>
            <w:tcW w:w="3251" w:type="dxa"/>
          </w:tcPr>
          <w:p w:rsidR="004B2CED" w:rsidRPr="000A28C8" w:rsidRDefault="004B2CED" w:rsidP="004F4471">
            <w:pPr>
              <w:jc w:val="both"/>
              <w:rPr>
                <w:sz w:val="20"/>
                <w:szCs w:val="20"/>
              </w:rPr>
            </w:pPr>
            <w:r w:rsidRPr="000A28C8">
              <w:rPr>
                <w:sz w:val="20"/>
                <w:szCs w:val="20"/>
              </w:rPr>
              <w:t>7.69%</w:t>
            </w:r>
          </w:p>
        </w:tc>
      </w:tr>
      <w:tr w:rsidR="004B2CED" w:rsidRPr="002C5CC4" w:rsidTr="001220E2">
        <w:tc>
          <w:tcPr>
            <w:tcW w:w="3086" w:type="dxa"/>
            <w:vMerge/>
          </w:tcPr>
          <w:p w:rsidR="004B2CED" w:rsidRPr="000A28C8" w:rsidRDefault="004B2CED" w:rsidP="004F4471">
            <w:pPr>
              <w:jc w:val="both"/>
              <w:rPr>
                <w:sz w:val="20"/>
                <w:szCs w:val="20"/>
              </w:rPr>
            </w:pPr>
          </w:p>
        </w:tc>
        <w:tc>
          <w:tcPr>
            <w:tcW w:w="2663" w:type="dxa"/>
          </w:tcPr>
          <w:p w:rsidR="004B2CED" w:rsidRPr="000A28C8" w:rsidRDefault="004B2CED" w:rsidP="004F4471">
            <w:pPr>
              <w:jc w:val="both"/>
              <w:rPr>
                <w:sz w:val="20"/>
                <w:szCs w:val="20"/>
              </w:rPr>
            </w:pPr>
            <w:r w:rsidRPr="000A28C8">
              <w:rPr>
                <w:sz w:val="20"/>
                <w:szCs w:val="20"/>
              </w:rPr>
              <w:t>DHS</w:t>
            </w:r>
          </w:p>
        </w:tc>
        <w:tc>
          <w:tcPr>
            <w:tcW w:w="3251" w:type="dxa"/>
          </w:tcPr>
          <w:p w:rsidR="004B2CED" w:rsidRPr="000A28C8" w:rsidRDefault="004B2CED" w:rsidP="004F4471">
            <w:pPr>
              <w:jc w:val="both"/>
              <w:rPr>
                <w:sz w:val="20"/>
                <w:szCs w:val="20"/>
              </w:rPr>
            </w:pPr>
            <w:r w:rsidRPr="000A28C8">
              <w:rPr>
                <w:sz w:val="20"/>
                <w:szCs w:val="20"/>
              </w:rPr>
              <w:t>3.84%</w:t>
            </w:r>
          </w:p>
        </w:tc>
      </w:tr>
    </w:tbl>
    <w:p w:rsidR="004B2CED" w:rsidRDefault="00F26198" w:rsidP="00F26198">
      <w:pPr>
        <w:jc w:val="center"/>
        <w:rPr>
          <w:szCs w:val="24"/>
        </w:rPr>
      </w:pPr>
      <w:r>
        <w:rPr>
          <w:szCs w:val="24"/>
        </w:rPr>
        <w:t>Table 4</w:t>
      </w:r>
    </w:p>
    <w:p w:rsidR="00F26198" w:rsidRPr="002C5CC4" w:rsidRDefault="00F26198" w:rsidP="00F26198">
      <w:pPr>
        <w:jc w:val="center"/>
        <w:rPr>
          <w:szCs w:val="24"/>
        </w:rPr>
      </w:pPr>
    </w:p>
    <w:p w:rsidR="009F6ABE" w:rsidRDefault="004B2CED" w:rsidP="004F4471">
      <w:pPr>
        <w:jc w:val="both"/>
        <w:rPr>
          <w:szCs w:val="24"/>
        </w:rPr>
      </w:pPr>
      <w:proofErr w:type="gramStart"/>
      <w:r w:rsidRPr="002C5CC4">
        <w:rPr>
          <w:szCs w:val="24"/>
        </w:rPr>
        <w:t>find</w:t>
      </w:r>
      <w:proofErr w:type="gramEnd"/>
      <w:r w:rsidRPr="002C5CC4">
        <w:rPr>
          <w:szCs w:val="24"/>
        </w:rPr>
        <w:t xml:space="preserve"> increased rate with PFLCP group , probably because of increased operative time and increased blood loss.</w:t>
      </w:r>
      <w:r w:rsidR="00F26198">
        <w:rPr>
          <w:szCs w:val="24"/>
        </w:rPr>
        <w:t xml:space="preserve"> (Table 4)</w:t>
      </w:r>
    </w:p>
    <w:p w:rsidR="000C6A89" w:rsidRPr="000A28C8" w:rsidRDefault="009F6ABE" w:rsidP="004F4471">
      <w:pPr>
        <w:jc w:val="both"/>
        <w:rPr>
          <w:sz w:val="20"/>
          <w:szCs w:val="20"/>
        </w:rPr>
      </w:pPr>
      <w:r w:rsidRPr="000A28C8">
        <w:rPr>
          <w:sz w:val="20"/>
          <w:szCs w:val="20"/>
        </w:rPr>
        <w:lastRenderedPageBreak/>
        <w:t xml:space="preserve">Union of the fractures - </w:t>
      </w:r>
      <w:r w:rsidR="000C6A89" w:rsidRPr="000A28C8">
        <w:rPr>
          <w:sz w:val="20"/>
          <w:szCs w:val="20"/>
        </w:rPr>
        <w:t xml:space="preserve">The criteria of Anderson et al (1975) were taken into account to </w:t>
      </w:r>
      <w:proofErr w:type="spellStart"/>
      <w:r w:rsidR="000C6A89" w:rsidRPr="000A28C8">
        <w:rPr>
          <w:sz w:val="20"/>
          <w:szCs w:val="20"/>
        </w:rPr>
        <w:t>asse</w:t>
      </w:r>
      <w:proofErr w:type="spellEnd"/>
      <w:r w:rsidR="000A28C8" w:rsidRPr="000A28C8">
        <w:rPr>
          <w:sz w:val="20"/>
          <w:szCs w:val="20"/>
        </w:rPr>
        <w:t xml:space="preserve"> </w:t>
      </w:r>
      <w:r w:rsidR="000A28C8" w:rsidRPr="000A28C8">
        <w:rPr>
          <w:sz w:val="20"/>
          <w:szCs w:val="20"/>
        </w:rPr>
        <w:tab/>
        <w:t xml:space="preserve">When we compare our series to previously done studies regarding infection </w:t>
      </w:r>
      <w:proofErr w:type="spellStart"/>
      <w:r w:rsidR="000A28C8" w:rsidRPr="000A28C8">
        <w:rPr>
          <w:sz w:val="20"/>
          <w:szCs w:val="20"/>
        </w:rPr>
        <w:t>rate,we</w:t>
      </w:r>
      <w:proofErr w:type="spellEnd"/>
      <w:r w:rsidR="000A28C8" w:rsidRPr="000A28C8">
        <w:rPr>
          <w:sz w:val="20"/>
          <w:szCs w:val="20"/>
        </w:rPr>
        <w:t xml:space="preserve"> </w:t>
      </w:r>
      <w:proofErr w:type="spellStart"/>
      <w:r w:rsidR="000C6A89" w:rsidRPr="000A28C8">
        <w:rPr>
          <w:sz w:val="20"/>
          <w:szCs w:val="20"/>
        </w:rPr>
        <w:t>ss</w:t>
      </w:r>
      <w:proofErr w:type="spellEnd"/>
      <w:r w:rsidR="000C6A89" w:rsidRPr="000A28C8">
        <w:rPr>
          <w:sz w:val="20"/>
          <w:szCs w:val="20"/>
        </w:rPr>
        <w:t xml:space="preserve"> the union of the fracture. All the fractures</w:t>
      </w:r>
      <w:r w:rsidRPr="000A28C8">
        <w:rPr>
          <w:sz w:val="20"/>
          <w:szCs w:val="20"/>
        </w:rPr>
        <w:t xml:space="preserve"> in PFLCP group and 25</w:t>
      </w:r>
      <w:r w:rsidR="000C6A89" w:rsidRPr="000A28C8">
        <w:rPr>
          <w:sz w:val="20"/>
          <w:szCs w:val="20"/>
        </w:rPr>
        <w:t xml:space="preserve"> cases </w:t>
      </w:r>
      <w:proofErr w:type="gramStart"/>
      <w:r w:rsidR="000C6A89" w:rsidRPr="000A28C8">
        <w:rPr>
          <w:sz w:val="20"/>
          <w:szCs w:val="20"/>
        </w:rPr>
        <w:t>in  DHS</w:t>
      </w:r>
      <w:proofErr w:type="gramEnd"/>
      <w:r w:rsidR="000C6A89" w:rsidRPr="000A28C8">
        <w:rPr>
          <w:sz w:val="20"/>
          <w:szCs w:val="20"/>
        </w:rPr>
        <w:t xml:space="preserve"> group united within 6 months of follow up, with an average of 17.8 weeks.  The time taken for union in the PFLCP group ranged from 15 to 22 weeks with a mean of 18.03 The time taken in the DHS group for radiological union ranged from 15 to 22 weeks, with a mean of 17.56 weeks .The two groups were tested using the unpaired t test to bring about the presence of a significant difference, if any between the means of time for union in the two groups. The p value was 0.185, wh</w:t>
      </w:r>
      <w:r w:rsidR="00245105" w:rsidRPr="000A28C8">
        <w:rPr>
          <w:sz w:val="20"/>
          <w:szCs w:val="20"/>
        </w:rPr>
        <w:t>ich is considered in</w:t>
      </w:r>
      <w:r w:rsidR="000C6A89" w:rsidRPr="000A28C8">
        <w:rPr>
          <w:sz w:val="20"/>
          <w:szCs w:val="20"/>
        </w:rPr>
        <w:t xml:space="preserve">significant. </w:t>
      </w:r>
      <w:proofErr w:type="spellStart"/>
      <w:r w:rsidR="000C6A89" w:rsidRPr="000A28C8">
        <w:rPr>
          <w:sz w:val="20"/>
          <w:szCs w:val="20"/>
        </w:rPr>
        <w:t>Rao</w:t>
      </w:r>
      <w:proofErr w:type="spellEnd"/>
      <w:r w:rsidR="000C6A89" w:rsidRPr="000A28C8">
        <w:rPr>
          <w:sz w:val="20"/>
          <w:szCs w:val="20"/>
        </w:rPr>
        <w:t xml:space="preserve"> et al </w:t>
      </w:r>
      <w:r w:rsidR="00301E95" w:rsidRPr="000A28C8">
        <w:rPr>
          <w:sz w:val="20"/>
          <w:szCs w:val="20"/>
          <w:vertAlign w:val="superscript"/>
        </w:rPr>
        <w:t>10</w:t>
      </w:r>
      <w:r w:rsidR="000C6A89" w:rsidRPr="000A28C8">
        <w:rPr>
          <w:sz w:val="20"/>
          <w:szCs w:val="20"/>
        </w:rPr>
        <w:t xml:space="preserve">(1983), Nakata et al </w:t>
      </w:r>
      <w:r w:rsidR="00301E95" w:rsidRPr="000A28C8">
        <w:rPr>
          <w:sz w:val="20"/>
          <w:szCs w:val="20"/>
          <w:vertAlign w:val="superscript"/>
        </w:rPr>
        <w:t>11</w:t>
      </w:r>
      <w:r w:rsidR="000C6A89" w:rsidRPr="000A28C8">
        <w:rPr>
          <w:sz w:val="20"/>
          <w:szCs w:val="20"/>
        </w:rPr>
        <w:t xml:space="preserve">(1994) reported average time for union in DHS to be 18 and 10.6 weeks respectively. </w:t>
      </w:r>
      <w:proofErr w:type="spellStart"/>
      <w:r w:rsidR="000C6A89" w:rsidRPr="000A28C8">
        <w:rPr>
          <w:sz w:val="20"/>
          <w:szCs w:val="20"/>
        </w:rPr>
        <w:t>Habernek</w:t>
      </w:r>
      <w:proofErr w:type="spellEnd"/>
      <w:r w:rsidR="000C6A89" w:rsidRPr="000A28C8">
        <w:rPr>
          <w:sz w:val="20"/>
          <w:szCs w:val="20"/>
        </w:rPr>
        <w:t xml:space="preserve"> et al (2000) calculated the mean time for union in their study using with DHS to be 12 weeks. </w:t>
      </w:r>
      <w:proofErr w:type="spellStart"/>
      <w:proofErr w:type="gramStart"/>
      <w:r w:rsidR="000C6A89" w:rsidRPr="000A28C8">
        <w:rPr>
          <w:sz w:val="20"/>
          <w:szCs w:val="20"/>
        </w:rPr>
        <w:t>Guo</w:t>
      </w:r>
      <w:proofErr w:type="spellEnd"/>
      <w:r w:rsidR="000C6A89" w:rsidRPr="000A28C8">
        <w:rPr>
          <w:sz w:val="20"/>
          <w:szCs w:val="20"/>
        </w:rPr>
        <w:t xml:space="preserve">-Chun </w:t>
      </w:r>
      <w:proofErr w:type="spellStart"/>
      <w:r w:rsidR="000C6A89" w:rsidRPr="000A28C8">
        <w:rPr>
          <w:sz w:val="20"/>
          <w:szCs w:val="20"/>
        </w:rPr>
        <w:t>Zha</w:t>
      </w:r>
      <w:proofErr w:type="spellEnd"/>
      <w:r w:rsidR="000C6A89" w:rsidRPr="000A28C8">
        <w:rPr>
          <w:sz w:val="20"/>
          <w:szCs w:val="20"/>
        </w:rPr>
        <w:t xml:space="preserve"> et al </w:t>
      </w:r>
      <w:r w:rsidR="00301E95" w:rsidRPr="000A28C8">
        <w:rPr>
          <w:sz w:val="20"/>
          <w:szCs w:val="20"/>
          <w:vertAlign w:val="superscript"/>
        </w:rPr>
        <w:t>7</w:t>
      </w:r>
      <w:r w:rsidR="000C6A89" w:rsidRPr="000A28C8">
        <w:rPr>
          <w:sz w:val="20"/>
          <w:szCs w:val="20"/>
        </w:rPr>
        <w:t xml:space="preserve">(2011) found union rate of the PFLCP for </w:t>
      </w:r>
      <w:proofErr w:type="spellStart"/>
      <w:r w:rsidR="000C6A89" w:rsidRPr="000A28C8">
        <w:rPr>
          <w:sz w:val="20"/>
          <w:szCs w:val="20"/>
        </w:rPr>
        <w:t>pertrochanteric</w:t>
      </w:r>
      <w:proofErr w:type="spellEnd"/>
      <w:r w:rsidR="000C6A89" w:rsidRPr="000A28C8">
        <w:rPr>
          <w:sz w:val="20"/>
          <w:szCs w:val="20"/>
        </w:rPr>
        <w:t xml:space="preserve"> fractures in 95%, 98% and 100% at the 3-month, 6-month and 1-year follow-up check-up</w:t>
      </w:r>
      <w:r w:rsidR="00F26198" w:rsidRPr="000A28C8">
        <w:rPr>
          <w:sz w:val="20"/>
          <w:szCs w:val="20"/>
        </w:rPr>
        <w:t>.</w:t>
      </w:r>
      <w:proofErr w:type="gramEnd"/>
      <w:r w:rsidR="00F26198" w:rsidRPr="000A28C8">
        <w:rPr>
          <w:sz w:val="20"/>
          <w:szCs w:val="20"/>
        </w:rPr>
        <w:t xml:space="preserve"> (Table 5)</w:t>
      </w:r>
    </w:p>
    <w:p w:rsidR="000C6A89" w:rsidRPr="000A28C8" w:rsidRDefault="000C6A89" w:rsidP="004F4471">
      <w:pPr>
        <w:jc w:val="both"/>
        <w:rPr>
          <w:sz w:val="20"/>
          <w:szCs w:val="20"/>
        </w:rPr>
      </w:pPr>
    </w:p>
    <w:p w:rsidR="000C6A89" w:rsidRPr="005F6C65" w:rsidRDefault="000C6A89" w:rsidP="00F26198">
      <w:pPr>
        <w:pStyle w:val="Heading1"/>
        <w:spacing w:line="276" w:lineRule="auto"/>
        <w:jc w:val="center"/>
        <w:rPr>
          <w:rFonts w:ascii="Times New Roman" w:hAnsi="Times New Roman"/>
          <w:b w:val="0"/>
          <w:sz w:val="24"/>
          <w:szCs w:val="24"/>
        </w:rPr>
      </w:pPr>
      <w:r w:rsidRPr="005F6C65">
        <w:rPr>
          <w:rFonts w:ascii="Times New Roman" w:hAnsi="Times New Roman"/>
          <w:b w:val="0"/>
          <w:sz w:val="24"/>
          <w:szCs w:val="24"/>
        </w:rPr>
        <w:t>TIME FOR UNION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5"/>
        <w:gridCol w:w="2978"/>
        <w:gridCol w:w="3004"/>
      </w:tblGrid>
      <w:tr w:rsidR="000C6A89" w:rsidRPr="002C5CC4" w:rsidTr="001220E2">
        <w:trPr>
          <w:trHeight w:val="300"/>
          <w:jc w:val="center"/>
        </w:trPr>
        <w:tc>
          <w:tcPr>
            <w:tcW w:w="2985" w:type="dxa"/>
          </w:tcPr>
          <w:p w:rsidR="000C6A89" w:rsidRPr="002C5CC4" w:rsidRDefault="000C6A89" w:rsidP="004F4471">
            <w:pPr>
              <w:jc w:val="both"/>
              <w:rPr>
                <w:b/>
                <w:bCs/>
                <w:szCs w:val="24"/>
              </w:rPr>
            </w:pPr>
            <w:r w:rsidRPr="002C5CC4">
              <w:rPr>
                <w:b/>
                <w:bCs/>
                <w:szCs w:val="24"/>
              </w:rPr>
              <w:t>Authors</w:t>
            </w:r>
          </w:p>
        </w:tc>
        <w:tc>
          <w:tcPr>
            <w:tcW w:w="2978" w:type="dxa"/>
          </w:tcPr>
          <w:p w:rsidR="000C6A89" w:rsidRPr="002C5CC4" w:rsidRDefault="000C6A89" w:rsidP="004F4471">
            <w:pPr>
              <w:jc w:val="both"/>
              <w:rPr>
                <w:b/>
                <w:bCs/>
                <w:szCs w:val="24"/>
              </w:rPr>
            </w:pPr>
            <w:r w:rsidRPr="002C5CC4">
              <w:rPr>
                <w:b/>
                <w:bCs/>
                <w:szCs w:val="24"/>
              </w:rPr>
              <w:t>Implants</w:t>
            </w:r>
          </w:p>
        </w:tc>
        <w:tc>
          <w:tcPr>
            <w:tcW w:w="3004" w:type="dxa"/>
          </w:tcPr>
          <w:p w:rsidR="000C6A89" w:rsidRPr="002C5CC4" w:rsidRDefault="000C6A89" w:rsidP="004F4471">
            <w:pPr>
              <w:jc w:val="both"/>
              <w:rPr>
                <w:b/>
                <w:bCs/>
                <w:szCs w:val="24"/>
              </w:rPr>
            </w:pPr>
            <w:r w:rsidRPr="002C5CC4">
              <w:rPr>
                <w:b/>
                <w:bCs/>
                <w:szCs w:val="24"/>
              </w:rPr>
              <w:t>Union time</w:t>
            </w:r>
          </w:p>
        </w:tc>
      </w:tr>
      <w:tr w:rsidR="000C6A89" w:rsidRPr="002C5CC4" w:rsidTr="001220E2">
        <w:trPr>
          <w:trHeight w:val="300"/>
          <w:jc w:val="center"/>
        </w:trPr>
        <w:tc>
          <w:tcPr>
            <w:tcW w:w="2985" w:type="dxa"/>
          </w:tcPr>
          <w:p w:rsidR="000C6A89" w:rsidRPr="000A28C8" w:rsidRDefault="000C6A89" w:rsidP="004F4471">
            <w:pPr>
              <w:jc w:val="both"/>
              <w:rPr>
                <w:sz w:val="20"/>
                <w:szCs w:val="20"/>
              </w:rPr>
            </w:pPr>
            <w:proofErr w:type="spellStart"/>
            <w:r w:rsidRPr="000A28C8">
              <w:rPr>
                <w:sz w:val="20"/>
                <w:szCs w:val="20"/>
              </w:rPr>
              <w:t>Rao</w:t>
            </w:r>
            <w:proofErr w:type="spellEnd"/>
            <w:r w:rsidRPr="000A28C8">
              <w:rPr>
                <w:sz w:val="20"/>
                <w:szCs w:val="20"/>
              </w:rPr>
              <w:t xml:space="preserve"> et al </w:t>
            </w:r>
            <w:r w:rsidR="00301E95" w:rsidRPr="000A28C8">
              <w:rPr>
                <w:sz w:val="20"/>
                <w:szCs w:val="20"/>
                <w:vertAlign w:val="superscript"/>
              </w:rPr>
              <w:t>10</w:t>
            </w:r>
            <w:r w:rsidRPr="000A28C8">
              <w:rPr>
                <w:sz w:val="20"/>
                <w:szCs w:val="20"/>
              </w:rPr>
              <w:t>(1983)</w:t>
            </w:r>
          </w:p>
        </w:tc>
        <w:tc>
          <w:tcPr>
            <w:tcW w:w="2978" w:type="dxa"/>
          </w:tcPr>
          <w:p w:rsidR="000C6A89" w:rsidRPr="000A28C8" w:rsidRDefault="000C6A89" w:rsidP="004F4471">
            <w:pPr>
              <w:jc w:val="both"/>
              <w:rPr>
                <w:sz w:val="20"/>
                <w:szCs w:val="20"/>
              </w:rPr>
            </w:pPr>
            <w:r w:rsidRPr="000A28C8">
              <w:rPr>
                <w:sz w:val="20"/>
                <w:szCs w:val="20"/>
              </w:rPr>
              <w:t>DHS</w:t>
            </w:r>
          </w:p>
        </w:tc>
        <w:tc>
          <w:tcPr>
            <w:tcW w:w="3004" w:type="dxa"/>
          </w:tcPr>
          <w:p w:rsidR="000C6A89" w:rsidRPr="000A28C8" w:rsidRDefault="000C6A89" w:rsidP="004F4471">
            <w:pPr>
              <w:jc w:val="both"/>
              <w:rPr>
                <w:sz w:val="20"/>
                <w:szCs w:val="20"/>
              </w:rPr>
            </w:pPr>
            <w:r w:rsidRPr="000A28C8">
              <w:rPr>
                <w:sz w:val="20"/>
                <w:szCs w:val="20"/>
              </w:rPr>
              <w:t>18 weeks</w:t>
            </w:r>
          </w:p>
        </w:tc>
      </w:tr>
      <w:tr w:rsidR="000C6A89" w:rsidRPr="002C5CC4" w:rsidTr="001220E2">
        <w:trPr>
          <w:trHeight w:val="286"/>
          <w:jc w:val="center"/>
        </w:trPr>
        <w:tc>
          <w:tcPr>
            <w:tcW w:w="2985" w:type="dxa"/>
          </w:tcPr>
          <w:p w:rsidR="000C6A89" w:rsidRPr="000A28C8" w:rsidRDefault="000C6A89" w:rsidP="004F4471">
            <w:pPr>
              <w:jc w:val="both"/>
              <w:rPr>
                <w:sz w:val="20"/>
                <w:szCs w:val="20"/>
              </w:rPr>
            </w:pPr>
            <w:proofErr w:type="spellStart"/>
            <w:r w:rsidRPr="000A28C8">
              <w:rPr>
                <w:sz w:val="20"/>
                <w:szCs w:val="20"/>
              </w:rPr>
              <w:t>Birdle</w:t>
            </w:r>
            <w:proofErr w:type="spellEnd"/>
            <w:r w:rsidRPr="000A28C8">
              <w:rPr>
                <w:sz w:val="20"/>
                <w:szCs w:val="20"/>
              </w:rPr>
              <w:t xml:space="preserve"> et al (1990)</w:t>
            </w:r>
          </w:p>
        </w:tc>
        <w:tc>
          <w:tcPr>
            <w:tcW w:w="2978" w:type="dxa"/>
          </w:tcPr>
          <w:p w:rsidR="000C6A89" w:rsidRPr="000A28C8" w:rsidRDefault="000C6A89" w:rsidP="004F4471">
            <w:pPr>
              <w:jc w:val="both"/>
              <w:rPr>
                <w:sz w:val="20"/>
                <w:szCs w:val="20"/>
              </w:rPr>
            </w:pPr>
            <w:r w:rsidRPr="000A28C8">
              <w:rPr>
                <w:sz w:val="20"/>
                <w:szCs w:val="20"/>
              </w:rPr>
              <w:t>DHS</w:t>
            </w:r>
          </w:p>
        </w:tc>
        <w:tc>
          <w:tcPr>
            <w:tcW w:w="3004" w:type="dxa"/>
          </w:tcPr>
          <w:p w:rsidR="000C6A89" w:rsidRPr="000A28C8" w:rsidRDefault="000C6A89" w:rsidP="004F4471">
            <w:pPr>
              <w:jc w:val="both"/>
              <w:rPr>
                <w:sz w:val="20"/>
                <w:szCs w:val="20"/>
              </w:rPr>
            </w:pPr>
            <w:r w:rsidRPr="000A28C8">
              <w:rPr>
                <w:sz w:val="20"/>
                <w:szCs w:val="20"/>
              </w:rPr>
              <w:t>24 weeks</w:t>
            </w:r>
          </w:p>
        </w:tc>
      </w:tr>
      <w:tr w:rsidR="000C6A89" w:rsidRPr="002C5CC4" w:rsidTr="001220E2">
        <w:trPr>
          <w:trHeight w:val="300"/>
          <w:jc w:val="center"/>
        </w:trPr>
        <w:tc>
          <w:tcPr>
            <w:tcW w:w="2985" w:type="dxa"/>
          </w:tcPr>
          <w:p w:rsidR="000C6A89" w:rsidRPr="000A28C8" w:rsidRDefault="000C6A89" w:rsidP="004F4471">
            <w:pPr>
              <w:jc w:val="both"/>
              <w:rPr>
                <w:sz w:val="20"/>
                <w:szCs w:val="20"/>
              </w:rPr>
            </w:pPr>
            <w:r w:rsidRPr="000A28C8">
              <w:rPr>
                <w:sz w:val="20"/>
                <w:szCs w:val="20"/>
              </w:rPr>
              <w:t xml:space="preserve">Nakata et al </w:t>
            </w:r>
            <w:r w:rsidR="00301E95" w:rsidRPr="000A28C8">
              <w:rPr>
                <w:sz w:val="20"/>
                <w:szCs w:val="20"/>
                <w:vertAlign w:val="superscript"/>
              </w:rPr>
              <w:t>11</w:t>
            </w:r>
            <w:r w:rsidRPr="000A28C8">
              <w:rPr>
                <w:sz w:val="20"/>
                <w:szCs w:val="20"/>
              </w:rPr>
              <w:t>(1994)</w:t>
            </w:r>
          </w:p>
        </w:tc>
        <w:tc>
          <w:tcPr>
            <w:tcW w:w="2978" w:type="dxa"/>
          </w:tcPr>
          <w:p w:rsidR="000C6A89" w:rsidRPr="000A28C8" w:rsidRDefault="000C6A89" w:rsidP="004F4471">
            <w:pPr>
              <w:jc w:val="both"/>
              <w:rPr>
                <w:sz w:val="20"/>
                <w:szCs w:val="20"/>
              </w:rPr>
            </w:pPr>
            <w:r w:rsidRPr="000A28C8">
              <w:rPr>
                <w:sz w:val="20"/>
                <w:szCs w:val="20"/>
              </w:rPr>
              <w:t>DHS</w:t>
            </w:r>
          </w:p>
        </w:tc>
        <w:tc>
          <w:tcPr>
            <w:tcW w:w="3004" w:type="dxa"/>
          </w:tcPr>
          <w:p w:rsidR="000C6A89" w:rsidRPr="000A28C8" w:rsidRDefault="000C6A89" w:rsidP="004F4471">
            <w:pPr>
              <w:jc w:val="both"/>
              <w:rPr>
                <w:sz w:val="20"/>
                <w:szCs w:val="20"/>
              </w:rPr>
            </w:pPr>
            <w:r w:rsidRPr="000A28C8">
              <w:rPr>
                <w:sz w:val="20"/>
                <w:szCs w:val="20"/>
              </w:rPr>
              <w:t>10.6 weeks</w:t>
            </w:r>
          </w:p>
        </w:tc>
      </w:tr>
      <w:tr w:rsidR="000C6A89" w:rsidRPr="002C5CC4" w:rsidTr="001220E2">
        <w:trPr>
          <w:trHeight w:val="300"/>
          <w:jc w:val="center"/>
        </w:trPr>
        <w:tc>
          <w:tcPr>
            <w:tcW w:w="2985" w:type="dxa"/>
          </w:tcPr>
          <w:p w:rsidR="000C6A89" w:rsidRPr="000A28C8" w:rsidRDefault="000C6A89" w:rsidP="004F4471">
            <w:pPr>
              <w:jc w:val="both"/>
              <w:rPr>
                <w:sz w:val="20"/>
                <w:szCs w:val="20"/>
              </w:rPr>
            </w:pPr>
            <w:proofErr w:type="spellStart"/>
            <w:r w:rsidRPr="000A28C8">
              <w:rPr>
                <w:sz w:val="20"/>
                <w:szCs w:val="20"/>
              </w:rPr>
              <w:t>Habernek</w:t>
            </w:r>
            <w:proofErr w:type="spellEnd"/>
            <w:r w:rsidRPr="000A28C8">
              <w:rPr>
                <w:sz w:val="20"/>
                <w:szCs w:val="20"/>
              </w:rPr>
              <w:t xml:space="preserve"> et al (2000) </w:t>
            </w:r>
          </w:p>
        </w:tc>
        <w:tc>
          <w:tcPr>
            <w:tcW w:w="2978" w:type="dxa"/>
          </w:tcPr>
          <w:p w:rsidR="000C6A89" w:rsidRPr="000A28C8" w:rsidRDefault="000C6A89" w:rsidP="004F4471">
            <w:pPr>
              <w:jc w:val="both"/>
              <w:rPr>
                <w:sz w:val="20"/>
                <w:szCs w:val="20"/>
              </w:rPr>
            </w:pPr>
            <w:r w:rsidRPr="000A28C8">
              <w:rPr>
                <w:sz w:val="20"/>
                <w:szCs w:val="20"/>
              </w:rPr>
              <w:t xml:space="preserve"> DHS</w:t>
            </w:r>
          </w:p>
        </w:tc>
        <w:tc>
          <w:tcPr>
            <w:tcW w:w="3004" w:type="dxa"/>
          </w:tcPr>
          <w:p w:rsidR="000C6A89" w:rsidRPr="000A28C8" w:rsidRDefault="000C6A89" w:rsidP="004F4471">
            <w:pPr>
              <w:jc w:val="both"/>
              <w:rPr>
                <w:sz w:val="20"/>
                <w:szCs w:val="20"/>
              </w:rPr>
            </w:pPr>
            <w:r w:rsidRPr="000A28C8">
              <w:rPr>
                <w:sz w:val="20"/>
                <w:szCs w:val="20"/>
              </w:rPr>
              <w:t>12 weeks</w:t>
            </w:r>
          </w:p>
        </w:tc>
      </w:tr>
      <w:tr w:rsidR="000C6A89" w:rsidRPr="002C5CC4" w:rsidTr="001220E2">
        <w:trPr>
          <w:trHeight w:val="300"/>
          <w:jc w:val="center"/>
        </w:trPr>
        <w:tc>
          <w:tcPr>
            <w:tcW w:w="2985" w:type="dxa"/>
            <w:vMerge w:val="restart"/>
          </w:tcPr>
          <w:p w:rsidR="000C6A89" w:rsidRPr="000A28C8" w:rsidRDefault="000C6A89" w:rsidP="004F4471">
            <w:pPr>
              <w:jc w:val="both"/>
              <w:rPr>
                <w:sz w:val="20"/>
                <w:szCs w:val="20"/>
              </w:rPr>
            </w:pPr>
            <w:r w:rsidRPr="000A28C8">
              <w:rPr>
                <w:sz w:val="20"/>
                <w:szCs w:val="20"/>
              </w:rPr>
              <w:t>Present study</w:t>
            </w:r>
          </w:p>
        </w:tc>
        <w:tc>
          <w:tcPr>
            <w:tcW w:w="2978" w:type="dxa"/>
          </w:tcPr>
          <w:p w:rsidR="000C6A89" w:rsidRPr="000A28C8" w:rsidRDefault="000C6A89" w:rsidP="004F4471">
            <w:pPr>
              <w:jc w:val="both"/>
              <w:rPr>
                <w:sz w:val="20"/>
                <w:szCs w:val="20"/>
              </w:rPr>
            </w:pPr>
            <w:r w:rsidRPr="000A28C8">
              <w:rPr>
                <w:sz w:val="20"/>
                <w:szCs w:val="20"/>
              </w:rPr>
              <w:t>PFLCP</w:t>
            </w:r>
          </w:p>
        </w:tc>
        <w:tc>
          <w:tcPr>
            <w:tcW w:w="3004" w:type="dxa"/>
          </w:tcPr>
          <w:p w:rsidR="000C6A89" w:rsidRPr="000A28C8" w:rsidRDefault="000C6A89" w:rsidP="004F4471">
            <w:pPr>
              <w:jc w:val="both"/>
              <w:rPr>
                <w:sz w:val="20"/>
                <w:szCs w:val="20"/>
              </w:rPr>
            </w:pPr>
            <w:r w:rsidRPr="000A28C8">
              <w:rPr>
                <w:sz w:val="20"/>
                <w:szCs w:val="20"/>
              </w:rPr>
              <w:t>18.03 weeks</w:t>
            </w:r>
          </w:p>
        </w:tc>
      </w:tr>
      <w:tr w:rsidR="000C6A89" w:rsidRPr="002C5CC4" w:rsidTr="001220E2">
        <w:trPr>
          <w:trHeight w:val="300"/>
          <w:jc w:val="center"/>
        </w:trPr>
        <w:tc>
          <w:tcPr>
            <w:tcW w:w="2985" w:type="dxa"/>
            <w:vMerge/>
          </w:tcPr>
          <w:p w:rsidR="000C6A89" w:rsidRPr="000A28C8" w:rsidRDefault="000C6A89" w:rsidP="004F4471">
            <w:pPr>
              <w:jc w:val="both"/>
              <w:rPr>
                <w:sz w:val="20"/>
                <w:szCs w:val="20"/>
              </w:rPr>
            </w:pPr>
          </w:p>
        </w:tc>
        <w:tc>
          <w:tcPr>
            <w:tcW w:w="2978" w:type="dxa"/>
          </w:tcPr>
          <w:p w:rsidR="000C6A89" w:rsidRPr="000A28C8" w:rsidRDefault="000C6A89" w:rsidP="004F4471">
            <w:pPr>
              <w:jc w:val="both"/>
              <w:rPr>
                <w:sz w:val="20"/>
                <w:szCs w:val="20"/>
              </w:rPr>
            </w:pPr>
            <w:r w:rsidRPr="000A28C8">
              <w:rPr>
                <w:sz w:val="20"/>
                <w:szCs w:val="20"/>
              </w:rPr>
              <w:t>DHS</w:t>
            </w:r>
          </w:p>
        </w:tc>
        <w:tc>
          <w:tcPr>
            <w:tcW w:w="3004" w:type="dxa"/>
          </w:tcPr>
          <w:p w:rsidR="000C6A89" w:rsidRPr="000A28C8" w:rsidRDefault="000C6A89" w:rsidP="004F4471">
            <w:pPr>
              <w:jc w:val="both"/>
              <w:rPr>
                <w:sz w:val="20"/>
                <w:szCs w:val="20"/>
              </w:rPr>
            </w:pPr>
            <w:r w:rsidRPr="000A28C8">
              <w:rPr>
                <w:sz w:val="20"/>
                <w:szCs w:val="20"/>
              </w:rPr>
              <w:t>17.56 weeks</w:t>
            </w:r>
          </w:p>
        </w:tc>
      </w:tr>
    </w:tbl>
    <w:p w:rsidR="000C6A89" w:rsidRDefault="00F26198" w:rsidP="00F26198">
      <w:pPr>
        <w:jc w:val="center"/>
        <w:rPr>
          <w:szCs w:val="24"/>
        </w:rPr>
      </w:pPr>
      <w:r>
        <w:rPr>
          <w:szCs w:val="24"/>
        </w:rPr>
        <w:t>Table 5</w:t>
      </w:r>
    </w:p>
    <w:p w:rsidR="00F26198" w:rsidRPr="002C5CC4" w:rsidRDefault="00F26198" w:rsidP="00F26198">
      <w:pPr>
        <w:jc w:val="center"/>
        <w:rPr>
          <w:szCs w:val="24"/>
        </w:rPr>
      </w:pPr>
    </w:p>
    <w:p w:rsidR="000C6A89" w:rsidRPr="000A28C8" w:rsidRDefault="000C6A89" w:rsidP="004F4471">
      <w:pPr>
        <w:jc w:val="both"/>
        <w:rPr>
          <w:sz w:val="20"/>
          <w:szCs w:val="20"/>
        </w:rPr>
      </w:pPr>
      <w:r w:rsidRPr="000A28C8">
        <w:rPr>
          <w:sz w:val="20"/>
          <w:szCs w:val="20"/>
        </w:rPr>
        <w:t>When we compare our series to previously done studies regarding union of fracture, we find comparable result.</w:t>
      </w:r>
    </w:p>
    <w:p w:rsidR="000C6A89" w:rsidRPr="000A28C8" w:rsidRDefault="000C6A89" w:rsidP="004F4471">
      <w:pPr>
        <w:jc w:val="both"/>
        <w:rPr>
          <w:sz w:val="20"/>
          <w:szCs w:val="20"/>
        </w:rPr>
      </w:pPr>
    </w:p>
    <w:p w:rsidR="000C6A89" w:rsidRPr="000A28C8" w:rsidRDefault="000C6A89" w:rsidP="004F4471">
      <w:pPr>
        <w:jc w:val="both"/>
        <w:rPr>
          <w:sz w:val="20"/>
          <w:szCs w:val="20"/>
        </w:rPr>
      </w:pPr>
      <w:r w:rsidRPr="000A28C8">
        <w:rPr>
          <w:sz w:val="20"/>
          <w:szCs w:val="20"/>
        </w:rPr>
        <w:t>Most authors reported no cases of non union in their series (</w:t>
      </w:r>
      <w:proofErr w:type="spellStart"/>
      <w:r w:rsidRPr="000A28C8">
        <w:rPr>
          <w:sz w:val="20"/>
          <w:szCs w:val="20"/>
        </w:rPr>
        <w:t>Boldin</w:t>
      </w:r>
      <w:proofErr w:type="spellEnd"/>
      <w:r w:rsidRPr="000A28C8">
        <w:rPr>
          <w:sz w:val="20"/>
          <w:szCs w:val="20"/>
        </w:rPr>
        <w:t xml:space="preserve"> </w:t>
      </w:r>
      <w:proofErr w:type="gramStart"/>
      <w:r w:rsidRPr="000A28C8">
        <w:rPr>
          <w:sz w:val="20"/>
          <w:szCs w:val="20"/>
        </w:rPr>
        <w:t>et</w:t>
      </w:r>
      <w:proofErr w:type="gramEnd"/>
      <w:r w:rsidRPr="000A28C8">
        <w:rPr>
          <w:sz w:val="20"/>
          <w:szCs w:val="20"/>
        </w:rPr>
        <w:t xml:space="preserve"> al</w:t>
      </w:r>
      <w:r w:rsidR="00301E95" w:rsidRPr="000A28C8">
        <w:rPr>
          <w:sz w:val="20"/>
          <w:szCs w:val="20"/>
          <w:vertAlign w:val="superscript"/>
        </w:rPr>
        <w:t>12</w:t>
      </w:r>
      <w:r w:rsidRPr="000A28C8">
        <w:rPr>
          <w:sz w:val="20"/>
          <w:szCs w:val="20"/>
        </w:rPr>
        <w:t xml:space="preserve"> (2002), </w:t>
      </w:r>
      <w:proofErr w:type="spellStart"/>
      <w:r w:rsidRPr="000A28C8">
        <w:rPr>
          <w:sz w:val="20"/>
          <w:szCs w:val="20"/>
        </w:rPr>
        <w:t>Tyllianakis</w:t>
      </w:r>
      <w:proofErr w:type="spellEnd"/>
      <w:r w:rsidRPr="000A28C8">
        <w:rPr>
          <w:sz w:val="20"/>
          <w:szCs w:val="20"/>
        </w:rPr>
        <w:t xml:space="preserve"> et al</w:t>
      </w:r>
      <w:r w:rsidR="00301E95" w:rsidRPr="000A28C8">
        <w:rPr>
          <w:sz w:val="20"/>
          <w:szCs w:val="20"/>
          <w:vertAlign w:val="superscript"/>
        </w:rPr>
        <w:t>13</w:t>
      </w:r>
      <w:r w:rsidRPr="000A28C8">
        <w:rPr>
          <w:sz w:val="20"/>
          <w:szCs w:val="20"/>
          <w:vertAlign w:val="superscript"/>
        </w:rPr>
        <w:t xml:space="preserve"> </w:t>
      </w:r>
      <w:r w:rsidRPr="000A28C8">
        <w:rPr>
          <w:sz w:val="20"/>
          <w:szCs w:val="20"/>
        </w:rPr>
        <w:t xml:space="preserve">(2004), </w:t>
      </w:r>
      <w:proofErr w:type="spellStart"/>
      <w:r w:rsidRPr="000A28C8">
        <w:rPr>
          <w:sz w:val="20"/>
          <w:szCs w:val="20"/>
        </w:rPr>
        <w:t>Fogagnolo</w:t>
      </w:r>
      <w:proofErr w:type="spellEnd"/>
      <w:r w:rsidRPr="000A28C8">
        <w:rPr>
          <w:sz w:val="20"/>
          <w:szCs w:val="20"/>
        </w:rPr>
        <w:t xml:space="preserve"> et al </w:t>
      </w:r>
      <w:r w:rsidRPr="000A28C8">
        <w:rPr>
          <w:sz w:val="20"/>
          <w:szCs w:val="20"/>
          <w:vertAlign w:val="superscript"/>
        </w:rPr>
        <w:t>18</w:t>
      </w:r>
      <w:r w:rsidRPr="000A28C8">
        <w:rPr>
          <w:sz w:val="20"/>
          <w:szCs w:val="20"/>
        </w:rPr>
        <w:t xml:space="preserve">(2004), </w:t>
      </w:r>
      <w:proofErr w:type="spellStart"/>
      <w:r w:rsidRPr="000A28C8">
        <w:rPr>
          <w:sz w:val="20"/>
          <w:szCs w:val="20"/>
        </w:rPr>
        <w:t>Ulfin</w:t>
      </w:r>
      <w:proofErr w:type="spellEnd"/>
      <w:r w:rsidRPr="000A28C8">
        <w:rPr>
          <w:sz w:val="20"/>
          <w:szCs w:val="20"/>
        </w:rPr>
        <w:t xml:space="preserve"> et al (2007)).  However, </w:t>
      </w:r>
      <w:proofErr w:type="spellStart"/>
      <w:r w:rsidRPr="000A28C8">
        <w:rPr>
          <w:sz w:val="20"/>
          <w:szCs w:val="20"/>
        </w:rPr>
        <w:t>Gadegone</w:t>
      </w:r>
      <w:proofErr w:type="spellEnd"/>
      <w:r w:rsidRPr="000A28C8">
        <w:rPr>
          <w:sz w:val="20"/>
          <w:szCs w:val="20"/>
        </w:rPr>
        <w:t xml:space="preserve"> </w:t>
      </w:r>
      <w:proofErr w:type="gramStart"/>
      <w:r w:rsidRPr="000A28C8">
        <w:rPr>
          <w:sz w:val="20"/>
          <w:szCs w:val="20"/>
        </w:rPr>
        <w:t>et</w:t>
      </w:r>
      <w:proofErr w:type="gramEnd"/>
      <w:r w:rsidRPr="000A28C8">
        <w:rPr>
          <w:sz w:val="20"/>
          <w:szCs w:val="20"/>
        </w:rPr>
        <w:t xml:space="preserve"> al</w:t>
      </w:r>
      <w:r w:rsidRPr="000A28C8">
        <w:rPr>
          <w:sz w:val="20"/>
          <w:szCs w:val="20"/>
          <w:vertAlign w:val="superscript"/>
        </w:rPr>
        <w:t xml:space="preserve">19 </w:t>
      </w:r>
      <w:r w:rsidRPr="000A28C8">
        <w:rPr>
          <w:sz w:val="20"/>
          <w:szCs w:val="20"/>
        </w:rPr>
        <w:t xml:space="preserve">(2006) had one case of non union out of hundred. They attributed this to primary over distraction in a high </w:t>
      </w:r>
      <w:proofErr w:type="spellStart"/>
      <w:r w:rsidRPr="000A28C8">
        <w:rPr>
          <w:sz w:val="20"/>
          <w:szCs w:val="20"/>
        </w:rPr>
        <w:t>trochanteric</w:t>
      </w:r>
      <w:proofErr w:type="spellEnd"/>
      <w:r w:rsidRPr="000A28C8">
        <w:rPr>
          <w:sz w:val="20"/>
          <w:szCs w:val="20"/>
        </w:rPr>
        <w:t xml:space="preserve"> fracture. </w:t>
      </w:r>
      <w:proofErr w:type="spellStart"/>
      <w:r w:rsidRPr="000A28C8">
        <w:rPr>
          <w:sz w:val="20"/>
          <w:szCs w:val="20"/>
        </w:rPr>
        <w:t>Kamboj</w:t>
      </w:r>
      <w:proofErr w:type="spellEnd"/>
      <w:r w:rsidRPr="000A28C8">
        <w:rPr>
          <w:sz w:val="20"/>
          <w:szCs w:val="20"/>
        </w:rPr>
        <w:t xml:space="preserve"> et al (2007) also reported 1 case of non union and 2 cases of delayed union out of 30 cases in their series. </w:t>
      </w:r>
      <w:proofErr w:type="spellStart"/>
      <w:r w:rsidRPr="000A28C8">
        <w:rPr>
          <w:sz w:val="20"/>
          <w:szCs w:val="20"/>
        </w:rPr>
        <w:t>Guo</w:t>
      </w:r>
      <w:proofErr w:type="spellEnd"/>
      <w:r w:rsidRPr="000A28C8">
        <w:rPr>
          <w:sz w:val="20"/>
          <w:szCs w:val="20"/>
        </w:rPr>
        <w:t xml:space="preserve">-Chun </w:t>
      </w:r>
      <w:proofErr w:type="spellStart"/>
      <w:r w:rsidRPr="000A28C8">
        <w:rPr>
          <w:sz w:val="20"/>
          <w:szCs w:val="20"/>
        </w:rPr>
        <w:t>Zha</w:t>
      </w:r>
      <w:proofErr w:type="spellEnd"/>
      <w:r w:rsidRPr="000A28C8">
        <w:rPr>
          <w:sz w:val="20"/>
          <w:szCs w:val="20"/>
        </w:rPr>
        <w:t xml:space="preserve"> et al </w:t>
      </w:r>
      <w:r w:rsidR="00301E95" w:rsidRPr="000A28C8">
        <w:rPr>
          <w:sz w:val="20"/>
          <w:szCs w:val="20"/>
          <w:vertAlign w:val="superscript"/>
        </w:rPr>
        <w:t>7</w:t>
      </w:r>
      <w:r w:rsidRPr="000A28C8">
        <w:rPr>
          <w:sz w:val="20"/>
          <w:szCs w:val="20"/>
        </w:rPr>
        <w:t xml:space="preserve">(2011) reported 1 case of nonunion in 110 patients treated by PFLCP. </w:t>
      </w:r>
      <w:proofErr w:type="gramStart"/>
      <w:r w:rsidRPr="000A28C8">
        <w:rPr>
          <w:sz w:val="20"/>
          <w:szCs w:val="20"/>
        </w:rPr>
        <w:t>We  encountered</w:t>
      </w:r>
      <w:proofErr w:type="gramEnd"/>
      <w:r w:rsidRPr="000A28C8">
        <w:rPr>
          <w:sz w:val="20"/>
          <w:szCs w:val="20"/>
        </w:rPr>
        <w:t xml:space="preserve"> 1 case of non union in DHS group and no case in PFLCP group. </w:t>
      </w:r>
      <w:r w:rsidR="00F26198" w:rsidRPr="000A28C8">
        <w:rPr>
          <w:sz w:val="20"/>
          <w:szCs w:val="20"/>
        </w:rPr>
        <w:t>(Table 6)</w:t>
      </w:r>
    </w:p>
    <w:p w:rsidR="00A25496" w:rsidRPr="002C5CC4" w:rsidRDefault="00A25496" w:rsidP="004F4471">
      <w:pPr>
        <w:jc w:val="both"/>
        <w:rPr>
          <w:szCs w:val="24"/>
        </w:rPr>
      </w:pPr>
    </w:p>
    <w:tbl>
      <w:tblPr>
        <w:tblStyle w:val="TableGrid"/>
        <w:tblW w:w="0" w:type="auto"/>
        <w:tblLook w:val="04A0"/>
      </w:tblPr>
      <w:tblGrid>
        <w:gridCol w:w="3000"/>
        <w:gridCol w:w="3000"/>
        <w:gridCol w:w="3000"/>
      </w:tblGrid>
      <w:tr w:rsidR="000C6A89" w:rsidRPr="002C5CC4" w:rsidTr="001220E2">
        <w:tc>
          <w:tcPr>
            <w:tcW w:w="3000" w:type="dxa"/>
          </w:tcPr>
          <w:p w:rsidR="000C6A89" w:rsidRPr="002C5CC4" w:rsidRDefault="000C6A89" w:rsidP="004F4471">
            <w:pPr>
              <w:jc w:val="both"/>
              <w:rPr>
                <w:sz w:val="24"/>
                <w:szCs w:val="24"/>
              </w:rPr>
            </w:pPr>
            <w:r w:rsidRPr="002C5CC4">
              <w:rPr>
                <w:b/>
                <w:bCs/>
                <w:sz w:val="24"/>
                <w:szCs w:val="24"/>
              </w:rPr>
              <w:t>AUTHORS</w:t>
            </w:r>
          </w:p>
        </w:tc>
        <w:tc>
          <w:tcPr>
            <w:tcW w:w="3000" w:type="dxa"/>
          </w:tcPr>
          <w:p w:rsidR="000C6A89" w:rsidRPr="002C5CC4" w:rsidRDefault="000C6A89" w:rsidP="004F4471">
            <w:pPr>
              <w:jc w:val="both"/>
              <w:rPr>
                <w:b/>
                <w:sz w:val="24"/>
                <w:szCs w:val="24"/>
              </w:rPr>
            </w:pPr>
            <w:r w:rsidRPr="002C5CC4">
              <w:rPr>
                <w:b/>
                <w:bCs/>
                <w:sz w:val="24"/>
                <w:szCs w:val="24"/>
              </w:rPr>
              <w:t>IMPLANTS</w:t>
            </w:r>
          </w:p>
        </w:tc>
        <w:tc>
          <w:tcPr>
            <w:tcW w:w="3000" w:type="dxa"/>
          </w:tcPr>
          <w:p w:rsidR="000C6A89" w:rsidRPr="002C5CC4" w:rsidRDefault="000C6A89" w:rsidP="004F4471">
            <w:pPr>
              <w:jc w:val="both"/>
              <w:rPr>
                <w:b/>
                <w:sz w:val="24"/>
                <w:szCs w:val="24"/>
              </w:rPr>
            </w:pPr>
            <w:r w:rsidRPr="002C5CC4">
              <w:rPr>
                <w:b/>
                <w:sz w:val="24"/>
                <w:szCs w:val="24"/>
              </w:rPr>
              <w:t>NONUNION RATE</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Boldin</w:t>
            </w:r>
            <w:proofErr w:type="spellEnd"/>
            <w:r w:rsidRPr="000A28C8">
              <w:rPr>
                <w:sz w:val="20"/>
                <w:szCs w:val="20"/>
              </w:rPr>
              <w:t xml:space="preserve"> et al</w:t>
            </w:r>
            <w:r w:rsidR="00301E95" w:rsidRPr="000A28C8">
              <w:rPr>
                <w:sz w:val="20"/>
                <w:szCs w:val="20"/>
                <w:vertAlign w:val="superscript"/>
              </w:rPr>
              <w:t>12</w:t>
            </w:r>
            <w:r w:rsidRPr="000A28C8">
              <w:rPr>
                <w:sz w:val="20"/>
                <w:szCs w:val="20"/>
              </w:rPr>
              <w:t xml:space="preserve"> (2002),</w:t>
            </w: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Tyllianakis</w:t>
            </w:r>
            <w:proofErr w:type="spellEnd"/>
            <w:r w:rsidRPr="000A28C8">
              <w:rPr>
                <w:sz w:val="20"/>
                <w:szCs w:val="20"/>
              </w:rPr>
              <w:t xml:space="preserve"> et al </w:t>
            </w:r>
            <w:r w:rsidR="00301E95" w:rsidRPr="000A28C8">
              <w:rPr>
                <w:sz w:val="20"/>
                <w:szCs w:val="20"/>
                <w:vertAlign w:val="superscript"/>
              </w:rPr>
              <w:t>13</w:t>
            </w:r>
            <w:r w:rsidRPr="000A28C8">
              <w:rPr>
                <w:sz w:val="20"/>
                <w:szCs w:val="20"/>
              </w:rPr>
              <w:t>(2004),</w:t>
            </w: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Fogagnolo</w:t>
            </w:r>
            <w:proofErr w:type="spellEnd"/>
            <w:r w:rsidRPr="000A28C8">
              <w:rPr>
                <w:sz w:val="20"/>
                <w:szCs w:val="20"/>
              </w:rPr>
              <w:t xml:space="preserve"> et al </w:t>
            </w:r>
            <w:r w:rsidR="00301E95" w:rsidRPr="000A28C8">
              <w:rPr>
                <w:sz w:val="20"/>
                <w:szCs w:val="20"/>
                <w:vertAlign w:val="superscript"/>
              </w:rPr>
              <w:t>14</w:t>
            </w:r>
            <w:r w:rsidRPr="000A28C8">
              <w:rPr>
                <w:sz w:val="20"/>
                <w:szCs w:val="20"/>
              </w:rPr>
              <w:t>(2004),</w:t>
            </w: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Gadegone</w:t>
            </w:r>
            <w:proofErr w:type="spellEnd"/>
            <w:r w:rsidRPr="000A28C8">
              <w:rPr>
                <w:sz w:val="20"/>
                <w:szCs w:val="20"/>
              </w:rPr>
              <w:t xml:space="preserve"> et al </w:t>
            </w:r>
            <w:r w:rsidR="00301E95" w:rsidRPr="000A28C8">
              <w:rPr>
                <w:sz w:val="20"/>
                <w:szCs w:val="20"/>
                <w:vertAlign w:val="superscript"/>
              </w:rPr>
              <w:t>15</w:t>
            </w:r>
            <w:r w:rsidRPr="000A28C8">
              <w:rPr>
                <w:sz w:val="20"/>
                <w:szCs w:val="20"/>
              </w:rPr>
              <w:t>(2006)</w:t>
            </w: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1%</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Kamboj</w:t>
            </w:r>
            <w:proofErr w:type="spellEnd"/>
            <w:r w:rsidRPr="000A28C8">
              <w:rPr>
                <w:sz w:val="20"/>
                <w:szCs w:val="20"/>
              </w:rPr>
              <w:t xml:space="preserve"> et al (2007)</w:t>
            </w: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3.33%</w:t>
            </w:r>
          </w:p>
        </w:tc>
      </w:tr>
      <w:tr w:rsidR="000C6A89" w:rsidRPr="002C5CC4" w:rsidTr="001220E2">
        <w:tc>
          <w:tcPr>
            <w:tcW w:w="3000" w:type="dxa"/>
          </w:tcPr>
          <w:p w:rsidR="000C6A89" w:rsidRPr="000A28C8" w:rsidRDefault="000C6A89" w:rsidP="004F4471">
            <w:pPr>
              <w:jc w:val="both"/>
              <w:rPr>
                <w:sz w:val="20"/>
                <w:szCs w:val="20"/>
              </w:rPr>
            </w:pPr>
            <w:proofErr w:type="spellStart"/>
            <w:r w:rsidRPr="000A28C8">
              <w:rPr>
                <w:sz w:val="20"/>
                <w:szCs w:val="20"/>
              </w:rPr>
              <w:t>Guo</w:t>
            </w:r>
            <w:proofErr w:type="spellEnd"/>
            <w:r w:rsidRPr="000A28C8">
              <w:rPr>
                <w:sz w:val="20"/>
                <w:szCs w:val="20"/>
              </w:rPr>
              <w:t xml:space="preserve">-Chun </w:t>
            </w:r>
            <w:proofErr w:type="spellStart"/>
            <w:r w:rsidRPr="000A28C8">
              <w:rPr>
                <w:sz w:val="20"/>
                <w:szCs w:val="20"/>
              </w:rPr>
              <w:t>Zha</w:t>
            </w:r>
            <w:proofErr w:type="spellEnd"/>
            <w:r w:rsidRPr="000A28C8">
              <w:rPr>
                <w:sz w:val="20"/>
                <w:szCs w:val="20"/>
              </w:rPr>
              <w:t xml:space="preserve"> et al </w:t>
            </w:r>
            <w:r w:rsidR="00301E95" w:rsidRPr="000A28C8">
              <w:rPr>
                <w:sz w:val="20"/>
                <w:szCs w:val="20"/>
                <w:vertAlign w:val="superscript"/>
              </w:rPr>
              <w:t>7</w:t>
            </w:r>
            <w:r w:rsidRPr="000A28C8">
              <w:rPr>
                <w:sz w:val="20"/>
                <w:szCs w:val="20"/>
              </w:rPr>
              <w:t>(2011)</w:t>
            </w:r>
          </w:p>
        </w:tc>
        <w:tc>
          <w:tcPr>
            <w:tcW w:w="3000" w:type="dxa"/>
          </w:tcPr>
          <w:p w:rsidR="000C6A89" w:rsidRPr="000A28C8" w:rsidRDefault="000C6A89" w:rsidP="004F4471">
            <w:pPr>
              <w:jc w:val="both"/>
              <w:rPr>
                <w:sz w:val="20"/>
                <w:szCs w:val="20"/>
              </w:rPr>
            </w:pPr>
            <w:r w:rsidRPr="000A28C8">
              <w:rPr>
                <w:sz w:val="20"/>
                <w:szCs w:val="20"/>
              </w:rPr>
              <w:t>PFLCP</w:t>
            </w:r>
          </w:p>
        </w:tc>
        <w:tc>
          <w:tcPr>
            <w:tcW w:w="3000" w:type="dxa"/>
          </w:tcPr>
          <w:p w:rsidR="000C6A89" w:rsidRPr="000A28C8" w:rsidRDefault="000C6A89" w:rsidP="004F4471">
            <w:pPr>
              <w:jc w:val="both"/>
              <w:rPr>
                <w:sz w:val="20"/>
                <w:szCs w:val="20"/>
              </w:rPr>
            </w:pPr>
            <w:r w:rsidRPr="000A28C8">
              <w:rPr>
                <w:sz w:val="20"/>
                <w:szCs w:val="20"/>
              </w:rPr>
              <w:t>0.9%</w:t>
            </w:r>
          </w:p>
        </w:tc>
      </w:tr>
      <w:tr w:rsidR="000C6A89" w:rsidRPr="002C5CC4" w:rsidTr="001220E2">
        <w:tc>
          <w:tcPr>
            <w:tcW w:w="3000" w:type="dxa"/>
            <w:vMerge w:val="restart"/>
          </w:tcPr>
          <w:p w:rsidR="000C6A89" w:rsidRPr="000A28C8" w:rsidRDefault="000C6A89" w:rsidP="004F4471">
            <w:pPr>
              <w:jc w:val="both"/>
              <w:rPr>
                <w:sz w:val="20"/>
                <w:szCs w:val="20"/>
              </w:rPr>
            </w:pPr>
            <w:r w:rsidRPr="000A28C8">
              <w:rPr>
                <w:sz w:val="20"/>
                <w:szCs w:val="20"/>
              </w:rPr>
              <w:t>Present  study</w:t>
            </w:r>
          </w:p>
        </w:tc>
        <w:tc>
          <w:tcPr>
            <w:tcW w:w="3000" w:type="dxa"/>
          </w:tcPr>
          <w:p w:rsidR="000C6A89" w:rsidRPr="000A28C8" w:rsidRDefault="000C6A89" w:rsidP="004F4471">
            <w:pPr>
              <w:jc w:val="both"/>
              <w:rPr>
                <w:sz w:val="20"/>
                <w:szCs w:val="20"/>
              </w:rPr>
            </w:pPr>
            <w:r w:rsidRPr="000A28C8">
              <w:rPr>
                <w:sz w:val="20"/>
                <w:szCs w:val="20"/>
              </w:rPr>
              <w:t>PFLCP</w:t>
            </w:r>
          </w:p>
        </w:tc>
        <w:tc>
          <w:tcPr>
            <w:tcW w:w="3000" w:type="dxa"/>
          </w:tcPr>
          <w:p w:rsidR="000C6A89" w:rsidRPr="000A28C8" w:rsidRDefault="000C6A89" w:rsidP="004F4471">
            <w:pPr>
              <w:jc w:val="both"/>
              <w:rPr>
                <w:sz w:val="20"/>
                <w:szCs w:val="20"/>
              </w:rPr>
            </w:pPr>
            <w:r w:rsidRPr="000A28C8">
              <w:rPr>
                <w:sz w:val="20"/>
                <w:szCs w:val="20"/>
              </w:rPr>
              <w:t>-</w:t>
            </w:r>
          </w:p>
        </w:tc>
      </w:tr>
      <w:tr w:rsidR="000C6A89" w:rsidRPr="002C5CC4" w:rsidTr="001220E2">
        <w:tc>
          <w:tcPr>
            <w:tcW w:w="3000" w:type="dxa"/>
            <w:vMerge/>
          </w:tcPr>
          <w:p w:rsidR="000C6A89" w:rsidRPr="000A28C8" w:rsidRDefault="000C6A89" w:rsidP="004F4471">
            <w:pPr>
              <w:jc w:val="both"/>
              <w:rPr>
                <w:sz w:val="20"/>
                <w:szCs w:val="20"/>
              </w:rPr>
            </w:pPr>
          </w:p>
        </w:tc>
        <w:tc>
          <w:tcPr>
            <w:tcW w:w="3000" w:type="dxa"/>
          </w:tcPr>
          <w:p w:rsidR="000C6A89" w:rsidRPr="000A28C8" w:rsidRDefault="000C6A89" w:rsidP="004F4471">
            <w:pPr>
              <w:jc w:val="both"/>
              <w:rPr>
                <w:sz w:val="20"/>
                <w:szCs w:val="20"/>
              </w:rPr>
            </w:pPr>
            <w:r w:rsidRPr="000A28C8">
              <w:rPr>
                <w:sz w:val="20"/>
                <w:szCs w:val="20"/>
              </w:rPr>
              <w:t>DHS</w:t>
            </w:r>
          </w:p>
        </w:tc>
        <w:tc>
          <w:tcPr>
            <w:tcW w:w="3000" w:type="dxa"/>
          </w:tcPr>
          <w:p w:rsidR="000C6A89" w:rsidRPr="000A28C8" w:rsidRDefault="000C6A89" w:rsidP="004F4471">
            <w:pPr>
              <w:jc w:val="both"/>
              <w:rPr>
                <w:sz w:val="20"/>
                <w:szCs w:val="20"/>
              </w:rPr>
            </w:pPr>
            <w:r w:rsidRPr="000A28C8">
              <w:rPr>
                <w:sz w:val="20"/>
                <w:szCs w:val="20"/>
              </w:rPr>
              <w:t>3.84%</w:t>
            </w:r>
          </w:p>
        </w:tc>
      </w:tr>
    </w:tbl>
    <w:p w:rsidR="000C6A89" w:rsidRPr="002C5CC4" w:rsidRDefault="000C6A89" w:rsidP="004F4471">
      <w:pPr>
        <w:jc w:val="both"/>
        <w:rPr>
          <w:szCs w:val="24"/>
        </w:rPr>
      </w:pPr>
    </w:p>
    <w:p w:rsidR="000C6A89" w:rsidRPr="002C5CC4" w:rsidRDefault="00F26198" w:rsidP="00F26198">
      <w:pPr>
        <w:jc w:val="center"/>
        <w:rPr>
          <w:szCs w:val="24"/>
        </w:rPr>
      </w:pPr>
      <w:r>
        <w:rPr>
          <w:szCs w:val="24"/>
        </w:rPr>
        <w:t>Table 6</w:t>
      </w:r>
    </w:p>
    <w:p w:rsidR="000C6A89" w:rsidRPr="002C5CC4" w:rsidRDefault="000C6A89" w:rsidP="004F4471">
      <w:pPr>
        <w:jc w:val="both"/>
        <w:rPr>
          <w:szCs w:val="24"/>
        </w:rPr>
      </w:pPr>
      <w:r w:rsidRPr="000A28C8">
        <w:rPr>
          <w:sz w:val="20"/>
          <w:szCs w:val="20"/>
        </w:rPr>
        <w:t>When we compare our series to previously done studies regarding non-</w:t>
      </w:r>
      <w:proofErr w:type="gramStart"/>
      <w:r w:rsidRPr="000A28C8">
        <w:rPr>
          <w:sz w:val="20"/>
          <w:szCs w:val="20"/>
        </w:rPr>
        <w:t>union ,</w:t>
      </w:r>
      <w:proofErr w:type="gramEnd"/>
      <w:r w:rsidRPr="000A28C8">
        <w:rPr>
          <w:sz w:val="20"/>
          <w:szCs w:val="20"/>
        </w:rPr>
        <w:t xml:space="preserve"> we find comparable results</w:t>
      </w:r>
      <w:r w:rsidRPr="002C5CC4">
        <w:rPr>
          <w:szCs w:val="24"/>
        </w:rPr>
        <w:t>.</w:t>
      </w:r>
    </w:p>
    <w:p w:rsidR="00CB5240" w:rsidRDefault="00CB5240" w:rsidP="004F4471">
      <w:pPr>
        <w:pStyle w:val="PlainText"/>
        <w:spacing w:after="40"/>
        <w:jc w:val="both"/>
        <w:rPr>
          <w:rFonts w:ascii="Times New Roman" w:hAnsi="Times New Roman"/>
          <w:b/>
          <w:sz w:val="24"/>
          <w:szCs w:val="24"/>
        </w:rPr>
      </w:pPr>
    </w:p>
    <w:p w:rsidR="000A28C8" w:rsidRPr="002C5CC4" w:rsidRDefault="000A28C8" w:rsidP="004F4471">
      <w:pPr>
        <w:pStyle w:val="PlainText"/>
        <w:spacing w:after="40"/>
        <w:jc w:val="both"/>
        <w:rPr>
          <w:rFonts w:ascii="Times New Roman" w:hAnsi="Times New Roman"/>
          <w:b/>
          <w:sz w:val="24"/>
          <w:szCs w:val="24"/>
        </w:rPr>
      </w:pPr>
    </w:p>
    <w:p w:rsidR="00CB5240" w:rsidRPr="002C5CC4" w:rsidRDefault="00F26198" w:rsidP="004F4471">
      <w:pPr>
        <w:pStyle w:val="PlainText"/>
        <w:spacing w:after="40"/>
        <w:jc w:val="both"/>
        <w:rPr>
          <w:rFonts w:ascii="Times New Roman" w:hAnsi="Times New Roman"/>
          <w:b/>
          <w:sz w:val="24"/>
          <w:szCs w:val="24"/>
        </w:rPr>
      </w:pPr>
      <w:r>
        <w:rPr>
          <w:rFonts w:ascii="Times New Roman" w:hAnsi="Times New Roman"/>
          <w:b/>
          <w:sz w:val="24"/>
          <w:szCs w:val="24"/>
        </w:rPr>
        <w:lastRenderedPageBreak/>
        <w:t>LIMITATINOS</w:t>
      </w:r>
    </w:p>
    <w:p w:rsidR="00316D5A" w:rsidRPr="000A28C8" w:rsidRDefault="00316D5A" w:rsidP="004F4471">
      <w:pPr>
        <w:pStyle w:val="PlainText"/>
        <w:spacing w:after="40"/>
        <w:jc w:val="both"/>
        <w:rPr>
          <w:rFonts w:ascii="Times New Roman" w:hAnsi="Times New Roman"/>
          <w:sz w:val="20"/>
          <w:szCs w:val="20"/>
        </w:rPr>
      </w:pPr>
      <w:r w:rsidRPr="000A28C8">
        <w:rPr>
          <w:rFonts w:ascii="Times New Roman" w:hAnsi="Times New Roman"/>
          <w:sz w:val="20"/>
          <w:szCs w:val="20"/>
        </w:rPr>
        <w:t xml:space="preserve">Our study had few limitations. The study was limited to 52 subjects with 26 in each group, and we would wish to recommend a study with a larger group and a longer duration to have a better evaluation of the outcome. The surgeon was new to the operative techniques and principles of PFLCP, whereas he was well versed using a DHS. Hence there could be a technical bias favoring DHS. A future study at a later date when the surgeon becomes used to </w:t>
      </w:r>
      <w:proofErr w:type="gramStart"/>
      <w:r w:rsidRPr="000A28C8">
        <w:rPr>
          <w:rFonts w:ascii="Times New Roman" w:hAnsi="Times New Roman"/>
          <w:sz w:val="20"/>
          <w:szCs w:val="20"/>
        </w:rPr>
        <w:t>PFLCP,</w:t>
      </w:r>
      <w:proofErr w:type="gramEnd"/>
      <w:r w:rsidRPr="000A28C8">
        <w:rPr>
          <w:rFonts w:ascii="Times New Roman" w:hAnsi="Times New Roman"/>
          <w:sz w:val="20"/>
          <w:szCs w:val="20"/>
        </w:rPr>
        <w:t xml:space="preserve"> would negate this bias. The study included patients only from the northeast who have different demographic characteristics, and </w:t>
      </w:r>
      <w:r w:rsidR="006A6DD6" w:rsidRPr="000A28C8">
        <w:rPr>
          <w:rFonts w:ascii="Times New Roman" w:hAnsi="Times New Roman"/>
          <w:sz w:val="20"/>
          <w:szCs w:val="20"/>
        </w:rPr>
        <w:t xml:space="preserve">the results </w:t>
      </w:r>
      <w:r w:rsidRPr="000A28C8">
        <w:rPr>
          <w:rFonts w:ascii="Times New Roman" w:hAnsi="Times New Roman"/>
          <w:sz w:val="20"/>
          <w:szCs w:val="20"/>
        </w:rPr>
        <w:t xml:space="preserve">cannot be applied to whole of India. A multicentre study involving different regions of </w:t>
      </w:r>
      <w:proofErr w:type="gramStart"/>
      <w:r w:rsidRPr="000A28C8">
        <w:rPr>
          <w:rFonts w:ascii="Times New Roman" w:hAnsi="Times New Roman"/>
          <w:sz w:val="20"/>
          <w:szCs w:val="20"/>
        </w:rPr>
        <w:t>India,</w:t>
      </w:r>
      <w:proofErr w:type="gramEnd"/>
      <w:r w:rsidRPr="000A28C8">
        <w:rPr>
          <w:rFonts w:ascii="Times New Roman" w:hAnsi="Times New Roman"/>
          <w:sz w:val="20"/>
          <w:szCs w:val="20"/>
        </w:rPr>
        <w:t xml:space="preserve"> would be </w:t>
      </w:r>
      <w:r w:rsidR="006A6DD6" w:rsidRPr="000A28C8">
        <w:rPr>
          <w:rFonts w:ascii="Times New Roman" w:hAnsi="Times New Roman"/>
          <w:sz w:val="20"/>
          <w:szCs w:val="20"/>
        </w:rPr>
        <w:t xml:space="preserve">desirable to be applied to a larger population. </w:t>
      </w:r>
    </w:p>
    <w:p w:rsidR="00CB5240" w:rsidRPr="002C5CC4" w:rsidRDefault="00CB5240" w:rsidP="004F4471">
      <w:pPr>
        <w:pStyle w:val="PlainText"/>
        <w:spacing w:after="40"/>
        <w:jc w:val="both"/>
        <w:rPr>
          <w:rFonts w:ascii="Times New Roman" w:hAnsi="Times New Roman"/>
          <w:b/>
          <w:sz w:val="24"/>
          <w:szCs w:val="24"/>
        </w:rPr>
      </w:pPr>
    </w:p>
    <w:p w:rsidR="000C6A89" w:rsidRPr="002C5CC4" w:rsidRDefault="000C6A89" w:rsidP="004F4471">
      <w:pPr>
        <w:pStyle w:val="PlainText"/>
        <w:spacing w:after="40"/>
        <w:jc w:val="both"/>
        <w:rPr>
          <w:rFonts w:ascii="Times New Roman" w:hAnsi="Times New Roman"/>
          <w:b/>
          <w:sz w:val="24"/>
          <w:szCs w:val="24"/>
        </w:rPr>
      </w:pPr>
      <w:r w:rsidRPr="002C5CC4">
        <w:rPr>
          <w:rFonts w:ascii="Times New Roman" w:hAnsi="Times New Roman"/>
          <w:b/>
          <w:sz w:val="24"/>
          <w:szCs w:val="24"/>
        </w:rPr>
        <w:t>CONCLUSION</w:t>
      </w:r>
    </w:p>
    <w:p w:rsidR="000C6A89" w:rsidRPr="002C5CC4" w:rsidRDefault="000C6A89" w:rsidP="004F4471">
      <w:pPr>
        <w:spacing w:after="200" w:line="276" w:lineRule="auto"/>
        <w:jc w:val="both"/>
        <w:rPr>
          <w:szCs w:val="24"/>
        </w:rPr>
      </w:pPr>
      <w:r w:rsidRPr="000A28C8">
        <w:rPr>
          <w:sz w:val="20"/>
          <w:szCs w:val="20"/>
        </w:rPr>
        <w:t xml:space="preserve">In </w:t>
      </w:r>
      <w:proofErr w:type="spellStart"/>
      <w:r w:rsidRPr="000A28C8">
        <w:rPr>
          <w:sz w:val="20"/>
          <w:szCs w:val="20"/>
        </w:rPr>
        <w:t>Trochanteric</w:t>
      </w:r>
      <w:proofErr w:type="spellEnd"/>
      <w:r w:rsidRPr="000A28C8">
        <w:rPr>
          <w:sz w:val="20"/>
          <w:szCs w:val="20"/>
        </w:rPr>
        <w:t xml:space="preserve"> fracture of femur, the two groups of implant, PFLCP and DHS </w:t>
      </w:r>
      <w:proofErr w:type="gramStart"/>
      <w:r w:rsidRPr="000A28C8">
        <w:rPr>
          <w:sz w:val="20"/>
          <w:szCs w:val="20"/>
        </w:rPr>
        <w:t>provides</w:t>
      </w:r>
      <w:proofErr w:type="gramEnd"/>
      <w:r w:rsidRPr="000A28C8">
        <w:rPr>
          <w:sz w:val="20"/>
          <w:szCs w:val="20"/>
        </w:rPr>
        <w:t xml:space="preserve"> excellent results in terms of fracture union as well as functional outcome. In our study there were marginally better functional results </w:t>
      </w:r>
      <w:proofErr w:type="gramStart"/>
      <w:r w:rsidRPr="000A28C8">
        <w:rPr>
          <w:sz w:val="20"/>
          <w:szCs w:val="20"/>
        </w:rPr>
        <w:t>of  DHS</w:t>
      </w:r>
      <w:proofErr w:type="gramEnd"/>
      <w:r w:rsidRPr="000A28C8">
        <w:rPr>
          <w:sz w:val="20"/>
          <w:szCs w:val="20"/>
        </w:rPr>
        <w:t xml:space="preserve"> than that of  PFLCP. But these differences could not be stressed much, due to small sample size and the differ</w:t>
      </w:r>
      <w:r w:rsidR="00A25496" w:rsidRPr="000A28C8">
        <w:rPr>
          <w:sz w:val="20"/>
          <w:szCs w:val="20"/>
        </w:rPr>
        <w:t>ence was statistically i</w:t>
      </w:r>
      <w:r w:rsidRPr="000A28C8">
        <w:rPr>
          <w:sz w:val="20"/>
          <w:szCs w:val="20"/>
        </w:rPr>
        <w:t xml:space="preserve">nsignificant. Both the implants- PFLCP and DHS are associated with low but comparable complications. The average operative time and intra operative blood loss was </w:t>
      </w:r>
      <w:proofErr w:type="gramStart"/>
      <w:r w:rsidRPr="000A28C8">
        <w:rPr>
          <w:sz w:val="20"/>
          <w:szCs w:val="20"/>
        </w:rPr>
        <w:t>more  in</w:t>
      </w:r>
      <w:proofErr w:type="gramEnd"/>
      <w:r w:rsidRPr="000A28C8">
        <w:rPr>
          <w:sz w:val="20"/>
          <w:szCs w:val="20"/>
        </w:rPr>
        <w:t xml:space="preserve"> the PFLCP group compared to the DHS group and it was found to be statistically significant. A thorough knowledge of the concept, features and the procedure of application of PFLCP is very important</w:t>
      </w:r>
      <w:r w:rsidRPr="002C5CC4">
        <w:rPr>
          <w:szCs w:val="24"/>
        </w:rPr>
        <w:t xml:space="preserve">. </w:t>
      </w:r>
    </w:p>
    <w:p w:rsidR="00613710" w:rsidRPr="00D32D92" w:rsidRDefault="00613710" w:rsidP="004F4471">
      <w:pPr>
        <w:jc w:val="both"/>
        <w:rPr>
          <w:b/>
          <w:szCs w:val="24"/>
        </w:rPr>
      </w:pPr>
      <w:r w:rsidRPr="00613710">
        <w:rPr>
          <w:b/>
          <w:szCs w:val="24"/>
        </w:rPr>
        <w:t>References</w:t>
      </w:r>
    </w:p>
    <w:p w:rsidR="00613710" w:rsidRPr="00F26198" w:rsidRDefault="00243BFD" w:rsidP="004F4471">
      <w:pPr>
        <w:jc w:val="both"/>
        <w:rPr>
          <w:sz w:val="20"/>
          <w:szCs w:val="20"/>
        </w:rPr>
      </w:pPr>
      <w:proofErr w:type="gramStart"/>
      <w:r w:rsidRPr="00F26198">
        <w:rPr>
          <w:sz w:val="20"/>
          <w:szCs w:val="20"/>
        </w:rPr>
        <w:t>1.Kyle</w:t>
      </w:r>
      <w:proofErr w:type="gramEnd"/>
      <w:r w:rsidRPr="00F26198">
        <w:rPr>
          <w:sz w:val="20"/>
          <w:szCs w:val="20"/>
        </w:rPr>
        <w:t xml:space="preserve"> RF, </w:t>
      </w:r>
      <w:proofErr w:type="spellStart"/>
      <w:r w:rsidRPr="00F26198">
        <w:rPr>
          <w:sz w:val="20"/>
          <w:szCs w:val="20"/>
        </w:rPr>
        <w:t>Gustillo</w:t>
      </w:r>
      <w:proofErr w:type="spellEnd"/>
      <w:r w:rsidRPr="00F26198">
        <w:rPr>
          <w:sz w:val="20"/>
          <w:szCs w:val="20"/>
        </w:rPr>
        <w:t xml:space="preserve"> RB, </w:t>
      </w:r>
      <w:proofErr w:type="spellStart"/>
      <w:r w:rsidRPr="00F26198">
        <w:rPr>
          <w:sz w:val="20"/>
          <w:szCs w:val="20"/>
        </w:rPr>
        <w:t>Premer</w:t>
      </w:r>
      <w:proofErr w:type="spellEnd"/>
      <w:r w:rsidRPr="00F26198">
        <w:rPr>
          <w:sz w:val="20"/>
          <w:szCs w:val="20"/>
        </w:rPr>
        <w:t xml:space="preserve"> RF. Analysis of six hundred and twenty two </w:t>
      </w:r>
      <w:proofErr w:type="spellStart"/>
      <w:r w:rsidRPr="00F26198">
        <w:rPr>
          <w:sz w:val="20"/>
          <w:szCs w:val="20"/>
        </w:rPr>
        <w:t>intertrochanteric</w:t>
      </w:r>
      <w:proofErr w:type="spellEnd"/>
      <w:r w:rsidRPr="00F26198">
        <w:rPr>
          <w:sz w:val="20"/>
          <w:szCs w:val="20"/>
        </w:rPr>
        <w:t xml:space="preserve"> </w:t>
      </w:r>
      <w:r w:rsidR="00613710" w:rsidRPr="00F26198">
        <w:rPr>
          <w:sz w:val="20"/>
          <w:szCs w:val="20"/>
        </w:rPr>
        <w:t xml:space="preserve"> </w:t>
      </w:r>
    </w:p>
    <w:p w:rsidR="00050905" w:rsidRPr="00F26198" w:rsidRDefault="00613710" w:rsidP="004F4471">
      <w:pPr>
        <w:jc w:val="both"/>
        <w:rPr>
          <w:sz w:val="20"/>
          <w:szCs w:val="20"/>
        </w:rPr>
      </w:pPr>
      <w:r w:rsidRPr="00F26198">
        <w:rPr>
          <w:sz w:val="20"/>
          <w:szCs w:val="20"/>
        </w:rPr>
        <w:t xml:space="preserve">   </w:t>
      </w:r>
      <w:proofErr w:type="gramStart"/>
      <w:r w:rsidR="00243BFD" w:rsidRPr="00F26198">
        <w:rPr>
          <w:sz w:val="20"/>
          <w:szCs w:val="20"/>
        </w:rPr>
        <w:t>hip</w:t>
      </w:r>
      <w:proofErr w:type="gramEnd"/>
      <w:r w:rsidR="00243BFD" w:rsidRPr="00F26198">
        <w:rPr>
          <w:sz w:val="20"/>
          <w:szCs w:val="20"/>
        </w:rPr>
        <w:t xml:space="preserve"> fractures. J Bone </w:t>
      </w:r>
      <w:proofErr w:type="spellStart"/>
      <w:r w:rsidR="00243BFD" w:rsidRPr="00F26198">
        <w:rPr>
          <w:sz w:val="20"/>
          <w:szCs w:val="20"/>
        </w:rPr>
        <w:t>Jt</w:t>
      </w:r>
      <w:proofErr w:type="spellEnd"/>
      <w:r w:rsidR="00243BFD" w:rsidRPr="00F26198">
        <w:rPr>
          <w:sz w:val="20"/>
          <w:szCs w:val="20"/>
        </w:rPr>
        <w:t xml:space="preserve"> </w:t>
      </w:r>
      <w:proofErr w:type="spellStart"/>
      <w:r w:rsidR="00243BFD" w:rsidRPr="00F26198">
        <w:rPr>
          <w:sz w:val="20"/>
          <w:szCs w:val="20"/>
        </w:rPr>
        <w:t>Surg</w:t>
      </w:r>
      <w:proofErr w:type="spellEnd"/>
      <w:r w:rsidR="00243BFD" w:rsidRPr="00F26198">
        <w:rPr>
          <w:sz w:val="20"/>
          <w:szCs w:val="20"/>
        </w:rPr>
        <w:t xml:space="preserve"> 1979</w:t>
      </w:r>
      <w:proofErr w:type="gramStart"/>
      <w:r w:rsidR="00243BFD" w:rsidRPr="00F26198">
        <w:rPr>
          <w:sz w:val="20"/>
          <w:szCs w:val="20"/>
        </w:rPr>
        <w:t>;61</w:t>
      </w:r>
      <w:proofErr w:type="gramEnd"/>
      <w:r w:rsidR="00243BFD" w:rsidRPr="00F26198">
        <w:rPr>
          <w:sz w:val="20"/>
          <w:szCs w:val="20"/>
        </w:rPr>
        <w:t>-A:216</w:t>
      </w:r>
    </w:p>
    <w:p w:rsidR="00613710" w:rsidRPr="00F26198" w:rsidRDefault="00613710" w:rsidP="004F4471">
      <w:pPr>
        <w:jc w:val="both"/>
        <w:rPr>
          <w:sz w:val="20"/>
          <w:szCs w:val="20"/>
          <w:lang w:val="en-IN"/>
        </w:rPr>
      </w:pPr>
      <w:r w:rsidRPr="00F26198">
        <w:rPr>
          <w:sz w:val="20"/>
          <w:szCs w:val="20"/>
        </w:rPr>
        <w:t>2.</w:t>
      </w:r>
      <w:proofErr w:type="spellStart"/>
      <w:r w:rsidRPr="00F26198">
        <w:rPr>
          <w:sz w:val="20"/>
          <w:szCs w:val="20"/>
          <w:lang w:val="en-IN"/>
        </w:rPr>
        <w:t>Hasenboehler</w:t>
      </w:r>
      <w:proofErr w:type="spellEnd"/>
      <w:r w:rsidRPr="00F26198">
        <w:rPr>
          <w:sz w:val="20"/>
          <w:szCs w:val="20"/>
          <w:lang w:val="en-IN"/>
        </w:rPr>
        <w:t xml:space="preserve"> EA, </w:t>
      </w:r>
      <w:proofErr w:type="spellStart"/>
      <w:r w:rsidRPr="00F26198">
        <w:rPr>
          <w:sz w:val="20"/>
          <w:szCs w:val="20"/>
          <w:lang w:val="en-IN"/>
        </w:rPr>
        <w:t>Agudelo</w:t>
      </w:r>
      <w:proofErr w:type="spellEnd"/>
      <w:r w:rsidRPr="00F26198">
        <w:rPr>
          <w:sz w:val="20"/>
          <w:szCs w:val="20"/>
          <w:lang w:val="en-IN"/>
        </w:rPr>
        <w:t xml:space="preserve"> JF, Morgan SJ, Smith WR, </w:t>
      </w:r>
      <w:proofErr w:type="spellStart"/>
      <w:r w:rsidRPr="00F26198">
        <w:rPr>
          <w:sz w:val="20"/>
          <w:szCs w:val="20"/>
          <w:lang w:val="en-IN"/>
        </w:rPr>
        <w:t>Hak</w:t>
      </w:r>
      <w:proofErr w:type="spellEnd"/>
      <w:r w:rsidRPr="00F26198">
        <w:rPr>
          <w:sz w:val="20"/>
          <w:szCs w:val="20"/>
          <w:lang w:val="en-IN"/>
        </w:rPr>
        <w:t xml:space="preserve"> DJ, </w:t>
      </w:r>
      <w:proofErr w:type="spellStart"/>
      <w:r w:rsidRPr="00F26198">
        <w:rPr>
          <w:sz w:val="20"/>
          <w:szCs w:val="20"/>
          <w:lang w:val="en-IN"/>
        </w:rPr>
        <w:t>Stahel</w:t>
      </w:r>
      <w:proofErr w:type="spellEnd"/>
      <w:r w:rsidRPr="00F26198">
        <w:rPr>
          <w:sz w:val="20"/>
          <w:szCs w:val="20"/>
          <w:lang w:val="en-IN"/>
        </w:rPr>
        <w:t xml:space="preserve"> PF. </w:t>
      </w:r>
      <w:hyperlink r:id="rId5" w:history="1">
        <w:r w:rsidRPr="00F26198">
          <w:rPr>
            <w:rStyle w:val="Hyperlink"/>
            <w:color w:val="auto"/>
            <w:sz w:val="20"/>
            <w:szCs w:val="20"/>
            <w:u w:val="none"/>
            <w:lang w:val="en-IN"/>
          </w:rPr>
          <w:t>Treatment of complex proximal femoral fractures with the proximal femur locking compression plate.</w:t>
        </w:r>
      </w:hyperlink>
      <w:r w:rsidRPr="00F26198">
        <w:rPr>
          <w:sz w:val="20"/>
          <w:szCs w:val="20"/>
          <w:lang w:val="en-IN"/>
        </w:rPr>
        <w:t xml:space="preserve"> 2007 Aug</w:t>
      </w:r>
      <w:proofErr w:type="gramStart"/>
      <w:r w:rsidRPr="00F26198">
        <w:rPr>
          <w:sz w:val="20"/>
          <w:szCs w:val="20"/>
          <w:lang w:val="en-IN"/>
        </w:rPr>
        <w:t>;30</w:t>
      </w:r>
      <w:proofErr w:type="gramEnd"/>
      <w:r w:rsidRPr="00F26198">
        <w:rPr>
          <w:sz w:val="20"/>
          <w:szCs w:val="20"/>
          <w:lang w:val="en-IN"/>
        </w:rPr>
        <w:t>(8):618-23</w:t>
      </w:r>
    </w:p>
    <w:p w:rsidR="0091651A" w:rsidRPr="00F26198" w:rsidRDefault="00613710" w:rsidP="004F4471">
      <w:pPr>
        <w:jc w:val="both"/>
        <w:rPr>
          <w:sz w:val="20"/>
          <w:szCs w:val="20"/>
        </w:rPr>
      </w:pPr>
      <w:r w:rsidRPr="00F26198">
        <w:rPr>
          <w:sz w:val="20"/>
          <w:szCs w:val="20"/>
          <w:lang w:val="en-IN"/>
        </w:rPr>
        <w:t xml:space="preserve">3. </w:t>
      </w:r>
      <w:r w:rsidR="0091651A" w:rsidRPr="00F26198">
        <w:rPr>
          <w:sz w:val="20"/>
          <w:szCs w:val="20"/>
        </w:rPr>
        <w:t xml:space="preserve">Bridle SH, Patel AD, Bircher M, Calvert PT (1991) Fixation of </w:t>
      </w:r>
      <w:proofErr w:type="spellStart"/>
      <w:r w:rsidR="0091651A" w:rsidRPr="00F26198">
        <w:rPr>
          <w:sz w:val="20"/>
          <w:szCs w:val="20"/>
        </w:rPr>
        <w:t>intertrochanteric</w:t>
      </w:r>
      <w:proofErr w:type="spellEnd"/>
      <w:r w:rsidR="0091651A" w:rsidRPr="00F26198">
        <w:rPr>
          <w:sz w:val="20"/>
          <w:szCs w:val="20"/>
        </w:rPr>
        <w:t xml:space="preserve"> fractures of </w:t>
      </w:r>
    </w:p>
    <w:p w:rsidR="0091651A" w:rsidRPr="00F26198" w:rsidRDefault="0091651A" w:rsidP="004F4471">
      <w:pPr>
        <w:jc w:val="both"/>
        <w:rPr>
          <w:sz w:val="20"/>
          <w:szCs w:val="20"/>
        </w:rPr>
      </w:pPr>
      <w:proofErr w:type="gramStart"/>
      <w:r w:rsidRPr="00F26198">
        <w:rPr>
          <w:sz w:val="20"/>
          <w:szCs w:val="20"/>
        </w:rPr>
        <w:t>the</w:t>
      </w:r>
      <w:proofErr w:type="gramEnd"/>
      <w:r w:rsidRPr="00F26198">
        <w:rPr>
          <w:sz w:val="20"/>
          <w:szCs w:val="20"/>
        </w:rPr>
        <w:t xml:space="preserve"> femur- A randomized </w:t>
      </w:r>
      <w:proofErr w:type="spellStart"/>
      <w:r w:rsidRPr="00F26198">
        <w:rPr>
          <w:sz w:val="20"/>
          <w:szCs w:val="20"/>
        </w:rPr>
        <w:t>properctive</w:t>
      </w:r>
      <w:proofErr w:type="spellEnd"/>
      <w:r w:rsidRPr="00F26198">
        <w:rPr>
          <w:sz w:val="20"/>
          <w:szCs w:val="20"/>
        </w:rPr>
        <w:t xml:space="preserve"> comparison of the Gamma nail and the Dynamic hip </w:t>
      </w:r>
    </w:p>
    <w:p w:rsidR="0091651A" w:rsidRPr="00F26198" w:rsidRDefault="0091651A" w:rsidP="004F4471">
      <w:pPr>
        <w:jc w:val="both"/>
        <w:rPr>
          <w:iCs/>
          <w:sz w:val="20"/>
          <w:szCs w:val="20"/>
        </w:rPr>
      </w:pPr>
      <w:proofErr w:type="gramStart"/>
      <w:r w:rsidRPr="00F26198">
        <w:rPr>
          <w:sz w:val="20"/>
          <w:szCs w:val="20"/>
        </w:rPr>
        <w:t>screw</w:t>
      </w:r>
      <w:proofErr w:type="gramEnd"/>
      <w:r w:rsidRPr="00F26198">
        <w:rPr>
          <w:iCs/>
          <w:sz w:val="20"/>
          <w:szCs w:val="20"/>
        </w:rPr>
        <w:t>. JBJS 73-B: 330-334.</w:t>
      </w:r>
    </w:p>
    <w:p w:rsidR="00765A9E" w:rsidRPr="00F26198" w:rsidRDefault="0091651A" w:rsidP="004F4471">
      <w:pPr>
        <w:tabs>
          <w:tab w:val="left" w:pos="540"/>
        </w:tabs>
        <w:jc w:val="both"/>
        <w:rPr>
          <w:iCs/>
          <w:sz w:val="20"/>
          <w:szCs w:val="20"/>
        </w:rPr>
      </w:pPr>
      <w:r w:rsidRPr="00F26198">
        <w:rPr>
          <w:iCs/>
          <w:sz w:val="20"/>
          <w:szCs w:val="20"/>
        </w:rPr>
        <w:t>4.</w:t>
      </w:r>
      <w:r w:rsidR="00765A9E" w:rsidRPr="00F26198">
        <w:rPr>
          <w:sz w:val="20"/>
          <w:szCs w:val="20"/>
        </w:rPr>
        <w:t xml:space="preserve"> </w:t>
      </w:r>
      <w:proofErr w:type="spellStart"/>
      <w:r w:rsidR="00765A9E" w:rsidRPr="00F26198">
        <w:rPr>
          <w:sz w:val="20"/>
          <w:szCs w:val="20"/>
        </w:rPr>
        <w:t>Goldhagen</w:t>
      </w:r>
      <w:proofErr w:type="spellEnd"/>
      <w:r w:rsidR="00765A9E" w:rsidRPr="00F26198">
        <w:rPr>
          <w:sz w:val="20"/>
          <w:szCs w:val="20"/>
        </w:rPr>
        <w:t xml:space="preserve"> PR, O’Connor DR, </w:t>
      </w:r>
      <w:proofErr w:type="spellStart"/>
      <w:r w:rsidR="00765A9E" w:rsidRPr="00F26198">
        <w:rPr>
          <w:sz w:val="20"/>
          <w:szCs w:val="20"/>
        </w:rPr>
        <w:t>Schwarze</w:t>
      </w:r>
      <w:proofErr w:type="spellEnd"/>
      <w:r w:rsidR="00765A9E" w:rsidRPr="00F26198">
        <w:rPr>
          <w:sz w:val="20"/>
          <w:szCs w:val="20"/>
        </w:rPr>
        <w:t xml:space="preserve"> D, </w:t>
      </w:r>
      <w:proofErr w:type="spellStart"/>
      <w:r w:rsidR="00765A9E" w:rsidRPr="00F26198">
        <w:rPr>
          <w:sz w:val="20"/>
          <w:szCs w:val="20"/>
        </w:rPr>
        <w:t>Schwarrze</w:t>
      </w:r>
      <w:proofErr w:type="spellEnd"/>
      <w:r w:rsidR="00765A9E" w:rsidRPr="00F26198">
        <w:rPr>
          <w:sz w:val="20"/>
          <w:szCs w:val="20"/>
        </w:rPr>
        <w:t xml:space="preserve"> E. (1994) </w:t>
      </w:r>
      <w:proofErr w:type="gramStart"/>
      <w:r w:rsidR="00765A9E" w:rsidRPr="00F26198">
        <w:rPr>
          <w:sz w:val="20"/>
          <w:szCs w:val="20"/>
        </w:rPr>
        <w:t>A</w:t>
      </w:r>
      <w:proofErr w:type="gramEnd"/>
      <w:r w:rsidR="00765A9E" w:rsidRPr="00F26198">
        <w:rPr>
          <w:sz w:val="20"/>
          <w:szCs w:val="20"/>
        </w:rPr>
        <w:t xml:space="preserve"> prospective comparative study of the compression hip screw and the gamma nail. </w:t>
      </w:r>
      <w:proofErr w:type="spellStart"/>
      <w:r w:rsidR="00765A9E" w:rsidRPr="00F26198">
        <w:rPr>
          <w:iCs/>
          <w:sz w:val="20"/>
          <w:szCs w:val="20"/>
        </w:rPr>
        <w:t>Jr</w:t>
      </w:r>
      <w:proofErr w:type="spellEnd"/>
      <w:r w:rsidR="00765A9E" w:rsidRPr="00F26198">
        <w:rPr>
          <w:iCs/>
          <w:sz w:val="20"/>
          <w:szCs w:val="20"/>
        </w:rPr>
        <w:t xml:space="preserve"> Orth. Trauma. 8(5):367-372.</w:t>
      </w:r>
    </w:p>
    <w:p w:rsidR="00765A9E" w:rsidRPr="00F26198" w:rsidRDefault="00765A9E" w:rsidP="004F4471">
      <w:pPr>
        <w:tabs>
          <w:tab w:val="left" w:pos="540"/>
        </w:tabs>
        <w:jc w:val="both"/>
        <w:rPr>
          <w:iCs/>
          <w:sz w:val="20"/>
          <w:szCs w:val="20"/>
        </w:rPr>
      </w:pPr>
      <w:r w:rsidRPr="00F26198">
        <w:rPr>
          <w:iCs/>
          <w:sz w:val="20"/>
          <w:szCs w:val="20"/>
        </w:rPr>
        <w:t>5.</w:t>
      </w:r>
      <w:r w:rsidRPr="00F26198">
        <w:rPr>
          <w:sz w:val="20"/>
          <w:szCs w:val="20"/>
        </w:rPr>
        <w:t xml:space="preserve"> O’Brien PJ, Meek RN, </w:t>
      </w:r>
      <w:proofErr w:type="spellStart"/>
      <w:r w:rsidRPr="00F26198">
        <w:rPr>
          <w:sz w:val="20"/>
          <w:szCs w:val="20"/>
        </w:rPr>
        <w:t>Blachut</w:t>
      </w:r>
      <w:proofErr w:type="spellEnd"/>
      <w:r w:rsidRPr="00F26198">
        <w:rPr>
          <w:sz w:val="20"/>
          <w:szCs w:val="20"/>
        </w:rPr>
        <w:t xml:space="preserve"> PA, </w:t>
      </w:r>
      <w:proofErr w:type="spellStart"/>
      <w:r w:rsidRPr="00F26198">
        <w:rPr>
          <w:sz w:val="20"/>
          <w:szCs w:val="20"/>
        </w:rPr>
        <w:t>Broekhuyse</w:t>
      </w:r>
      <w:proofErr w:type="spellEnd"/>
      <w:r w:rsidRPr="00F26198">
        <w:rPr>
          <w:sz w:val="20"/>
          <w:szCs w:val="20"/>
        </w:rPr>
        <w:t xml:space="preserve"> HM, </w:t>
      </w:r>
      <w:proofErr w:type="spellStart"/>
      <w:r w:rsidRPr="00F26198">
        <w:rPr>
          <w:sz w:val="20"/>
          <w:szCs w:val="20"/>
        </w:rPr>
        <w:t>Sabharwal</w:t>
      </w:r>
      <w:proofErr w:type="spellEnd"/>
      <w:r w:rsidRPr="00F26198">
        <w:rPr>
          <w:sz w:val="20"/>
          <w:szCs w:val="20"/>
        </w:rPr>
        <w:t xml:space="preserve"> S (1995). Fixation of </w:t>
      </w:r>
      <w:proofErr w:type="spellStart"/>
      <w:r w:rsidRPr="00F26198">
        <w:rPr>
          <w:sz w:val="20"/>
          <w:szCs w:val="20"/>
        </w:rPr>
        <w:t>intertrochanteric</w:t>
      </w:r>
      <w:proofErr w:type="spellEnd"/>
      <w:r w:rsidRPr="00F26198">
        <w:rPr>
          <w:sz w:val="20"/>
          <w:szCs w:val="20"/>
        </w:rPr>
        <w:t xml:space="preserve"> hip fractures-gamma nail versus dynamic hip screw, a randomized prospective study. </w:t>
      </w:r>
      <w:proofErr w:type="spellStart"/>
      <w:proofErr w:type="gramStart"/>
      <w:r w:rsidRPr="00F26198">
        <w:rPr>
          <w:iCs/>
          <w:sz w:val="20"/>
          <w:szCs w:val="20"/>
        </w:rPr>
        <w:t>Canad</w:t>
      </w:r>
      <w:proofErr w:type="spellEnd"/>
      <w:r w:rsidRPr="00F26198">
        <w:rPr>
          <w:iCs/>
          <w:sz w:val="20"/>
          <w:szCs w:val="20"/>
        </w:rPr>
        <w:t>.</w:t>
      </w:r>
      <w:proofErr w:type="gramEnd"/>
      <w:r w:rsidRPr="00F26198">
        <w:rPr>
          <w:iCs/>
          <w:sz w:val="20"/>
          <w:szCs w:val="20"/>
        </w:rPr>
        <w:t xml:space="preserve"> Jr. Surg. 38(6):516-520</w:t>
      </w:r>
    </w:p>
    <w:p w:rsidR="00765A9E" w:rsidRPr="00F26198" w:rsidRDefault="00765A9E" w:rsidP="004F4471">
      <w:pPr>
        <w:tabs>
          <w:tab w:val="left" w:pos="540"/>
        </w:tabs>
        <w:jc w:val="both"/>
        <w:rPr>
          <w:iCs/>
          <w:sz w:val="20"/>
          <w:szCs w:val="20"/>
        </w:rPr>
      </w:pPr>
      <w:r w:rsidRPr="00F26198">
        <w:rPr>
          <w:iCs/>
          <w:sz w:val="20"/>
          <w:szCs w:val="20"/>
        </w:rPr>
        <w:t xml:space="preserve">6. Little N.J., </w:t>
      </w:r>
      <w:proofErr w:type="spellStart"/>
      <w:r w:rsidRPr="00F26198">
        <w:rPr>
          <w:iCs/>
          <w:sz w:val="20"/>
          <w:szCs w:val="20"/>
        </w:rPr>
        <w:t>Verma</w:t>
      </w:r>
      <w:proofErr w:type="spellEnd"/>
      <w:r w:rsidRPr="00F26198">
        <w:rPr>
          <w:iCs/>
          <w:sz w:val="20"/>
          <w:szCs w:val="20"/>
        </w:rPr>
        <w:t xml:space="preserve"> V., Fernando C</w:t>
      </w:r>
      <w:proofErr w:type="gramStart"/>
      <w:r w:rsidRPr="00F26198">
        <w:rPr>
          <w:iCs/>
          <w:sz w:val="20"/>
          <w:szCs w:val="20"/>
        </w:rPr>
        <w:t>. ,</w:t>
      </w:r>
      <w:proofErr w:type="gramEnd"/>
      <w:r w:rsidRPr="00F26198">
        <w:rPr>
          <w:iCs/>
          <w:sz w:val="20"/>
          <w:szCs w:val="20"/>
        </w:rPr>
        <w:t xml:space="preserve"> Elliott D.S. ,  </w:t>
      </w:r>
      <w:proofErr w:type="spellStart"/>
      <w:r w:rsidRPr="00F26198">
        <w:rPr>
          <w:iCs/>
          <w:sz w:val="20"/>
          <w:szCs w:val="20"/>
        </w:rPr>
        <w:t>Khaleel</w:t>
      </w:r>
      <w:proofErr w:type="spellEnd"/>
      <w:r w:rsidRPr="00F26198">
        <w:rPr>
          <w:iCs/>
          <w:sz w:val="20"/>
          <w:szCs w:val="20"/>
        </w:rPr>
        <w:t xml:space="preserve"> A. ,. </w:t>
      </w:r>
      <w:proofErr w:type="gramStart"/>
      <w:r w:rsidRPr="00F26198">
        <w:rPr>
          <w:iCs/>
          <w:sz w:val="20"/>
          <w:szCs w:val="20"/>
        </w:rPr>
        <w:t xml:space="preserve">(2008). A prospective trial comparing the Holland nail with dynamic hip screw in the treatment of </w:t>
      </w:r>
      <w:proofErr w:type="spellStart"/>
      <w:r w:rsidRPr="00F26198">
        <w:rPr>
          <w:iCs/>
          <w:sz w:val="20"/>
          <w:szCs w:val="20"/>
        </w:rPr>
        <w:t>intertrochanteric</w:t>
      </w:r>
      <w:proofErr w:type="spellEnd"/>
      <w:r w:rsidRPr="00F26198">
        <w:rPr>
          <w:iCs/>
          <w:sz w:val="20"/>
          <w:szCs w:val="20"/>
        </w:rPr>
        <w:t xml:space="preserve"> fractures of the hip.</w:t>
      </w:r>
      <w:proofErr w:type="gramEnd"/>
      <w:r w:rsidRPr="00F26198">
        <w:rPr>
          <w:iCs/>
          <w:sz w:val="20"/>
          <w:szCs w:val="20"/>
        </w:rPr>
        <w:t xml:space="preserve">  JBJS 90 –B (8) 1073-1078.</w:t>
      </w:r>
    </w:p>
    <w:p w:rsidR="00765A9E" w:rsidRPr="00F26198" w:rsidRDefault="00765A9E" w:rsidP="004F4471">
      <w:pPr>
        <w:autoSpaceDE w:val="0"/>
        <w:autoSpaceDN w:val="0"/>
        <w:adjustRightInd w:val="0"/>
        <w:jc w:val="both"/>
        <w:rPr>
          <w:rFonts w:eastAsia="AdvP4DF60E"/>
          <w:sz w:val="20"/>
          <w:szCs w:val="20"/>
        </w:rPr>
      </w:pPr>
      <w:r w:rsidRPr="00F26198">
        <w:rPr>
          <w:iCs/>
          <w:sz w:val="20"/>
          <w:szCs w:val="20"/>
        </w:rPr>
        <w:t xml:space="preserve">7. </w:t>
      </w:r>
      <w:proofErr w:type="spellStart"/>
      <w:r w:rsidRPr="00F26198">
        <w:rPr>
          <w:iCs/>
          <w:sz w:val="20"/>
          <w:szCs w:val="20"/>
        </w:rPr>
        <w:t>Guo</w:t>
      </w:r>
      <w:proofErr w:type="spellEnd"/>
      <w:r w:rsidRPr="00F26198">
        <w:rPr>
          <w:iCs/>
          <w:sz w:val="20"/>
          <w:szCs w:val="20"/>
        </w:rPr>
        <w:t xml:space="preserve">-Chun </w:t>
      </w:r>
      <w:proofErr w:type="spellStart"/>
      <w:r w:rsidRPr="00F26198">
        <w:rPr>
          <w:iCs/>
          <w:sz w:val="20"/>
          <w:szCs w:val="20"/>
        </w:rPr>
        <w:t>Zha</w:t>
      </w:r>
      <w:proofErr w:type="spellEnd"/>
      <w:r w:rsidRPr="00F26198">
        <w:rPr>
          <w:iCs/>
          <w:sz w:val="20"/>
          <w:szCs w:val="20"/>
        </w:rPr>
        <w:t xml:space="preserve"> </w:t>
      </w:r>
      <w:proofErr w:type="spellStart"/>
      <w:r w:rsidRPr="00F26198">
        <w:rPr>
          <w:iCs/>
          <w:sz w:val="20"/>
          <w:szCs w:val="20"/>
        </w:rPr>
        <w:t>a,b</w:t>
      </w:r>
      <w:proofErr w:type="spellEnd"/>
      <w:r w:rsidRPr="00F26198">
        <w:rPr>
          <w:iCs/>
          <w:sz w:val="20"/>
          <w:szCs w:val="20"/>
        </w:rPr>
        <w:t xml:space="preserve">, </w:t>
      </w:r>
      <w:proofErr w:type="spellStart"/>
      <w:r w:rsidRPr="00F26198">
        <w:rPr>
          <w:iCs/>
          <w:sz w:val="20"/>
          <w:szCs w:val="20"/>
        </w:rPr>
        <w:t>Ze</w:t>
      </w:r>
      <w:proofErr w:type="spellEnd"/>
      <w:r w:rsidRPr="00F26198">
        <w:rPr>
          <w:iCs/>
          <w:sz w:val="20"/>
          <w:szCs w:val="20"/>
        </w:rPr>
        <w:t xml:space="preserve">-Lin Chen b, Xiao-Bo </w:t>
      </w:r>
      <w:proofErr w:type="spellStart"/>
      <w:r w:rsidRPr="00F26198">
        <w:rPr>
          <w:iCs/>
          <w:sz w:val="20"/>
          <w:szCs w:val="20"/>
        </w:rPr>
        <w:t>Qi</w:t>
      </w:r>
      <w:proofErr w:type="spellEnd"/>
      <w:r w:rsidRPr="00F26198">
        <w:rPr>
          <w:iCs/>
          <w:sz w:val="20"/>
          <w:szCs w:val="20"/>
        </w:rPr>
        <w:t xml:space="preserve"> b, Jun-Ying Sun.(2011).</w:t>
      </w:r>
      <w:r w:rsidRPr="00F26198">
        <w:rPr>
          <w:rFonts w:eastAsia="AdvP4DF60E"/>
          <w:sz w:val="20"/>
          <w:szCs w:val="20"/>
        </w:rPr>
        <w:t xml:space="preserve"> Treatment of </w:t>
      </w:r>
      <w:proofErr w:type="spellStart"/>
      <w:r w:rsidRPr="00F26198">
        <w:rPr>
          <w:rFonts w:eastAsia="AdvP4DF60E"/>
          <w:sz w:val="20"/>
          <w:szCs w:val="20"/>
        </w:rPr>
        <w:t>pertrochanteric</w:t>
      </w:r>
      <w:proofErr w:type="spellEnd"/>
      <w:r w:rsidRPr="00F26198">
        <w:rPr>
          <w:rFonts w:eastAsia="AdvP4DF60E"/>
          <w:sz w:val="20"/>
          <w:szCs w:val="20"/>
        </w:rPr>
        <w:t xml:space="preserve"> fractures with a proximal femur locking compression plate. Injury, Int. J. Care Injured 42 (2011) 1294–1299</w:t>
      </w:r>
    </w:p>
    <w:p w:rsidR="00765A9E" w:rsidRPr="00F26198" w:rsidRDefault="00765A9E" w:rsidP="004F4471">
      <w:pPr>
        <w:tabs>
          <w:tab w:val="left" w:pos="540"/>
        </w:tabs>
        <w:jc w:val="both"/>
        <w:rPr>
          <w:sz w:val="20"/>
          <w:szCs w:val="20"/>
        </w:rPr>
      </w:pPr>
      <w:r w:rsidRPr="00F26198">
        <w:rPr>
          <w:sz w:val="20"/>
          <w:szCs w:val="20"/>
        </w:rPr>
        <w:t xml:space="preserve">8. Larsson S, </w:t>
      </w:r>
      <w:proofErr w:type="spellStart"/>
      <w:r w:rsidRPr="00F26198">
        <w:rPr>
          <w:sz w:val="20"/>
          <w:szCs w:val="20"/>
        </w:rPr>
        <w:t>Friberg</w:t>
      </w:r>
      <w:proofErr w:type="spellEnd"/>
      <w:r w:rsidRPr="00F26198">
        <w:rPr>
          <w:sz w:val="20"/>
          <w:szCs w:val="20"/>
        </w:rPr>
        <w:t xml:space="preserve"> S, Hansson LI (1990). </w:t>
      </w:r>
      <w:proofErr w:type="spellStart"/>
      <w:r w:rsidRPr="00F26198">
        <w:rPr>
          <w:sz w:val="20"/>
          <w:szCs w:val="20"/>
        </w:rPr>
        <w:t>Trochanteric</w:t>
      </w:r>
      <w:proofErr w:type="spellEnd"/>
      <w:r w:rsidRPr="00F26198">
        <w:rPr>
          <w:sz w:val="20"/>
          <w:szCs w:val="20"/>
        </w:rPr>
        <w:t xml:space="preserve"> fractures, mobility, complication and mortality in 607 cases treated with the Sliding Screw Technique. </w:t>
      </w:r>
      <w:proofErr w:type="spellStart"/>
      <w:proofErr w:type="gramStart"/>
      <w:r w:rsidRPr="00F26198">
        <w:rPr>
          <w:iCs/>
          <w:sz w:val="20"/>
          <w:szCs w:val="20"/>
        </w:rPr>
        <w:t>Clin</w:t>
      </w:r>
      <w:proofErr w:type="spellEnd"/>
      <w:r w:rsidRPr="00F26198">
        <w:rPr>
          <w:sz w:val="20"/>
          <w:szCs w:val="20"/>
        </w:rPr>
        <w:t>.</w:t>
      </w:r>
      <w:proofErr w:type="gramEnd"/>
      <w:r w:rsidRPr="00F26198">
        <w:rPr>
          <w:sz w:val="20"/>
          <w:szCs w:val="20"/>
        </w:rPr>
        <w:t xml:space="preserve"> </w:t>
      </w:r>
      <w:r w:rsidRPr="00F26198">
        <w:rPr>
          <w:iCs/>
          <w:sz w:val="20"/>
          <w:szCs w:val="20"/>
        </w:rPr>
        <w:t>Orth. Rel. Res. 260:232-241</w:t>
      </w:r>
    </w:p>
    <w:p w:rsidR="00301E95" w:rsidRPr="00F26198" w:rsidRDefault="00765A9E" w:rsidP="004F4471">
      <w:pPr>
        <w:jc w:val="both"/>
        <w:rPr>
          <w:iCs/>
          <w:sz w:val="20"/>
          <w:szCs w:val="20"/>
        </w:rPr>
      </w:pPr>
      <w:r w:rsidRPr="00F26198">
        <w:rPr>
          <w:sz w:val="20"/>
          <w:szCs w:val="20"/>
        </w:rPr>
        <w:t>9.</w:t>
      </w:r>
      <w:r w:rsidR="00301E95" w:rsidRPr="00F26198">
        <w:rPr>
          <w:sz w:val="20"/>
          <w:szCs w:val="20"/>
        </w:rPr>
        <w:t xml:space="preserve"> Butt MS, </w:t>
      </w:r>
      <w:proofErr w:type="spellStart"/>
      <w:r w:rsidR="00301E95" w:rsidRPr="00F26198">
        <w:rPr>
          <w:sz w:val="20"/>
          <w:szCs w:val="20"/>
        </w:rPr>
        <w:t>Krikler</w:t>
      </w:r>
      <w:proofErr w:type="spellEnd"/>
      <w:r w:rsidR="00301E95" w:rsidRPr="00F26198">
        <w:rPr>
          <w:sz w:val="20"/>
          <w:szCs w:val="20"/>
        </w:rPr>
        <w:t xml:space="preserve"> SJ, Ali MS (1995), Comparison of dynamic hip screw and gamma nail-a prospective randomized controlled trial. </w:t>
      </w:r>
      <w:r w:rsidR="00301E95" w:rsidRPr="00F26198">
        <w:rPr>
          <w:iCs/>
          <w:sz w:val="20"/>
          <w:szCs w:val="20"/>
        </w:rPr>
        <w:t>Injury 26 (9): 615-618.</w:t>
      </w:r>
    </w:p>
    <w:p w:rsidR="00301E95" w:rsidRPr="00F26198" w:rsidRDefault="00301E95" w:rsidP="004F4471">
      <w:pPr>
        <w:jc w:val="both"/>
        <w:rPr>
          <w:sz w:val="20"/>
          <w:szCs w:val="20"/>
        </w:rPr>
      </w:pPr>
      <w:proofErr w:type="gramStart"/>
      <w:r w:rsidRPr="00F26198">
        <w:rPr>
          <w:iCs/>
          <w:sz w:val="20"/>
          <w:szCs w:val="20"/>
        </w:rPr>
        <w:t>10</w:t>
      </w:r>
      <w:r w:rsidRPr="00F26198">
        <w:rPr>
          <w:sz w:val="20"/>
          <w:szCs w:val="20"/>
        </w:rPr>
        <w:t xml:space="preserve">  </w:t>
      </w:r>
      <w:proofErr w:type="spellStart"/>
      <w:r w:rsidRPr="00F26198">
        <w:rPr>
          <w:sz w:val="20"/>
          <w:szCs w:val="20"/>
        </w:rPr>
        <w:t>Rao</w:t>
      </w:r>
      <w:proofErr w:type="spellEnd"/>
      <w:proofErr w:type="gramEnd"/>
      <w:r w:rsidRPr="00F26198">
        <w:rPr>
          <w:sz w:val="20"/>
          <w:szCs w:val="20"/>
        </w:rPr>
        <w:t xml:space="preserve"> JP, </w:t>
      </w:r>
      <w:proofErr w:type="spellStart"/>
      <w:r w:rsidRPr="00F26198">
        <w:rPr>
          <w:sz w:val="20"/>
          <w:szCs w:val="20"/>
        </w:rPr>
        <w:t>Banzon</w:t>
      </w:r>
      <w:proofErr w:type="spellEnd"/>
      <w:r w:rsidRPr="00F26198">
        <w:rPr>
          <w:sz w:val="20"/>
          <w:szCs w:val="20"/>
        </w:rPr>
        <w:t xml:space="preserve"> MT, Weiss AB, </w:t>
      </w:r>
      <w:proofErr w:type="spellStart"/>
      <w:r w:rsidRPr="00F26198">
        <w:rPr>
          <w:sz w:val="20"/>
          <w:szCs w:val="20"/>
        </w:rPr>
        <w:t>Rayhack</w:t>
      </w:r>
      <w:proofErr w:type="spellEnd"/>
      <w:r w:rsidRPr="00F26198">
        <w:rPr>
          <w:sz w:val="20"/>
          <w:szCs w:val="20"/>
        </w:rPr>
        <w:t xml:space="preserve"> J. (1983) Treatment of unstable </w:t>
      </w:r>
      <w:proofErr w:type="spellStart"/>
      <w:r w:rsidRPr="00F26198">
        <w:rPr>
          <w:sz w:val="20"/>
          <w:szCs w:val="20"/>
        </w:rPr>
        <w:t>intertrochanteric</w:t>
      </w:r>
      <w:proofErr w:type="spellEnd"/>
      <w:r w:rsidRPr="00F26198">
        <w:rPr>
          <w:sz w:val="20"/>
          <w:szCs w:val="20"/>
        </w:rPr>
        <w:t xml:space="preserve"> fractures with anatomic reduction and compression hip screw fixation. </w:t>
      </w:r>
      <w:proofErr w:type="spellStart"/>
      <w:proofErr w:type="gramStart"/>
      <w:r w:rsidRPr="00F26198">
        <w:rPr>
          <w:iCs/>
          <w:sz w:val="20"/>
          <w:szCs w:val="20"/>
        </w:rPr>
        <w:t>Clin</w:t>
      </w:r>
      <w:proofErr w:type="spellEnd"/>
      <w:r w:rsidRPr="00F26198">
        <w:rPr>
          <w:iCs/>
          <w:sz w:val="20"/>
          <w:szCs w:val="20"/>
        </w:rPr>
        <w:t>.</w:t>
      </w:r>
      <w:proofErr w:type="gramEnd"/>
      <w:r w:rsidRPr="00F26198">
        <w:rPr>
          <w:iCs/>
          <w:sz w:val="20"/>
          <w:szCs w:val="20"/>
        </w:rPr>
        <w:t xml:space="preserve"> Orth. Rel. Res. 175:56-71</w:t>
      </w:r>
    </w:p>
    <w:p w:rsidR="00301E95" w:rsidRPr="00F26198" w:rsidRDefault="00301E95" w:rsidP="004F4471">
      <w:pPr>
        <w:tabs>
          <w:tab w:val="left" w:pos="540"/>
        </w:tabs>
        <w:jc w:val="both"/>
        <w:rPr>
          <w:iCs/>
          <w:sz w:val="20"/>
          <w:szCs w:val="20"/>
        </w:rPr>
      </w:pPr>
      <w:r w:rsidRPr="00F26198">
        <w:rPr>
          <w:iCs/>
          <w:sz w:val="20"/>
          <w:szCs w:val="20"/>
        </w:rPr>
        <w:t>11</w:t>
      </w:r>
      <w:proofErr w:type="gramStart"/>
      <w:r w:rsidRPr="00F26198">
        <w:rPr>
          <w:iCs/>
          <w:sz w:val="20"/>
          <w:szCs w:val="20"/>
        </w:rPr>
        <w:t>.</w:t>
      </w:r>
      <w:r w:rsidRPr="00F26198">
        <w:rPr>
          <w:sz w:val="20"/>
          <w:szCs w:val="20"/>
        </w:rPr>
        <w:t>Nakata</w:t>
      </w:r>
      <w:proofErr w:type="gramEnd"/>
      <w:r w:rsidRPr="00F26198">
        <w:rPr>
          <w:sz w:val="20"/>
          <w:szCs w:val="20"/>
        </w:rPr>
        <w:t xml:space="preserve"> K, </w:t>
      </w:r>
      <w:proofErr w:type="spellStart"/>
      <w:r w:rsidRPr="00F26198">
        <w:rPr>
          <w:sz w:val="20"/>
          <w:szCs w:val="20"/>
        </w:rPr>
        <w:t>Ohzono</w:t>
      </w:r>
      <w:proofErr w:type="spellEnd"/>
      <w:r w:rsidRPr="00F26198">
        <w:rPr>
          <w:sz w:val="20"/>
          <w:szCs w:val="20"/>
        </w:rPr>
        <w:t xml:space="preserve"> K, Hiroshima K, </w:t>
      </w:r>
      <w:proofErr w:type="spellStart"/>
      <w:r w:rsidRPr="00F26198">
        <w:rPr>
          <w:sz w:val="20"/>
          <w:szCs w:val="20"/>
        </w:rPr>
        <w:t>Toge</w:t>
      </w:r>
      <w:proofErr w:type="spellEnd"/>
      <w:r w:rsidRPr="00F26198">
        <w:rPr>
          <w:sz w:val="20"/>
          <w:szCs w:val="20"/>
        </w:rPr>
        <w:t xml:space="preserve"> K (1994). Serial change of sliding in </w:t>
      </w:r>
      <w:proofErr w:type="spellStart"/>
      <w:r w:rsidRPr="00F26198">
        <w:rPr>
          <w:sz w:val="20"/>
          <w:szCs w:val="20"/>
        </w:rPr>
        <w:t>intertrochanteric</w:t>
      </w:r>
      <w:proofErr w:type="spellEnd"/>
      <w:r w:rsidRPr="00F26198">
        <w:rPr>
          <w:sz w:val="20"/>
          <w:szCs w:val="20"/>
        </w:rPr>
        <w:t xml:space="preserve"> femoral fractures treated with sliding screw system. </w:t>
      </w:r>
      <w:r w:rsidRPr="00F26198">
        <w:rPr>
          <w:iCs/>
          <w:sz w:val="20"/>
          <w:szCs w:val="20"/>
        </w:rPr>
        <w:t xml:space="preserve">Arch </w:t>
      </w:r>
      <w:proofErr w:type="spellStart"/>
      <w:r w:rsidRPr="00F26198">
        <w:rPr>
          <w:iCs/>
          <w:sz w:val="20"/>
          <w:szCs w:val="20"/>
        </w:rPr>
        <w:t>Orthop</w:t>
      </w:r>
      <w:proofErr w:type="spellEnd"/>
      <w:r w:rsidRPr="00F26198">
        <w:rPr>
          <w:iCs/>
          <w:sz w:val="20"/>
          <w:szCs w:val="20"/>
        </w:rPr>
        <w:t xml:space="preserve"> Trauma Surg. 113:276-280. </w:t>
      </w:r>
    </w:p>
    <w:p w:rsidR="00301E95" w:rsidRPr="00F26198" w:rsidRDefault="00301E95" w:rsidP="004F4471">
      <w:pPr>
        <w:jc w:val="both"/>
        <w:rPr>
          <w:iCs/>
          <w:sz w:val="20"/>
          <w:szCs w:val="20"/>
        </w:rPr>
      </w:pPr>
      <w:r w:rsidRPr="00F26198">
        <w:rPr>
          <w:iCs/>
          <w:sz w:val="20"/>
          <w:szCs w:val="20"/>
        </w:rPr>
        <w:t xml:space="preserve">12. </w:t>
      </w:r>
      <w:proofErr w:type="spellStart"/>
      <w:r w:rsidRPr="00F26198">
        <w:rPr>
          <w:iCs/>
          <w:sz w:val="20"/>
          <w:szCs w:val="20"/>
        </w:rPr>
        <w:t>Boldin</w:t>
      </w:r>
      <w:proofErr w:type="spellEnd"/>
      <w:r w:rsidRPr="00F26198">
        <w:rPr>
          <w:iCs/>
          <w:sz w:val="20"/>
          <w:szCs w:val="20"/>
        </w:rPr>
        <w:t xml:space="preserve"> C., Seibert FJ., </w:t>
      </w:r>
      <w:proofErr w:type="spellStart"/>
      <w:r w:rsidRPr="00F26198">
        <w:rPr>
          <w:iCs/>
          <w:sz w:val="20"/>
          <w:szCs w:val="20"/>
        </w:rPr>
        <w:t>Fankhauser</w:t>
      </w:r>
      <w:proofErr w:type="spellEnd"/>
      <w:r w:rsidRPr="00F26198">
        <w:rPr>
          <w:iCs/>
          <w:sz w:val="20"/>
          <w:szCs w:val="20"/>
        </w:rPr>
        <w:t xml:space="preserve"> F., </w:t>
      </w:r>
      <w:proofErr w:type="spellStart"/>
      <w:r w:rsidRPr="00F26198">
        <w:rPr>
          <w:iCs/>
          <w:sz w:val="20"/>
          <w:szCs w:val="20"/>
        </w:rPr>
        <w:t>Peicha</w:t>
      </w:r>
      <w:proofErr w:type="spellEnd"/>
      <w:r w:rsidRPr="00F26198">
        <w:rPr>
          <w:iCs/>
          <w:sz w:val="20"/>
          <w:szCs w:val="20"/>
        </w:rPr>
        <w:t xml:space="preserve"> G., </w:t>
      </w:r>
      <w:proofErr w:type="spellStart"/>
      <w:r w:rsidRPr="00F26198">
        <w:rPr>
          <w:iCs/>
          <w:sz w:val="20"/>
          <w:szCs w:val="20"/>
        </w:rPr>
        <w:t>Grechenig</w:t>
      </w:r>
      <w:proofErr w:type="spellEnd"/>
      <w:r w:rsidRPr="00F26198">
        <w:rPr>
          <w:iCs/>
          <w:sz w:val="20"/>
          <w:szCs w:val="20"/>
        </w:rPr>
        <w:t xml:space="preserve"> W., </w:t>
      </w:r>
      <w:proofErr w:type="spellStart"/>
      <w:r w:rsidRPr="00F26198">
        <w:rPr>
          <w:iCs/>
          <w:sz w:val="20"/>
          <w:szCs w:val="20"/>
        </w:rPr>
        <w:t>Szyszkowitz</w:t>
      </w:r>
      <w:proofErr w:type="spellEnd"/>
      <w:r w:rsidRPr="00F26198">
        <w:rPr>
          <w:iCs/>
          <w:sz w:val="20"/>
          <w:szCs w:val="20"/>
        </w:rPr>
        <w:t xml:space="preserve"> R. (2003) .   </w:t>
      </w:r>
      <w:proofErr w:type="spellStart"/>
      <w:r w:rsidRPr="00F26198">
        <w:rPr>
          <w:iCs/>
          <w:sz w:val="20"/>
          <w:szCs w:val="20"/>
        </w:rPr>
        <w:t>Actra</w:t>
      </w:r>
      <w:proofErr w:type="spellEnd"/>
      <w:r w:rsidRPr="00F26198">
        <w:rPr>
          <w:iCs/>
          <w:sz w:val="20"/>
          <w:szCs w:val="20"/>
        </w:rPr>
        <w:t xml:space="preserve"> </w:t>
      </w:r>
      <w:proofErr w:type="spellStart"/>
      <w:r w:rsidRPr="00F26198">
        <w:rPr>
          <w:iCs/>
          <w:sz w:val="20"/>
          <w:szCs w:val="20"/>
        </w:rPr>
        <w:t>Orthop</w:t>
      </w:r>
      <w:proofErr w:type="spellEnd"/>
      <w:r w:rsidRPr="00F26198">
        <w:rPr>
          <w:iCs/>
          <w:sz w:val="20"/>
          <w:szCs w:val="20"/>
        </w:rPr>
        <w:t xml:space="preserve"> Scand 74(1): 53-8.</w:t>
      </w:r>
    </w:p>
    <w:p w:rsidR="006B66F5" w:rsidRDefault="00301E95" w:rsidP="006B66F5">
      <w:pPr>
        <w:tabs>
          <w:tab w:val="left" w:pos="540"/>
        </w:tabs>
        <w:jc w:val="both"/>
        <w:rPr>
          <w:sz w:val="20"/>
          <w:szCs w:val="20"/>
        </w:rPr>
      </w:pPr>
      <w:r w:rsidRPr="00F26198">
        <w:rPr>
          <w:iCs/>
          <w:sz w:val="20"/>
          <w:szCs w:val="20"/>
        </w:rPr>
        <w:t xml:space="preserve">13. </w:t>
      </w:r>
      <w:proofErr w:type="spellStart"/>
      <w:r w:rsidRPr="00F26198">
        <w:rPr>
          <w:sz w:val="20"/>
          <w:szCs w:val="20"/>
        </w:rPr>
        <w:t>Tyllianakis</w:t>
      </w:r>
      <w:proofErr w:type="spellEnd"/>
      <w:r w:rsidRPr="00F26198">
        <w:rPr>
          <w:sz w:val="20"/>
          <w:szCs w:val="20"/>
        </w:rPr>
        <w:t xml:space="preserve"> M., Panagopoulos A</w:t>
      </w:r>
      <w:proofErr w:type="gramStart"/>
      <w:r w:rsidRPr="00F26198">
        <w:rPr>
          <w:sz w:val="20"/>
          <w:szCs w:val="20"/>
        </w:rPr>
        <w:t>. ,</w:t>
      </w:r>
      <w:proofErr w:type="gramEnd"/>
      <w:r w:rsidRPr="00F26198">
        <w:rPr>
          <w:sz w:val="20"/>
          <w:szCs w:val="20"/>
        </w:rPr>
        <w:t xml:space="preserve"> Papadopoulos A. , </w:t>
      </w:r>
      <w:proofErr w:type="spellStart"/>
      <w:r w:rsidRPr="00F26198">
        <w:rPr>
          <w:sz w:val="20"/>
          <w:szCs w:val="20"/>
        </w:rPr>
        <w:t>Papasimos</w:t>
      </w:r>
      <w:proofErr w:type="spellEnd"/>
      <w:r w:rsidRPr="00F26198">
        <w:rPr>
          <w:sz w:val="20"/>
          <w:szCs w:val="20"/>
        </w:rPr>
        <w:t xml:space="preserve"> S. , </w:t>
      </w:r>
      <w:proofErr w:type="spellStart"/>
      <w:r w:rsidRPr="00F26198">
        <w:rPr>
          <w:sz w:val="20"/>
          <w:szCs w:val="20"/>
        </w:rPr>
        <w:t>Mousafiris</w:t>
      </w:r>
      <w:proofErr w:type="spellEnd"/>
      <w:r w:rsidRPr="00F26198">
        <w:rPr>
          <w:sz w:val="20"/>
          <w:szCs w:val="20"/>
        </w:rPr>
        <w:t xml:space="preserve"> K. (2004). Treatment of </w:t>
      </w:r>
      <w:proofErr w:type="spellStart"/>
      <w:r w:rsidRPr="00F26198">
        <w:rPr>
          <w:sz w:val="20"/>
          <w:szCs w:val="20"/>
        </w:rPr>
        <w:t>extracapsular</w:t>
      </w:r>
      <w:proofErr w:type="spellEnd"/>
      <w:r w:rsidRPr="00F26198">
        <w:rPr>
          <w:sz w:val="20"/>
          <w:szCs w:val="20"/>
        </w:rPr>
        <w:t xml:space="preserve"> hip fractures with the proximal femoral nail (PFN): long term results in 45 patients. </w:t>
      </w:r>
      <w:proofErr w:type="spellStart"/>
      <w:r w:rsidRPr="00F26198">
        <w:rPr>
          <w:sz w:val="20"/>
          <w:szCs w:val="20"/>
        </w:rPr>
        <w:t>Acta</w:t>
      </w:r>
      <w:proofErr w:type="spellEnd"/>
      <w:r w:rsidRPr="00F26198">
        <w:rPr>
          <w:sz w:val="20"/>
          <w:szCs w:val="20"/>
        </w:rPr>
        <w:t xml:space="preserve"> </w:t>
      </w:r>
      <w:proofErr w:type="spellStart"/>
      <w:r w:rsidRPr="00F26198">
        <w:rPr>
          <w:sz w:val="20"/>
          <w:szCs w:val="20"/>
        </w:rPr>
        <w:t>Orthop</w:t>
      </w:r>
      <w:proofErr w:type="spellEnd"/>
      <w:r w:rsidRPr="00F26198">
        <w:rPr>
          <w:sz w:val="20"/>
          <w:szCs w:val="20"/>
        </w:rPr>
        <w:t xml:space="preserve"> Belg. 70(5):444-54.</w:t>
      </w:r>
    </w:p>
    <w:p w:rsidR="006B66F5" w:rsidRDefault="006B66F5" w:rsidP="006B66F5">
      <w:pPr>
        <w:tabs>
          <w:tab w:val="left" w:pos="540"/>
        </w:tabs>
        <w:jc w:val="both"/>
        <w:rPr>
          <w:sz w:val="20"/>
          <w:szCs w:val="20"/>
        </w:rPr>
      </w:pPr>
    </w:p>
    <w:p w:rsidR="003773AD" w:rsidRDefault="005C6062" w:rsidP="004F4471">
      <w:pPr>
        <w:jc w:val="both"/>
        <w:rPr>
          <w:szCs w:val="24"/>
        </w:rPr>
      </w:pPr>
      <w:r>
        <w:rPr>
          <w:noProof/>
          <w:szCs w:val="24"/>
        </w:rPr>
        <w:lastRenderedPageBreak/>
        <w:drawing>
          <wp:inline distT="0" distB="0" distL="0" distR="0">
            <wp:extent cx="2835893" cy="2126256"/>
            <wp:effectExtent l="19050" t="0" r="2557" b="0"/>
            <wp:docPr id="7" name="Picture 1" descr="C:\Users\Dr Dinesh\Music\Documents\THESIS\photos\DSCN7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Dinesh\Music\Documents\THESIS\photos\DSCN7270.JPG"/>
                    <pic:cNvPicPr>
                      <a:picLocks noChangeAspect="1" noChangeArrowheads="1"/>
                    </pic:cNvPicPr>
                  </pic:nvPicPr>
                  <pic:blipFill>
                    <a:blip r:embed="rId6" cstate="print"/>
                    <a:srcRect/>
                    <a:stretch>
                      <a:fillRect/>
                    </a:stretch>
                  </pic:blipFill>
                  <pic:spPr bwMode="auto">
                    <a:xfrm>
                      <a:off x="0" y="0"/>
                      <a:ext cx="2845430" cy="2133407"/>
                    </a:xfrm>
                    <a:prstGeom prst="rect">
                      <a:avLst/>
                    </a:prstGeom>
                    <a:noFill/>
                    <a:ln w="9525">
                      <a:noFill/>
                      <a:miter lim="800000"/>
                      <a:headEnd/>
                      <a:tailEnd/>
                    </a:ln>
                  </pic:spPr>
                </pic:pic>
              </a:graphicData>
            </a:graphic>
          </wp:inline>
        </w:drawing>
      </w:r>
      <w:r w:rsidR="006B66F5">
        <w:rPr>
          <w:noProof/>
          <w:szCs w:val="24"/>
        </w:rPr>
        <w:drawing>
          <wp:inline distT="0" distB="0" distL="0" distR="0">
            <wp:extent cx="1538922" cy="2052538"/>
            <wp:effectExtent l="19050" t="0" r="4128" b="0"/>
            <wp:docPr id="1" name="Picture 2" descr="C:\Users\Dr Dinesh\Music\Documents\THESIS\photos\DSCN7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Dinesh\Music\Documents\THESIS\photos\DSCN7272.JPG"/>
                    <pic:cNvPicPr>
                      <a:picLocks noChangeAspect="1" noChangeArrowheads="1"/>
                    </pic:cNvPicPr>
                  </pic:nvPicPr>
                  <pic:blipFill>
                    <a:blip r:embed="rId7" cstate="print"/>
                    <a:srcRect/>
                    <a:stretch>
                      <a:fillRect/>
                    </a:stretch>
                  </pic:blipFill>
                  <pic:spPr bwMode="auto">
                    <a:xfrm>
                      <a:off x="0" y="0"/>
                      <a:ext cx="1539063" cy="2052726"/>
                    </a:xfrm>
                    <a:prstGeom prst="rect">
                      <a:avLst/>
                    </a:prstGeom>
                    <a:noFill/>
                    <a:ln w="9525">
                      <a:noFill/>
                      <a:miter lim="800000"/>
                      <a:headEnd/>
                      <a:tailEnd/>
                    </a:ln>
                  </pic:spPr>
                </pic:pic>
              </a:graphicData>
            </a:graphic>
          </wp:inline>
        </w:drawing>
      </w:r>
      <w:r>
        <w:rPr>
          <w:noProof/>
          <w:szCs w:val="24"/>
        </w:rPr>
        <w:t xml:space="preserve">                </w:t>
      </w:r>
    </w:p>
    <w:p w:rsidR="003773AD" w:rsidRDefault="006B66F5" w:rsidP="004F4471">
      <w:pPr>
        <w:jc w:val="both"/>
        <w:rPr>
          <w:szCs w:val="24"/>
        </w:rPr>
      </w:pPr>
      <w:r w:rsidRPr="00476903">
        <w:rPr>
          <w:rFonts w:eastAsia="Times New Roman"/>
          <w:noProof/>
          <w:snapToGrid w:val="0"/>
          <w:color w:val="000000"/>
          <w:w w:val="0"/>
          <w:sz w:val="0"/>
          <w:szCs w:val="0"/>
          <w:u w:color="000000"/>
          <w:bdr w:val="none" w:sz="0" w:space="0" w:color="000000"/>
          <w:shd w:val="clear" w:color="000000" w:fill="000000"/>
          <w:lang w:eastAsia="zh-TW"/>
        </w:rPr>
        <w:pict>
          <v:shapetype id="_x0000_t202" coordsize="21600,21600" o:spt="202" path="m,l,21600r21600,l21600,xe">
            <v:stroke joinstyle="miter"/>
            <v:path gradientshapeok="t" o:connecttype="rect"/>
          </v:shapetype>
          <v:shape id="_x0000_s1027" type="#_x0000_t202" style="position:absolute;left:0;text-align:left;margin-left:135.65pt;margin-top:8.25pt;width:172.75pt;height:35.55pt;z-index:251662336;mso-height-percent:200;mso-height-percent:200;mso-width-relative:margin;mso-height-relative:margin">
            <v:textbox style="mso-fit-shape-to-text:t">
              <w:txbxContent>
                <w:p w:rsidR="003773AD" w:rsidRDefault="005C6062">
                  <w:proofErr w:type="spellStart"/>
                  <w:r>
                    <w:t>Pflcp</w:t>
                  </w:r>
                  <w:proofErr w:type="spellEnd"/>
                  <w:r w:rsidR="006B66F5">
                    <w:t xml:space="preserve"> pre – op and</w:t>
                  </w:r>
                  <w:r>
                    <w:t xml:space="preserve"> Post - op</w:t>
                  </w:r>
                </w:p>
              </w:txbxContent>
            </v:textbox>
          </v:shape>
        </w:pict>
      </w:r>
    </w:p>
    <w:p w:rsidR="003773AD" w:rsidRDefault="003773AD" w:rsidP="004F4471">
      <w:pPr>
        <w:jc w:val="both"/>
        <w:rPr>
          <w:szCs w:val="24"/>
        </w:rPr>
      </w:pPr>
    </w:p>
    <w:p w:rsidR="003773AD" w:rsidRDefault="003773AD" w:rsidP="004F4471">
      <w:pPr>
        <w:jc w:val="both"/>
        <w:rPr>
          <w:szCs w:val="24"/>
        </w:rPr>
      </w:pPr>
    </w:p>
    <w:p w:rsidR="003773AD" w:rsidRDefault="005C6062" w:rsidP="005C6062">
      <w:pPr>
        <w:jc w:val="center"/>
        <w:rPr>
          <w:szCs w:val="24"/>
        </w:rPr>
      </w:pPr>
      <w:r>
        <w:rPr>
          <w:szCs w:val="24"/>
        </w:rPr>
        <w:t>Figure 1</w:t>
      </w:r>
    </w:p>
    <w:p w:rsidR="003773AD" w:rsidRDefault="003773AD" w:rsidP="004F4471">
      <w:pPr>
        <w:jc w:val="both"/>
        <w:rPr>
          <w:szCs w:val="24"/>
        </w:rPr>
      </w:pPr>
    </w:p>
    <w:p w:rsidR="006B66F5" w:rsidRDefault="006B66F5" w:rsidP="004F4471">
      <w:pPr>
        <w:jc w:val="both"/>
        <w:rPr>
          <w:noProof/>
          <w:szCs w:val="24"/>
        </w:rPr>
      </w:pPr>
      <w:r>
        <w:rPr>
          <w:noProof/>
          <w:szCs w:val="24"/>
        </w:rPr>
        <w:t xml:space="preserve">         </w:t>
      </w:r>
      <w:r w:rsidR="005C6062">
        <w:rPr>
          <w:noProof/>
          <w:szCs w:val="24"/>
        </w:rPr>
        <w:drawing>
          <wp:inline distT="0" distB="0" distL="0" distR="0">
            <wp:extent cx="2096620" cy="1571974"/>
            <wp:effectExtent l="19050" t="0" r="0" b="0"/>
            <wp:docPr id="10" name="Picture 4" descr="C:\Users\Dr Dinesh\Music\Documents\THESIS\photos\DSCN7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 Dinesh\Music\Documents\THESIS\photos\DSCN7275.JPG"/>
                    <pic:cNvPicPr>
                      <a:picLocks noChangeAspect="1" noChangeArrowheads="1"/>
                    </pic:cNvPicPr>
                  </pic:nvPicPr>
                  <pic:blipFill>
                    <a:blip r:embed="rId8" cstate="print"/>
                    <a:srcRect/>
                    <a:stretch>
                      <a:fillRect/>
                    </a:stretch>
                  </pic:blipFill>
                  <pic:spPr bwMode="auto">
                    <a:xfrm>
                      <a:off x="0" y="0"/>
                      <a:ext cx="2103477" cy="1577115"/>
                    </a:xfrm>
                    <a:prstGeom prst="rect">
                      <a:avLst/>
                    </a:prstGeom>
                    <a:noFill/>
                    <a:ln w="9525">
                      <a:noFill/>
                      <a:miter lim="800000"/>
                      <a:headEnd/>
                      <a:tailEnd/>
                    </a:ln>
                  </pic:spPr>
                </pic:pic>
              </a:graphicData>
            </a:graphic>
          </wp:inline>
        </w:drawing>
      </w:r>
      <w:r>
        <w:rPr>
          <w:noProof/>
          <w:szCs w:val="24"/>
        </w:rPr>
        <w:drawing>
          <wp:inline distT="0" distB="0" distL="0" distR="0">
            <wp:extent cx="2080461" cy="1559858"/>
            <wp:effectExtent l="19050" t="0" r="0" b="0"/>
            <wp:docPr id="2" name="Picture 3" descr="C:\Users\Dr Dinesh\Music\Documents\THESIS\photos\DSCN7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Dinesh\Music\Documents\THESIS\photos\DSCN7277.JPG"/>
                    <pic:cNvPicPr>
                      <a:picLocks noChangeAspect="1" noChangeArrowheads="1"/>
                    </pic:cNvPicPr>
                  </pic:nvPicPr>
                  <pic:blipFill>
                    <a:blip r:embed="rId9" cstate="print"/>
                    <a:srcRect/>
                    <a:stretch>
                      <a:fillRect/>
                    </a:stretch>
                  </pic:blipFill>
                  <pic:spPr bwMode="auto">
                    <a:xfrm>
                      <a:off x="0" y="0"/>
                      <a:ext cx="2088504" cy="1565889"/>
                    </a:xfrm>
                    <a:prstGeom prst="rect">
                      <a:avLst/>
                    </a:prstGeom>
                    <a:noFill/>
                    <a:ln w="9525">
                      <a:noFill/>
                      <a:miter lim="800000"/>
                      <a:headEnd/>
                      <a:tailEnd/>
                    </a:ln>
                  </pic:spPr>
                </pic:pic>
              </a:graphicData>
            </a:graphic>
          </wp:inline>
        </w:drawing>
      </w:r>
      <w:r w:rsidR="005C6062">
        <w:rPr>
          <w:noProof/>
          <w:szCs w:val="24"/>
        </w:rPr>
        <w:t xml:space="preserve">                     </w:t>
      </w:r>
    </w:p>
    <w:p w:rsidR="003773AD" w:rsidRDefault="006B66F5" w:rsidP="004F4471">
      <w:pPr>
        <w:jc w:val="both"/>
        <w:rPr>
          <w:szCs w:val="24"/>
        </w:rPr>
      </w:pPr>
      <w:r>
        <w:rPr>
          <w:noProof/>
          <w:szCs w:val="24"/>
        </w:rPr>
        <w:pict>
          <v:shape id="_x0000_s1029" type="#_x0000_t202" style="position:absolute;left:0;text-align:left;margin-left:130.8pt;margin-top:9.45pt;width:145.2pt;height:21.75pt;z-index:251664384;mso-height-percent:200;mso-height-percent:200;mso-width-relative:margin;mso-height-relative:margin">
            <v:textbox style="mso-fit-shape-to-text:t">
              <w:txbxContent>
                <w:p w:rsidR="001B4417" w:rsidRDefault="001B4417" w:rsidP="001B4417">
                  <w:r>
                    <w:t>DHS</w:t>
                  </w:r>
                  <w:r w:rsidR="006B66F5">
                    <w:t xml:space="preserve"> pre and</w:t>
                  </w:r>
                  <w:r>
                    <w:t xml:space="preserve"> post-op</w:t>
                  </w:r>
                </w:p>
              </w:txbxContent>
            </v:textbox>
          </v:shape>
        </w:pict>
      </w: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r>
        <w:rPr>
          <w:noProof/>
          <w:szCs w:val="24"/>
        </w:rPr>
        <w:t xml:space="preserve">                         </w:t>
      </w:r>
      <w:r w:rsidRPr="003773AD">
        <w:rPr>
          <w:rFonts w:eastAsia="Times New Roman"/>
          <w:snapToGrid w:val="0"/>
          <w:color w:val="000000"/>
          <w:w w:val="0"/>
          <w:sz w:val="0"/>
          <w:szCs w:val="0"/>
          <w:u w:color="000000"/>
          <w:bdr w:val="none" w:sz="0" w:space="0" w:color="000000"/>
          <w:shd w:val="clear" w:color="000000" w:fill="000000"/>
        </w:rPr>
        <w:t xml:space="preserve"> </w:t>
      </w: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p>
    <w:p w:rsidR="003773AD" w:rsidRDefault="003773AD" w:rsidP="004F4471">
      <w:pPr>
        <w:jc w:val="both"/>
        <w:rPr>
          <w:rFonts w:eastAsia="Times New Roman"/>
          <w:snapToGrid w:val="0"/>
          <w:color w:val="000000"/>
          <w:w w:val="0"/>
          <w:sz w:val="0"/>
          <w:szCs w:val="0"/>
          <w:u w:color="000000"/>
          <w:bdr w:val="none" w:sz="0" w:space="0" w:color="000000"/>
          <w:shd w:val="clear" w:color="000000" w:fill="000000"/>
        </w:rPr>
      </w:pPr>
      <w:r>
        <w:rPr>
          <w:rFonts w:eastAsia="Times New Roman"/>
          <w:snapToGrid w:val="0"/>
          <w:color w:val="000000"/>
          <w:w w:val="0"/>
          <w:sz w:val="0"/>
          <w:szCs w:val="0"/>
          <w:u w:color="000000"/>
          <w:bdr w:val="none" w:sz="0" w:space="0" w:color="000000"/>
          <w:shd w:val="clear" w:color="000000" w:fill="000000"/>
        </w:rPr>
        <w:t>P</w:t>
      </w:r>
    </w:p>
    <w:p w:rsidR="00D32D92" w:rsidRDefault="005C6062" w:rsidP="004F4471">
      <w:pPr>
        <w:jc w:val="both"/>
        <w:rPr>
          <w:rFonts w:eastAsia="Times New Roman"/>
          <w:snapToGrid w:val="0"/>
          <w:color w:val="000000"/>
          <w:w w:val="0"/>
          <w:sz w:val="0"/>
          <w:szCs w:val="0"/>
          <w:u w:color="000000"/>
          <w:bdr w:val="none" w:sz="0" w:space="0" w:color="000000"/>
          <w:shd w:val="clear" w:color="000000" w:fill="000000"/>
        </w:rPr>
      </w:pPr>
      <w:r>
        <w:rPr>
          <w:rFonts w:eastAsia="Times New Roman"/>
          <w:snapToGrid w:val="0"/>
          <w:color w:val="000000"/>
          <w:w w:val="0"/>
          <w:sz w:val="0"/>
          <w:szCs w:val="0"/>
          <w:u w:color="000000"/>
          <w:bdr w:val="none" w:sz="0" w:space="0" w:color="000000"/>
          <w:shd w:val="clear" w:color="000000" w:fill="000000"/>
        </w:rPr>
        <w:t xml:space="preserve">                                        Pre</w:t>
      </w:r>
    </w:p>
    <w:p w:rsidR="005C6062" w:rsidRDefault="005C6062" w:rsidP="004F4471">
      <w:pPr>
        <w:jc w:val="both"/>
        <w:rPr>
          <w:szCs w:val="24"/>
        </w:rPr>
      </w:pPr>
    </w:p>
    <w:p w:rsidR="006B66F5" w:rsidRDefault="006B66F5" w:rsidP="004F4471">
      <w:pPr>
        <w:jc w:val="both"/>
        <w:rPr>
          <w:szCs w:val="24"/>
        </w:rPr>
      </w:pPr>
    </w:p>
    <w:p w:rsidR="006B66F5" w:rsidRDefault="006B66F5" w:rsidP="004F4471">
      <w:pPr>
        <w:jc w:val="both"/>
        <w:rPr>
          <w:szCs w:val="24"/>
        </w:rPr>
      </w:pPr>
      <w:r>
        <w:rPr>
          <w:szCs w:val="24"/>
        </w:rPr>
        <w:t xml:space="preserve">                                                     Figure 2</w:t>
      </w:r>
    </w:p>
    <w:p w:rsidR="006B66F5" w:rsidRDefault="006B66F5" w:rsidP="004F4471">
      <w:pPr>
        <w:jc w:val="both"/>
        <w:rPr>
          <w:szCs w:val="24"/>
        </w:rPr>
      </w:pPr>
    </w:p>
    <w:p w:rsidR="005C6062" w:rsidRDefault="006B66F5" w:rsidP="004F4471">
      <w:pPr>
        <w:jc w:val="both"/>
        <w:rPr>
          <w:szCs w:val="24"/>
        </w:rPr>
      </w:pPr>
      <w:r>
        <w:rPr>
          <w:noProof/>
          <w:szCs w:val="24"/>
        </w:rPr>
        <w:t xml:space="preserve">        </w:t>
      </w:r>
      <w:r w:rsidR="005C6062">
        <w:rPr>
          <w:noProof/>
          <w:szCs w:val="24"/>
        </w:rPr>
        <w:drawing>
          <wp:inline distT="0" distB="0" distL="0" distR="0">
            <wp:extent cx="2096620" cy="1572464"/>
            <wp:effectExtent l="19050" t="0" r="0" b="0"/>
            <wp:docPr id="18" name="Picture 5" descr="C:\Users\Dr Dinesh\Music\Documents\THESIS\photos\Photo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Dinesh\Music\Documents\THESIS\photos\Photo1550.jpg"/>
                    <pic:cNvPicPr>
                      <a:picLocks noChangeAspect="1" noChangeArrowheads="1"/>
                    </pic:cNvPicPr>
                  </pic:nvPicPr>
                  <pic:blipFill>
                    <a:blip r:embed="rId10" cstate="print"/>
                    <a:srcRect/>
                    <a:stretch>
                      <a:fillRect/>
                    </a:stretch>
                  </pic:blipFill>
                  <pic:spPr bwMode="auto">
                    <a:xfrm>
                      <a:off x="0" y="0"/>
                      <a:ext cx="2103000" cy="1577249"/>
                    </a:xfrm>
                    <a:prstGeom prst="rect">
                      <a:avLst/>
                    </a:prstGeom>
                    <a:noFill/>
                    <a:ln w="9525">
                      <a:noFill/>
                      <a:miter lim="800000"/>
                      <a:headEnd/>
                      <a:tailEnd/>
                    </a:ln>
                  </pic:spPr>
                </pic:pic>
              </a:graphicData>
            </a:graphic>
          </wp:inline>
        </w:drawing>
      </w:r>
      <w:r w:rsidR="005C6062">
        <w:rPr>
          <w:noProof/>
          <w:szCs w:val="24"/>
        </w:rPr>
        <w:t xml:space="preserve">                              </w:t>
      </w:r>
      <w:r>
        <w:rPr>
          <w:noProof/>
          <w:szCs w:val="24"/>
        </w:rPr>
        <w:t xml:space="preserve">   </w:t>
      </w:r>
      <w:r w:rsidR="005C6062">
        <w:rPr>
          <w:noProof/>
          <w:szCs w:val="24"/>
        </w:rPr>
        <w:t xml:space="preserve">  </w:t>
      </w:r>
      <w:r>
        <w:rPr>
          <w:noProof/>
          <w:szCs w:val="24"/>
        </w:rPr>
        <w:drawing>
          <wp:inline distT="0" distB="0" distL="0" distR="0">
            <wp:extent cx="1179555" cy="1573232"/>
            <wp:effectExtent l="19050" t="0" r="1545" b="0"/>
            <wp:docPr id="3" name="Picture 6" descr="C:\Users\Dr Dinesh\Music\Documents\THESIS\photos\DSCN7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Dinesh\Music\Documents\THESIS\photos\DSCN7282.JPG"/>
                    <pic:cNvPicPr>
                      <a:picLocks noChangeAspect="1" noChangeArrowheads="1"/>
                    </pic:cNvPicPr>
                  </pic:nvPicPr>
                  <pic:blipFill>
                    <a:blip r:embed="rId11" cstate="print"/>
                    <a:srcRect/>
                    <a:stretch>
                      <a:fillRect/>
                    </a:stretch>
                  </pic:blipFill>
                  <pic:spPr bwMode="auto">
                    <a:xfrm>
                      <a:off x="0" y="0"/>
                      <a:ext cx="1186956" cy="1583103"/>
                    </a:xfrm>
                    <a:prstGeom prst="rect">
                      <a:avLst/>
                    </a:prstGeom>
                    <a:noFill/>
                    <a:ln w="9525">
                      <a:noFill/>
                      <a:miter lim="800000"/>
                      <a:headEnd/>
                      <a:tailEnd/>
                    </a:ln>
                  </pic:spPr>
                </pic:pic>
              </a:graphicData>
            </a:graphic>
          </wp:inline>
        </w:drawing>
      </w:r>
      <w:r w:rsidR="005C6062">
        <w:rPr>
          <w:noProof/>
          <w:szCs w:val="24"/>
        </w:rPr>
        <w:t xml:space="preserve">      </w:t>
      </w:r>
    </w:p>
    <w:p w:rsidR="005C6062" w:rsidRDefault="006B66F5" w:rsidP="004F4471">
      <w:pPr>
        <w:jc w:val="both"/>
        <w:rPr>
          <w:noProof/>
          <w:szCs w:val="24"/>
        </w:rPr>
      </w:pPr>
      <w:r>
        <w:rPr>
          <w:noProof/>
          <w:szCs w:val="24"/>
        </w:rPr>
        <w:pict>
          <v:shape id="_x0000_s1031" type="#_x0000_t202" style="position:absolute;left:0;text-align:left;margin-left:287.8pt;margin-top:9.7pt;width:108.15pt;height:18.4pt;z-index:251666432;mso-width-relative:margin;mso-height-relative:margin">
            <v:textbox>
              <w:txbxContent>
                <w:p w:rsidR="001B4417" w:rsidRPr="006B66F5" w:rsidRDefault="001B7C6D" w:rsidP="001B4417">
                  <w:pPr>
                    <w:rPr>
                      <w:sz w:val="20"/>
                      <w:szCs w:val="20"/>
                    </w:rPr>
                  </w:pPr>
                  <w:r w:rsidRPr="006B66F5">
                    <w:rPr>
                      <w:sz w:val="20"/>
                      <w:szCs w:val="20"/>
                    </w:rPr>
                    <w:t>DHS non-union</w:t>
                  </w:r>
                </w:p>
              </w:txbxContent>
            </v:textbox>
          </v:shape>
        </w:pict>
      </w:r>
      <w:r>
        <w:rPr>
          <w:noProof/>
          <w:szCs w:val="24"/>
        </w:rPr>
        <w:pict>
          <v:shape id="_x0000_s1030" type="#_x0000_t202" style="position:absolute;left:0;text-align:left;margin-left:33.75pt;margin-top:9.7pt;width:152.6pt;height:18.4pt;z-index:251665408;mso-width-relative:margin;mso-height-relative:margin">
            <v:textbox>
              <w:txbxContent>
                <w:p w:rsidR="001B4417" w:rsidRPr="006B66F5" w:rsidRDefault="001B7C6D" w:rsidP="001B7C6D">
                  <w:pPr>
                    <w:jc w:val="center"/>
                    <w:rPr>
                      <w:sz w:val="20"/>
                      <w:szCs w:val="20"/>
                    </w:rPr>
                  </w:pPr>
                  <w:r w:rsidRPr="006B66F5">
                    <w:rPr>
                      <w:sz w:val="20"/>
                      <w:szCs w:val="20"/>
                    </w:rPr>
                    <w:t>PFLCP Superficial infection</w:t>
                  </w:r>
                </w:p>
              </w:txbxContent>
            </v:textbox>
          </v:shape>
        </w:pict>
      </w:r>
    </w:p>
    <w:p w:rsidR="006B66F5" w:rsidRDefault="006B66F5" w:rsidP="004F4471">
      <w:pPr>
        <w:jc w:val="both"/>
        <w:rPr>
          <w:szCs w:val="24"/>
        </w:rPr>
      </w:pPr>
    </w:p>
    <w:p w:rsidR="003773AD" w:rsidRDefault="003773AD" w:rsidP="004F4471">
      <w:pPr>
        <w:jc w:val="both"/>
        <w:rPr>
          <w:szCs w:val="24"/>
        </w:rPr>
      </w:pPr>
    </w:p>
    <w:p w:rsidR="006B66F5" w:rsidRDefault="006B66F5" w:rsidP="004F4471">
      <w:pPr>
        <w:jc w:val="both"/>
        <w:rPr>
          <w:szCs w:val="24"/>
        </w:rPr>
      </w:pPr>
      <w:r>
        <w:rPr>
          <w:szCs w:val="24"/>
        </w:rPr>
        <w:t xml:space="preserve">                      Figure 3                                                     Figure 4</w:t>
      </w:r>
    </w:p>
    <w:p w:rsidR="006B66F5" w:rsidRDefault="006B66F5" w:rsidP="004F4471">
      <w:pPr>
        <w:jc w:val="both"/>
        <w:rPr>
          <w:szCs w:val="24"/>
        </w:rPr>
      </w:pPr>
    </w:p>
    <w:p w:rsidR="003773AD" w:rsidRDefault="00D32D92" w:rsidP="004F4471">
      <w:pPr>
        <w:jc w:val="both"/>
        <w:rPr>
          <w:szCs w:val="24"/>
        </w:rPr>
      </w:pPr>
      <w:r w:rsidRPr="001B4417">
        <w:rPr>
          <w:noProof/>
          <w:szCs w:val="24"/>
        </w:rPr>
        <w:drawing>
          <wp:inline distT="0" distB="0" distL="0" distR="0">
            <wp:extent cx="2203373" cy="2490333"/>
            <wp:effectExtent l="38100" t="19050" r="6427" b="0"/>
            <wp:docPr id="22" name="Picture 2" descr="E:\orthopaedics\thesis folder\others\H.raju thesis\2 murthy\1st fallow up\Photo0095.jpg"/>
            <wp:cNvGraphicFramePr/>
            <a:graphic xmlns:a="http://schemas.openxmlformats.org/drawingml/2006/main">
              <a:graphicData uri="http://schemas.openxmlformats.org/drawingml/2006/picture">
                <pic:pic xmlns:pic="http://schemas.openxmlformats.org/drawingml/2006/picture">
                  <pic:nvPicPr>
                    <pic:cNvPr id="1028" name="Picture 4" descr="E:\orthopaedics\thesis folder\others\H.raju thesis\2 murthy\1st fallow up\Photo0095.jpg"/>
                    <pic:cNvPicPr>
                      <a:picLocks noChangeAspect="1" noChangeArrowheads="1"/>
                    </pic:cNvPicPr>
                  </pic:nvPicPr>
                  <pic:blipFill>
                    <a:blip r:embed="rId12" cstate="print"/>
                    <a:srcRect l="55108" t="19713" r="3226"/>
                    <a:stretch>
                      <a:fillRect/>
                    </a:stretch>
                  </pic:blipFill>
                  <pic:spPr bwMode="auto">
                    <a:xfrm>
                      <a:off x="0" y="0"/>
                      <a:ext cx="2202089" cy="2488882"/>
                    </a:xfrm>
                    <a:prstGeom prst="rect">
                      <a:avLst/>
                    </a:prstGeom>
                    <a:noFill/>
                    <a:scene3d>
                      <a:camera prst="orthographicFront">
                        <a:rot lat="0" lon="11399976" rev="0"/>
                      </a:camera>
                      <a:lightRig rig="threePt" dir="t"/>
                    </a:scene3d>
                  </pic:spPr>
                </pic:pic>
              </a:graphicData>
            </a:graphic>
          </wp:inline>
        </w:drawing>
      </w:r>
      <w:r>
        <w:rPr>
          <w:noProof/>
          <w:szCs w:val="24"/>
        </w:rPr>
        <w:t xml:space="preserve">               </w:t>
      </w:r>
      <w:r w:rsidRPr="001B7C6D">
        <w:rPr>
          <w:noProof/>
          <w:szCs w:val="24"/>
        </w:rPr>
        <w:drawing>
          <wp:inline distT="0" distB="0" distL="0" distR="0">
            <wp:extent cx="2105772" cy="2478795"/>
            <wp:effectExtent l="57150" t="19050" r="27828" b="0"/>
            <wp:docPr id="23" name="Picture 4" descr="E:\orthopaedics\thesis folder\DHS\narsimaya\040220112586.jpg"/>
            <wp:cNvGraphicFramePr/>
            <a:graphic xmlns:a="http://schemas.openxmlformats.org/drawingml/2006/main">
              <a:graphicData uri="http://schemas.openxmlformats.org/drawingml/2006/picture">
                <pic:pic xmlns:pic="http://schemas.openxmlformats.org/drawingml/2006/picture">
                  <pic:nvPicPr>
                    <pic:cNvPr id="4100" name="Picture 4" descr="E:\orthopaedics\thesis folder\DHS\narsimaya\040220112586.jpg"/>
                    <pic:cNvPicPr>
                      <a:picLocks noChangeAspect="1" noChangeArrowheads="1"/>
                    </pic:cNvPicPr>
                  </pic:nvPicPr>
                  <pic:blipFill>
                    <a:blip r:embed="rId13" cstate="print"/>
                    <a:srcRect/>
                    <a:stretch>
                      <a:fillRect/>
                    </a:stretch>
                  </pic:blipFill>
                  <pic:spPr bwMode="auto">
                    <a:xfrm flipH="1">
                      <a:off x="0" y="0"/>
                      <a:ext cx="2104558" cy="2477366"/>
                    </a:xfrm>
                    <a:prstGeom prst="rect">
                      <a:avLst/>
                    </a:prstGeom>
                    <a:noFill/>
                    <a:scene3d>
                      <a:camera prst="orthographicFront">
                        <a:rot lat="0" lon="10799999" rev="0"/>
                      </a:camera>
                      <a:lightRig rig="threePt" dir="t"/>
                    </a:scene3d>
                  </pic:spPr>
                </pic:pic>
              </a:graphicData>
            </a:graphic>
          </wp:inline>
        </w:drawing>
      </w:r>
    </w:p>
    <w:p w:rsidR="003773AD" w:rsidRDefault="006B66F5" w:rsidP="004F4471">
      <w:pPr>
        <w:jc w:val="both"/>
        <w:rPr>
          <w:szCs w:val="24"/>
        </w:rPr>
      </w:pPr>
      <w:r>
        <w:rPr>
          <w:noProof/>
          <w:szCs w:val="24"/>
        </w:rPr>
        <w:pict>
          <v:shape id="_x0000_s1032" type="#_x0000_t202" style="position:absolute;left:0;text-align:left;margin-left:225.2pt;margin-top:6.7pt;width:166.45pt;height:35.55pt;z-index:251667456;mso-height-percent:200;mso-height-percent:200;mso-width-relative:margin;mso-height-relative:margin">
            <v:textbox style="mso-fit-shape-to-text:t">
              <w:txbxContent>
                <w:p w:rsidR="001B7C6D" w:rsidRDefault="001B7C6D" w:rsidP="001B7C6D">
                  <w:pPr>
                    <w:jc w:val="center"/>
                  </w:pPr>
                  <w:r>
                    <w:t>DHS screw cutout</w:t>
                  </w:r>
                </w:p>
              </w:txbxContent>
            </v:textbox>
          </v:shape>
        </w:pict>
      </w:r>
      <w:r>
        <w:rPr>
          <w:noProof/>
          <w:szCs w:val="24"/>
        </w:rPr>
        <w:pict>
          <v:shape id="_x0000_s1033" type="#_x0000_t202" style="position:absolute;left:0;text-align:left;margin-left:5.65pt;margin-top:6.2pt;width:167.6pt;height:35.55pt;z-index:251668480;mso-height-percent:200;mso-height-percent:200;mso-width-relative:margin;mso-height-relative:margin">
            <v:textbox style="mso-fit-shape-to-text:t">
              <w:txbxContent>
                <w:p w:rsidR="001B7C6D" w:rsidRDefault="001B7C6D" w:rsidP="001B7C6D">
                  <w:pPr>
                    <w:jc w:val="center"/>
                  </w:pPr>
                  <w:r>
                    <w:t xml:space="preserve">PFLCP </w:t>
                  </w:r>
                  <w:proofErr w:type="spellStart"/>
                  <w:r>
                    <w:t>varus</w:t>
                  </w:r>
                  <w:proofErr w:type="spellEnd"/>
                  <w:r>
                    <w:t xml:space="preserve"> </w:t>
                  </w:r>
                  <w:proofErr w:type="spellStart"/>
                  <w:r>
                    <w:t>malunion</w:t>
                  </w:r>
                  <w:proofErr w:type="spellEnd"/>
                </w:p>
              </w:txbxContent>
            </v:textbox>
          </v:shape>
        </w:pict>
      </w:r>
    </w:p>
    <w:p w:rsidR="003773AD" w:rsidRDefault="003773AD" w:rsidP="004F4471">
      <w:pPr>
        <w:jc w:val="both"/>
        <w:rPr>
          <w:szCs w:val="24"/>
        </w:rPr>
      </w:pPr>
      <w:r>
        <w:rPr>
          <w:szCs w:val="24"/>
        </w:rPr>
        <w:t xml:space="preserve">               </w:t>
      </w:r>
    </w:p>
    <w:p w:rsidR="001B4417" w:rsidRDefault="001B4417" w:rsidP="004F4471">
      <w:pPr>
        <w:jc w:val="both"/>
        <w:rPr>
          <w:szCs w:val="24"/>
        </w:rPr>
      </w:pPr>
    </w:p>
    <w:p w:rsidR="001B4417" w:rsidRDefault="006B66F5" w:rsidP="004F4471">
      <w:pPr>
        <w:jc w:val="both"/>
        <w:rPr>
          <w:szCs w:val="24"/>
        </w:rPr>
      </w:pPr>
      <w:r>
        <w:rPr>
          <w:szCs w:val="24"/>
        </w:rPr>
        <w:t xml:space="preserve">               Figure 5                                                    Figure 6</w:t>
      </w:r>
    </w:p>
    <w:p w:rsidR="001B4417" w:rsidRDefault="001B4417" w:rsidP="004F4471">
      <w:pPr>
        <w:jc w:val="both"/>
        <w:rPr>
          <w:szCs w:val="24"/>
        </w:rPr>
      </w:pPr>
    </w:p>
    <w:p w:rsidR="001B4417" w:rsidRDefault="001B4417" w:rsidP="004F4471">
      <w:pPr>
        <w:jc w:val="both"/>
        <w:rPr>
          <w:szCs w:val="24"/>
        </w:rPr>
      </w:pPr>
    </w:p>
    <w:p w:rsidR="001B4417" w:rsidRDefault="001B4417" w:rsidP="004F4471">
      <w:pPr>
        <w:jc w:val="both"/>
        <w:rPr>
          <w:szCs w:val="24"/>
        </w:rPr>
      </w:pPr>
    </w:p>
    <w:p w:rsidR="005C6062" w:rsidRDefault="005C6062" w:rsidP="004F4471">
      <w:pPr>
        <w:jc w:val="both"/>
        <w:rPr>
          <w:szCs w:val="24"/>
        </w:rPr>
      </w:pPr>
    </w:p>
    <w:p w:rsidR="005C6062" w:rsidRDefault="005C6062" w:rsidP="004F4471">
      <w:pPr>
        <w:jc w:val="both"/>
        <w:rPr>
          <w:szCs w:val="24"/>
        </w:rPr>
      </w:pPr>
    </w:p>
    <w:p w:rsidR="005C6062" w:rsidRDefault="005C6062" w:rsidP="004F4471">
      <w:pPr>
        <w:jc w:val="both"/>
        <w:rPr>
          <w:szCs w:val="24"/>
        </w:rPr>
      </w:pPr>
    </w:p>
    <w:p w:rsidR="001B4417" w:rsidRDefault="001B4417" w:rsidP="004F4471">
      <w:pPr>
        <w:jc w:val="both"/>
        <w:rPr>
          <w:szCs w:val="24"/>
        </w:rPr>
      </w:pPr>
    </w:p>
    <w:p w:rsidR="001B4417" w:rsidRDefault="001B4417" w:rsidP="004F4471">
      <w:pPr>
        <w:jc w:val="both"/>
        <w:rPr>
          <w:szCs w:val="24"/>
        </w:rPr>
      </w:pPr>
    </w:p>
    <w:p w:rsidR="001B4417" w:rsidRDefault="001B4417" w:rsidP="004F4471">
      <w:pPr>
        <w:jc w:val="both"/>
        <w:rPr>
          <w:szCs w:val="24"/>
        </w:rPr>
      </w:pPr>
    </w:p>
    <w:p w:rsidR="001B4417" w:rsidRDefault="001B4417" w:rsidP="004F4471">
      <w:pPr>
        <w:jc w:val="both"/>
        <w:rPr>
          <w:szCs w:val="24"/>
        </w:rPr>
      </w:pPr>
      <w:r>
        <w:rPr>
          <w:szCs w:val="24"/>
        </w:rPr>
        <w:t xml:space="preserve">                         </w:t>
      </w:r>
    </w:p>
    <w:p w:rsidR="001B4417" w:rsidRDefault="001B4417" w:rsidP="004F4471">
      <w:pPr>
        <w:jc w:val="both"/>
        <w:rPr>
          <w:szCs w:val="24"/>
        </w:rPr>
      </w:pPr>
    </w:p>
    <w:p w:rsidR="001B7C6D" w:rsidRDefault="001B7C6D" w:rsidP="004F4471">
      <w:pPr>
        <w:jc w:val="both"/>
        <w:rPr>
          <w:szCs w:val="24"/>
        </w:rPr>
      </w:pPr>
    </w:p>
    <w:p w:rsidR="001B7C6D" w:rsidRDefault="001B7C6D" w:rsidP="004F4471">
      <w:pPr>
        <w:jc w:val="both"/>
        <w:rPr>
          <w:szCs w:val="24"/>
        </w:rPr>
      </w:pPr>
    </w:p>
    <w:p w:rsidR="001B7C6D" w:rsidRDefault="001B7C6D" w:rsidP="004F4471">
      <w:pPr>
        <w:jc w:val="both"/>
        <w:rPr>
          <w:szCs w:val="24"/>
        </w:rPr>
      </w:pPr>
    </w:p>
    <w:p w:rsidR="001B7C6D" w:rsidRDefault="001B7C6D" w:rsidP="004F4471">
      <w:pPr>
        <w:jc w:val="both"/>
        <w:rPr>
          <w:szCs w:val="24"/>
        </w:rPr>
      </w:pPr>
    </w:p>
    <w:p w:rsidR="001B7C6D" w:rsidRDefault="001B7C6D" w:rsidP="004F4471">
      <w:pPr>
        <w:jc w:val="both"/>
        <w:rPr>
          <w:szCs w:val="24"/>
        </w:rPr>
      </w:pPr>
    </w:p>
    <w:p w:rsidR="001B4417" w:rsidRPr="003773AD" w:rsidRDefault="001B7C6D" w:rsidP="004F4471">
      <w:pPr>
        <w:jc w:val="both"/>
        <w:rPr>
          <w:szCs w:val="24"/>
        </w:rPr>
      </w:pPr>
      <w:r>
        <w:rPr>
          <w:szCs w:val="24"/>
        </w:rPr>
        <w:t xml:space="preserve">          </w:t>
      </w:r>
    </w:p>
    <w:sectPr w:rsidR="001B4417" w:rsidRPr="003773AD" w:rsidSect="00235CF8">
      <w:pgSz w:w="12240" w:h="15840"/>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P4DF60E">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56AD"/>
    <w:multiLevelType w:val="hybridMultilevel"/>
    <w:tmpl w:val="2F24D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A5119"/>
    <w:multiLevelType w:val="hybridMultilevel"/>
    <w:tmpl w:val="F6388C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607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C0431C"/>
    <w:multiLevelType w:val="hybridMultilevel"/>
    <w:tmpl w:val="933E13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7C5670C"/>
    <w:multiLevelType w:val="hybridMultilevel"/>
    <w:tmpl w:val="E65C0F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CCC473A"/>
    <w:multiLevelType w:val="hybridMultilevel"/>
    <w:tmpl w:val="73F0325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86D85"/>
    <w:multiLevelType w:val="hybridMultilevel"/>
    <w:tmpl w:val="AE5C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B364F"/>
    <w:multiLevelType w:val="hybridMultilevel"/>
    <w:tmpl w:val="4164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D4F9D"/>
    <w:multiLevelType w:val="hybridMultilevel"/>
    <w:tmpl w:val="E948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E6C2D"/>
    <w:multiLevelType w:val="hybridMultilevel"/>
    <w:tmpl w:val="95123EA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534F3"/>
    <w:multiLevelType w:val="hybridMultilevel"/>
    <w:tmpl w:val="2DA69B86"/>
    <w:lvl w:ilvl="0" w:tplc="AB569480">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73051"/>
    <w:multiLevelType w:val="hybridMultilevel"/>
    <w:tmpl w:val="47CA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1429C"/>
    <w:multiLevelType w:val="hybridMultilevel"/>
    <w:tmpl w:val="5D46B6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5196B3A"/>
    <w:multiLevelType w:val="hybridMultilevel"/>
    <w:tmpl w:val="9F9A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4876E2"/>
    <w:multiLevelType w:val="hybridMultilevel"/>
    <w:tmpl w:val="0306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A16C9"/>
    <w:multiLevelType w:val="hybridMultilevel"/>
    <w:tmpl w:val="98CA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90B57"/>
    <w:multiLevelType w:val="hybridMultilevel"/>
    <w:tmpl w:val="93CCA54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F79E8"/>
    <w:multiLevelType w:val="hybridMultilevel"/>
    <w:tmpl w:val="0FE2D374"/>
    <w:lvl w:ilvl="0" w:tplc="AC5CC3EE">
      <w:start w:val="1"/>
      <w:numFmt w:val="bullet"/>
      <w:lvlText w:val=""/>
      <w:lvlJc w:val="left"/>
      <w:pPr>
        <w:tabs>
          <w:tab w:val="num" w:pos="720"/>
        </w:tabs>
        <w:ind w:left="720" w:hanging="360"/>
      </w:pPr>
      <w:rPr>
        <w:rFonts w:ascii="Wingdings 2" w:hAnsi="Wingdings 2" w:hint="default"/>
      </w:rPr>
    </w:lvl>
    <w:lvl w:ilvl="1" w:tplc="0E70323E" w:tentative="1">
      <w:start w:val="1"/>
      <w:numFmt w:val="bullet"/>
      <w:lvlText w:val=""/>
      <w:lvlJc w:val="left"/>
      <w:pPr>
        <w:tabs>
          <w:tab w:val="num" w:pos="1440"/>
        </w:tabs>
        <w:ind w:left="1440" w:hanging="360"/>
      </w:pPr>
      <w:rPr>
        <w:rFonts w:ascii="Wingdings 2" w:hAnsi="Wingdings 2" w:hint="default"/>
      </w:rPr>
    </w:lvl>
    <w:lvl w:ilvl="2" w:tplc="E4B800F4" w:tentative="1">
      <w:start w:val="1"/>
      <w:numFmt w:val="bullet"/>
      <w:lvlText w:val=""/>
      <w:lvlJc w:val="left"/>
      <w:pPr>
        <w:tabs>
          <w:tab w:val="num" w:pos="2160"/>
        </w:tabs>
        <w:ind w:left="2160" w:hanging="360"/>
      </w:pPr>
      <w:rPr>
        <w:rFonts w:ascii="Wingdings 2" w:hAnsi="Wingdings 2" w:hint="default"/>
      </w:rPr>
    </w:lvl>
    <w:lvl w:ilvl="3" w:tplc="EC18DBE4" w:tentative="1">
      <w:start w:val="1"/>
      <w:numFmt w:val="bullet"/>
      <w:lvlText w:val=""/>
      <w:lvlJc w:val="left"/>
      <w:pPr>
        <w:tabs>
          <w:tab w:val="num" w:pos="2880"/>
        </w:tabs>
        <w:ind w:left="2880" w:hanging="360"/>
      </w:pPr>
      <w:rPr>
        <w:rFonts w:ascii="Wingdings 2" w:hAnsi="Wingdings 2" w:hint="default"/>
      </w:rPr>
    </w:lvl>
    <w:lvl w:ilvl="4" w:tplc="40E63ED4" w:tentative="1">
      <w:start w:val="1"/>
      <w:numFmt w:val="bullet"/>
      <w:lvlText w:val=""/>
      <w:lvlJc w:val="left"/>
      <w:pPr>
        <w:tabs>
          <w:tab w:val="num" w:pos="3600"/>
        </w:tabs>
        <w:ind w:left="3600" w:hanging="360"/>
      </w:pPr>
      <w:rPr>
        <w:rFonts w:ascii="Wingdings 2" w:hAnsi="Wingdings 2" w:hint="default"/>
      </w:rPr>
    </w:lvl>
    <w:lvl w:ilvl="5" w:tplc="99CA6DCE" w:tentative="1">
      <w:start w:val="1"/>
      <w:numFmt w:val="bullet"/>
      <w:lvlText w:val=""/>
      <w:lvlJc w:val="left"/>
      <w:pPr>
        <w:tabs>
          <w:tab w:val="num" w:pos="4320"/>
        </w:tabs>
        <w:ind w:left="4320" w:hanging="360"/>
      </w:pPr>
      <w:rPr>
        <w:rFonts w:ascii="Wingdings 2" w:hAnsi="Wingdings 2" w:hint="default"/>
      </w:rPr>
    </w:lvl>
    <w:lvl w:ilvl="6" w:tplc="E34695D8" w:tentative="1">
      <w:start w:val="1"/>
      <w:numFmt w:val="bullet"/>
      <w:lvlText w:val=""/>
      <w:lvlJc w:val="left"/>
      <w:pPr>
        <w:tabs>
          <w:tab w:val="num" w:pos="5040"/>
        </w:tabs>
        <w:ind w:left="5040" w:hanging="360"/>
      </w:pPr>
      <w:rPr>
        <w:rFonts w:ascii="Wingdings 2" w:hAnsi="Wingdings 2" w:hint="default"/>
      </w:rPr>
    </w:lvl>
    <w:lvl w:ilvl="7" w:tplc="25186C84" w:tentative="1">
      <w:start w:val="1"/>
      <w:numFmt w:val="bullet"/>
      <w:lvlText w:val=""/>
      <w:lvlJc w:val="left"/>
      <w:pPr>
        <w:tabs>
          <w:tab w:val="num" w:pos="5760"/>
        </w:tabs>
        <w:ind w:left="5760" w:hanging="360"/>
      </w:pPr>
      <w:rPr>
        <w:rFonts w:ascii="Wingdings 2" w:hAnsi="Wingdings 2" w:hint="default"/>
      </w:rPr>
    </w:lvl>
    <w:lvl w:ilvl="8" w:tplc="9BCEA6A6" w:tentative="1">
      <w:start w:val="1"/>
      <w:numFmt w:val="bullet"/>
      <w:lvlText w:val=""/>
      <w:lvlJc w:val="left"/>
      <w:pPr>
        <w:tabs>
          <w:tab w:val="num" w:pos="6480"/>
        </w:tabs>
        <w:ind w:left="6480" w:hanging="360"/>
      </w:pPr>
      <w:rPr>
        <w:rFonts w:ascii="Wingdings 2" w:hAnsi="Wingdings 2" w:hint="default"/>
      </w:rPr>
    </w:lvl>
  </w:abstractNum>
  <w:abstractNum w:abstractNumId="18">
    <w:nsid w:val="6C5127D5"/>
    <w:multiLevelType w:val="hybridMultilevel"/>
    <w:tmpl w:val="9F98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781068"/>
    <w:multiLevelType w:val="hybridMultilevel"/>
    <w:tmpl w:val="20AE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052249"/>
    <w:multiLevelType w:val="hybridMultilevel"/>
    <w:tmpl w:val="1416D910"/>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B525246"/>
    <w:multiLevelType w:val="hybridMultilevel"/>
    <w:tmpl w:val="1438F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53AF9"/>
    <w:multiLevelType w:val="hybridMultilevel"/>
    <w:tmpl w:val="F3A6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F7A96"/>
    <w:multiLevelType w:val="hybridMultilevel"/>
    <w:tmpl w:val="2A4AE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15"/>
  </w:num>
  <w:num w:numId="4">
    <w:abstractNumId w:val="19"/>
  </w:num>
  <w:num w:numId="5">
    <w:abstractNumId w:val="8"/>
  </w:num>
  <w:num w:numId="6">
    <w:abstractNumId w:val="12"/>
  </w:num>
  <w:num w:numId="7">
    <w:abstractNumId w:val="4"/>
  </w:num>
  <w:num w:numId="8">
    <w:abstractNumId w:val="7"/>
  </w:num>
  <w:num w:numId="9">
    <w:abstractNumId w:val="13"/>
  </w:num>
  <w:num w:numId="10">
    <w:abstractNumId w:val="10"/>
  </w:num>
  <w:num w:numId="11">
    <w:abstractNumId w:val="21"/>
  </w:num>
  <w:num w:numId="12">
    <w:abstractNumId w:val="6"/>
  </w:num>
  <w:num w:numId="13">
    <w:abstractNumId w:val="9"/>
  </w:num>
  <w:num w:numId="14">
    <w:abstractNumId w:val="5"/>
  </w:num>
  <w:num w:numId="15">
    <w:abstractNumId w:val="22"/>
  </w:num>
  <w:num w:numId="16">
    <w:abstractNumId w:val="18"/>
  </w:num>
  <w:num w:numId="17">
    <w:abstractNumId w:val="14"/>
  </w:num>
  <w:num w:numId="18">
    <w:abstractNumId w:val="3"/>
  </w:num>
  <w:num w:numId="19">
    <w:abstractNumId w:val="23"/>
  </w:num>
  <w:num w:numId="20">
    <w:abstractNumId w:val="20"/>
  </w:num>
  <w:num w:numId="21">
    <w:abstractNumId w:val="1"/>
  </w:num>
  <w:num w:numId="22">
    <w:abstractNumId w:val="17"/>
  </w:num>
  <w:num w:numId="23">
    <w:abstractNumId w:val="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E54497"/>
    <w:rsid w:val="00007795"/>
    <w:rsid w:val="0001150B"/>
    <w:rsid w:val="0002075D"/>
    <w:rsid w:val="00026471"/>
    <w:rsid w:val="00050905"/>
    <w:rsid w:val="0005120E"/>
    <w:rsid w:val="000562BD"/>
    <w:rsid w:val="00057C10"/>
    <w:rsid w:val="00062BDB"/>
    <w:rsid w:val="00070188"/>
    <w:rsid w:val="00071CE0"/>
    <w:rsid w:val="00077A59"/>
    <w:rsid w:val="00090853"/>
    <w:rsid w:val="000932EA"/>
    <w:rsid w:val="000A1AA6"/>
    <w:rsid w:val="000A28C8"/>
    <w:rsid w:val="000A4077"/>
    <w:rsid w:val="000A501F"/>
    <w:rsid w:val="000A7690"/>
    <w:rsid w:val="000B616D"/>
    <w:rsid w:val="000B7EB3"/>
    <w:rsid w:val="000C6A89"/>
    <w:rsid w:val="000C782E"/>
    <w:rsid w:val="000D07F9"/>
    <w:rsid w:val="000D2996"/>
    <w:rsid w:val="000D2A91"/>
    <w:rsid w:val="000D2C9C"/>
    <w:rsid w:val="000D39B3"/>
    <w:rsid w:val="000D6892"/>
    <w:rsid w:val="000D6EA0"/>
    <w:rsid w:val="000E139F"/>
    <w:rsid w:val="000E26F4"/>
    <w:rsid w:val="000E6CFC"/>
    <w:rsid w:val="000F08DE"/>
    <w:rsid w:val="000F1078"/>
    <w:rsid w:val="000F1B82"/>
    <w:rsid w:val="000F2D6B"/>
    <w:rsid w:val="000F3F4E"/>
    <w:rsid w:val="000F6958"/>
    <w:rsid w:val="000F7A31"/>
    <w:rsid w:val="001061D7"/>
    <w:rsid w:val="00106F4C"/>
    <w:rsid w:val="001104D1"/>
    <w:rsid w:val="00120BC7"/>
    <w:rsid w:val="00122D3D"/>
    <w:rsid w:val="00124910"/>
    <w:rsid w:val="00135096"/>
    <w:rsid w:val="001464E5"/>
    <w:rsid w:val="001555CD"/>
    <w:rsid w:val="00155E28"/>
    <w:rsid w:val="0016058D"/>
    <w:rsid w:val="0016217D"/>
    <w:rsid w:val="0016397B"/>
    <w:rsid w:val="00166B7A"/>
    <w:rsid w:val="0016740D"/>
    <w:rsid w:val="00171FA1"/>
    <w:rsid w:val="00175945"/>
    <w:rsid w:val="001768A9"/>
    <w:rsid w:val="00177C97"/>
    <w:rsid w:val="001859C2"/>
    <w:rsid w:val="001950D9"/>
    <w:rsid w:val="001960AF"/>
    <w:rsid w:val="00197C1B"/>
    <w:rsid w:val="001A3EF3"/>
    <w:rsid w:val="001A4605"/>
    <w:rsid w:val="001A6513"/>
    <w:rsid w:val="001B07CC"/>
    <w:rsid w:val="001B0ED0"/>
    <w:rsid w:val="001B4417"/>
    <w:rsid w:val="001B7C6D"/>
    <w:rsid w:val="001C08C6"/>
    <w:rsid w:val="001C1B6E"/>
    <w:rsid w:val="001D4809"/>
    <w:rsid w:val="001E235F"/>
    <w:rsid w:val="001E6CBD"/>
    <w:rsid w:val="001E6F49"/>
    <w:rsid w:val="001E6FA5"/>
    <w:rsid w:val="001F2025"/>
    <w:rsid w:val="00200FAE"/>
    <w:rsid w:val="00202B9D"/>
    <w:rsid w:val="00213903"/>
    <w:rsid w:val="00213FFA"/>
    <w:rsid w:val="00234AED"/>
    <w:rsid w:val="00235CF8"/>
    <w:rsid w:val="002367B2"/>
    <w:rsid w:val="0023684C"/>
    <w:rsid w:val="00243BFD"/>
    <w:rsid w:val="00245105"/>
    <w:rsid w:val="00253E05"/>
    <w:rsid w:val="00264040"/>
    <w:rsid w:val="002670D3"/>
    <w:rsid w:val="00284D53"/>
    <w:rsid w:val="00285613"/>
    <w:rsid w:val="00290FA0"/>
    <w:rsid w:val="002940F7"/>
    <w:rsid w:val="00295EDB"/>
    <w:rsid w:val="002A02C9"/>
    <w:rsid w:val="002A0A66"/>
    <w:rsid w:val="002A52BB"/>
    <w:rsid w:val="002B1CDB"/>
    <w:rsid w:val="002B4546"/>
    <w:rsid w:val="002B78C4"/>
    <w:rsid w:val="002C240C"/>
    <w:rsid w:val="002C5CC4"/>
    <w:rsid w:val="002D3659"/>
    <w:rsid w:val="002D57B3"/>
    <w:rsid w:val="002E1C5C"/>
    <w:rsid w:val="002E52BF"/>
    <w:rsid w:val="002F20F3"/>
    <w:rsid w:val="002F2D97"/>
    <w:rsid w:val="00300107"/>
    <w:rsid w:val="00300E8F"/>
    <w:rsid w:val="00301E95"/>
    <w:rsid w:val="003024CB"/>
    <w:rsid w:val="0031607C"/>
    <w:rsid w:val="00316D5A"/>
    <w:rsid w:val="0031798F"/>
    <w:rsid w:val="00323FB3"/>
    <w:rsid w:val="00325B9F"/>
    <w:rsid w:val="00330FA8"/>
    <w:rsid w:val="00335F06"/>
    <w:rsid w:val="00347889"/>
    <w:rsid w:val="003506AD"/>
    <w:rsid w:val="00356759"/>
    <w:rsid w:val="0036040E"/>
    <w:rsid w:val="0037010A"/>
    <w:rsid w:val="003773AD"/>
    <w:rsid w:val="0037780F"/>
    <w:rsid w:val="003838C7"/>
    <w:rsid w:val="00384853"/>
    <w:rsid w:val="00386FF3"/>
    <w:rsid w:val="003A3FD4"/>
    <w:rsid w:val="003B0220"/>
    <w:rsid w:val="003B1C05"/>
    <w:rsid w:val="003B5021"/>
    <w:rsid w:val="003B543A"/>
    <w:rsid w:val="003C220D"/>
    <w:rsid w:val="003E1248"/>
    <w:rsid w:val="003F31F2"/>
    <w:rsid w:val="004147A4"/>
    <w:rsid w:val="00417450"/>
    <w:rsid w:val="0042484B"/>
    <w:rsid w:val="004303AD"/>
    <w:rsid w:val="00443EF8"/>
    <w:rsid w:val="00462152"/>
    <w:rsid w:val="00476428"/>
    <w:rsid w:val="00476903"/>
    <w:rsid w:val="00480A6B"/>
    <w:rsid w:val="00486DF2"/>
    <w:rsid w:val="0049278B"/>
    <w:rsid w:val="00496562"/>
    <w:rsid w:val="00497CF6"/>
    <w:rsid w:val="004B0042"/>
    <w:rsid w:val="004B0672"/>
    <w:rsid w:val="004B0C2B"/>
    <w:rsid w:val="004B1448"/>
    <w:rsid w:val="004B2CED"/>
    <w:rsid w:val="004D0671"/>
    <w:rsid w:val="004D2FB3"/>
    <w:rsid w:val="004E140D"/>
    <w:rsid w:val="004E4A69"/>
    <w:rsid w:val="004F4471"/>
    <w:rsid w:val="004F5C21"/>
    <w:rsid w:val="004F6A3D"/>
    <w:rsid w:val="00500672"/>
    <w:rsid w:val="00503577"/>
    <w:rsid w:val="00513562"/>
    <w:rsid w:val="00536E37"/>
    <w:rsid w:val="00542CA8"/>
    <w:rsid w:val="00543B92"/>
    <w:rsid w:val="0055006D"/>
    <w:rsid w:val="0055271B"/>
    <w:rsid w:val="005568ED"/>
    <w:rsid w:val="00557138"/>
    <w:rsid w:val="00575297"/>
    <w:rsid w:val="0058300E"/>
    <w:rsid w:val="00587C64"/>
    <w:rsid w:val="00593145"/>
    <w:rsid w:val="005A267F"/>
    <w:rsid w:val="005A2C05"/>
    <w:rsid w:val="005A65C5"/>
    <w:rsid w:val="005A6812"/>
    <w:rsid w:val="005C2973"/>
    <w:rsid w:val="005C4B44"/>
    <w:rsid w:val="005C6062"/>
    <w:rsid w:val="005D17A3"/>
    <w:rsid w:val="005D299D"/>
    <w:rsid w:val="005D3ED7"/>
    <w:rsid w:val="005D5FCA"/>
    <w:rsid w:val="005E078B"/>
    <w:rsid w:val="005E6952"/>
    <w:rsid w:val="005F6C65"/>
    <w:rsid w:val="00601341"/>
    <w:rsid w:val="006048F7"/>
    <w:rsid w:val="00607D19"/>
    <w:rsid w:val="0061196D"/>
    <w:rsid w:val="00611E0B"/>
    <w:rsid w:val="00613710"/>
    <w:rsid w:val="006169A0"/>
    <w:rsid w:val="00625728"/>
    <w:rsid w:val="00635BA7"/>
    <w:rsid w:val="00645648"/>
    <w:rsid w:val="006526AC"/>
    <w:rsid w:val="00653490"/>
    <w:rsid w:val="00670C22"/>
    <w:rsid w:val="0067244D"/>
    <w:rsid w:val="0067488C"/>
    <w:rsid w:val="00676B72"/>
    <w:rsid w:val="00682FB3"/>
    <w:rsid w:val="006840E1"/>
    <w:rsid w:val="006873F0"/>
    <w:rsid w:val="00696ADD"/>
    <w:rsid w:val="00696FBD"/>
    <w:rsid w:val="006A2924"/>
    <w:rsid w:val="006A4CB1"/>
    <w:rsid w:val="006A6DD6"/>
    <w:rsid w:val="006A7F03"/>
    <w:rsid w:val="006B61BA"/>
    <w:rsid w:val="006B66F5"/>
    <w:rsid w:val="006C1234"/>
    <w:rsid w:val="006C339A"/>
    <w:rsid w:val="006C33C6"/>
    <w:rsid w:val="006C681C"/>
    <w:rsid w:val="006D403D"/>
    <w:rsid w:val="006D42B9"/>
    <w:rsid w:val="006D4402"/>
    <w:rsid w:val="00702A38"/>
    <w:rsid w:val="00702D7A"/>
    <w:rsid w:val="0071097F"/>
    <w:rsid w:val="00711D56"/>
    <w:rsid w:val="00713802"/>
    <w:rsid w:val="00720597"/>
    <w:rsid w:val="00726495"/>
    <w:rsid w:val="00731469"/>
    <w:rsid w:val="00736391"/>
    <w:rsid w:val="007366CF"/>
    <w:rsid w:val="00736E55"/>
    <w:rsid w:val="00742F0A"/>
    <w:rsid w:val="0076315B"/>
    <w:rsid w:val="00763640"/>
    <w:rsid w:val="00765A9E"/>
    <w:rsid w:val="00770EF5"/>
    <w:rsid w:val="00770F71"/>
    <w:rsid w:val="007717B4"/>
    <w:rsid w:val="00776A0B"/>
    <w:rsid w:val="0077704C"/>
    <w:rsid w:val="00786C42"/>
    <w:rsid w:val="00796874"/>
    <w:rsid w:val="007A259B"/>
    <w:rsid w:val="007B1BB8"/>
    <w:rsid w:val="007B7010"/>
    <w:rsid w:val="007C1787"/>
    <w:rsid w:val="007D518C"/>
    <w:rsid w:val="007E145C"/>
    <w:rsid w:val="007E3F2F"/>
    <w:rsid w:val="007E5A6F"/>
    <w:rsid w:val="007E5FE7"/>
    <w:rsid w:val="007E7888"/>
    <w:rsid w:val="007F6A46"/>
    <w:rsid w:val="008019E0"/>
    <w:rsid w:val="00807F1C"/>
    <w:rsid w:val="008269DE"/>
    <w:rsid w:val="00847F1A"/>
    <w:rsid w:val="00855EA7"/>
    <w:rsid w:val="0086733C"/>
    <w:rsid w:val="008713BC"/>
    <w:rsid w:val="00881F4E"/>
    <w:rsid w:val="008846DC"/>
    <w:rsid w:val="00890ED0"/>
    <w:rsid w:val="008921FF"/>
    <w:rsid w:val="00896870"/>
    <w:rsid w:val="008A1F7E"/>
    <w:rsid w:val="008A557A"/>
    <w:rsid w:val="008B7F35"/>
    <w:rsid w:val="008C14A7"/>
    <w:rsid w:val="008D0897"/>
    <w:rsid w:val="008D2DE0"/>
    <w:rsid w:val="008E3114"/>
    <w:rsid w:val="008E58F6"/>
    <w:rsid w:val="00916244"/>
    <w:rsid w:val="009164A3"/>
    <w:rsid w:val="0091651A"/>
    <w:rsid w:val="00920ACB"/>
    <w:rsid w:val="00926384"/>
    <w:rsid w:val="00945974"/>
    <w:rsid w:val="00956B14"/>
    <w:rsid w:val="00966A2C"/>
    <w:rsid w:val="00972D1F"/>
    <w:rsid w:val="009730BF"/>
    <w:rsid w:val="0098297D"/>
    <w:rsid w:val="00986595"/>
    <w:rsid w:val="00993882"/>
    <w:rsid w:val="00995CEB"/>
    <w:rsid w:val="00996406"/>
    <w:rsid w:val="009A45E0"/>
    <w:rsid w:val="009A639A"/>
    <w:rsid w:val="009C13F6"/>
    <w:rsid w:val="009C30A7"/>
    <w:rsid w:val="009D13DB"/>
    <w:rsid w:val="009D4BBC"/>
    <w:rsid w:val="009E165F"/>
    <w:rsid w:val="009E2E61"/>
    <w:rsid w:val="009E59A7"/>
    <w:rsid w:val="009E643B"/>
    <w:rsid w:val="009F1AA8"/>
    <w:rsid w:val="009F215C"/>
    <w:rsid w:val="009F6ABE"/>
    <w:rsid w:val="00A07232"/>
    <w:rsid w:val="00A07259"/>
    <w:rsid w:val="00A12802"/>
    <w:rsid w:val="00A14FC9"/>
    <w:rsid w:val="00A169D0"/>
    <w:rsid w:val="00A1702B"/>
    <w:rsid w:val="00A25496"/>
    <w:rsid w:val="00A50E7E"/>
    <w:rsid w:val="00A5183F"/>
    <w:rsid w:val="00A51AB2"/>
    <w:rsid w:val="00A535A3"/>
    <w:rsid w:val="00A5709B"/>
    <w:rsid w:val="00A5711B"/>
    <w:rsid w:val="00A57B9F"/>
    <w:rsid w:val="00A6576D"/>
    <w:rsid w:val="00A676F2"/>
    <w:rsid w:val="00A75D4C"/>
    <w:rsid w:val="00AA461F"/>
    <w:rsid w:val="00AA73C8"/>
    <w:rsid w:val="00AD38CD"/>
    <w:rsid w:val="00AD5137"/>
    <w:rsid w:val="00AE1F43"/>
    <w:rsid w:val="00AE2B41"/>
    <w:rsid w:val="00AE3BD2"/>
    <w:rsid w:val="00AE596F"/>
    <w:rsid w:val="00AE6B51"/>
    <w:rsid w:val="00AE73CB"/>
    <w:rsid w:val="00AF004B"/>
    <w:rsid w:val="00B018A0"/>
    <w:rsid w:val="00B01E85"/>
    <w:rsid w:val="00B0331E"/>
    <w:rsid w:val="00B050B8"/>
    <w:rsid w:val="00B06329"/>
    <w:rsid w:val="00B071BB"/>
    <w:rsid w:val="00B117B9"/>
    <w:rsid w:val="00B14A1F"/>
    <w:rsid w:val="00B23F1B"/>
    <w:rsid w:val="00B25E34"/>
    <w:rsid w:val="00B2678F"/>
    <w:rsid w:val="00B35F4D"/>
    <w:rsid w:val="00B36DC7"/>
    <w:rsid w:val="00B37F1A"/>
    <w:rsid w:val="00B440C3"/>
    <w:rsid w:val="00B450C9"/>
    <w:rsid w:val="00B50CAF"/>
    <w:rsid w:val="00B512B6"/>
    <w:rsid w:val="00B5373D"/>
    <w:rsid w:val="00B549A2"/>
    <w:rsid w:val="00B60947"/>
    <w:rsid w:val="00B77C7B"/>
    <w:rsid w:val="00B80FFD"/>
    <w:rsid w:val="00B810F1"/>
    <w:rsid w:val="00B81B1C"/>
    <w:rsid w:val="00B86C2C"/>
    <w:rsid w:val="00B87175"/>
    <w:rsid w:val="00B94316"/>
    <w:rsid w:val="00BA0071"/>
    <w:rsid w:val="00BA06C4"/>
    <w:rsid w:val="00BA5CA3"/>
    <w:rsid w:val="00BB164B"/>
    <w:rsid w:val="00BB1BA9"/>
    <w:rsid w:val="00BB1CF3"/>
    <w:rsid w:val="00BD107F"/>
    <w:rsid w:val="00BE5B3D"/>
    <w:rsid w:val="00C007C4"/>
    <w:rsid w:val="00C06023"/>
    <w:rsid w:val="00C11EFA"/>
    <w:rsid w:val="00C160A6"/>
    <w:rsid w:val="00C25C15"/>
    <w:rsid w:val="00C263A3"/>
    <w:rsid w:val="00C36027"/>
    <w:rsid w:val="00C421F1"/>
    <w:rsid w:val="00C54F4C"/>
    <w:rsid w:val="00C5760F"/>
    <w:rsid w:val="00C619FE"/>
    <w:rsid w:val="00C62FC6"/>
    <w:rsid w:val="00C758B6"/>
    <w:rsid w:val="00C75F1C"/>
    <w:rsid w:val="00C77E5A"/>
    <w:rsid w:val="00C838F2"/>
    <w:rsid w:val="00C85D06"/>
    <w:rsid w:val="00C86DBB"/>
    <w:rsid w:val="00C911AF"/>
    <w:rsid w:val="00CB5240"/>
    <w:rsid w:val="00CB5DAE"/>
    <w:rsid w:val="00CC14B9"/>
    <w:rsid w:val="00CC4A83"/>
    <w:rsid w:val="00CC529B"/>
    <w:rsid w:val="00CC74B3"/>
    <w:rsid w:val="00CD05F8"/>
    <w:rsid w:val="00CE403F"/>
    <w:rsid w:val="00CE51A1"/>
    <w:rsid w:val="00CE5734"/>
    <w:rsid w:val="00CF0A39"/>
    <w:rsid w:val="00CF0A51"/>
    <w:rsid w:val="00CF71A2"/>
    <w:rsid w:val="00D005B8"/>
    <w:rsid w:val="00D16C12"/>
    <w:rsid w:val="00D17BB6"/>
    <w:rsid w:val="00D2162E"/>
    <w:rsid w:val="00D21C0F"/>
    <w:rsid w:val="00D2491F"/>
    <w:rsid w:val="00D30165"/>
    <w:rsid w:val="00D309AE"/>
    <w:rsid w:val="00D31374"/>
    <w:rsid w:val="00D32D92"/>
    <w:rsid w:val="00D33CC2"/>
    <w:rsid w:val="00D4475E"/>
    <w:rsid w:val="00D45EA9"/>
    <w:rsid w:val="00D6102B"/>
    <w:rsid w:val="00D6522D"/>
    <w:rsid w:val="00D82E25"/>
    <w:rsid w:val="00DA249B"/>
    <w:rsid w:val="00DB6FD2"/>
    <w:rsid w:val="00DC09F2"/>
    <w:rsid w:val="00DC18E4"/>
    <w:rsid w:val="00DC410F"/>
    <w:rsid w:val="00DC4C9B"/>
    <w:rsid w:val="00DD23FB"/>
    <w:rsid w:val="00DD6386"/>
    <w:rsid w:val="00DE118C"/>
    <w:rsid w:val="00DE7E52"/>
    <w:rsid w:val="00DF0084"/>
    <w:rsid w:val="00E025E5"/>
    <w:rsid w:val="00E0531E"/>
    <w:rsid w:val="00E05EE7"/>
    <w:rsid w:val="00E068FB"/>
    <w:rsid w:val="00E14B26"/>
    <w:rsid w:val="00E17CB2"/>
    <w:rsid w:val="00E2764E"/>
    <w:rsid w:val="00E37536"/>
    <w:rsid w:val="00E42918"/>
    <w:rsid w:val="00E4637C"/>
    <w:rsid w:val="00E53B55"/>
    <w:rsid w:val="00E54497"/>
    <w:rsid w:val="00E54600"/>
    <w:rsid w:val="00E54E60"/>
    <w:rsid w:val="00E6211D"/>
    <w:rsid w:val="00E62A8C"/>
    <w:rsid w:val="00E758FC"/>
    <w:rsid w:val="00E83778"/>
    <w:rsid w:val="00E84E45"/>
    <w:rsid w:val="00E86D36"/>
    <w:rsid w:val="00E911C0"/>
    <w:rsid w:val="00E92814"/>
    <w:rsid w:val="00E969CE"/>
    <w:rsid w:val="00EA344E"/>
    <w:rsid w:val="00EA7CCC"/>
    <w:rsid w:val="00EB4299"/>
    <w:rsid w:val="00EB45D8"/>
    <w:rsid w:val="00EC0408"/>
    <w:rsid w:val="00EC200C"/>
    <w:rsid w:val="00EC3D1E"/>
    <w:rsid w:val="00ED52A0"/>
    <w:rsid w:val="00EE3FA7"/>
    <w:rsid w:val="00EE7497"/>
    <w:rsid w:val="00EF1774"/>
    <w:rsid w:val="00EF7889"/>
    <w:rsid w:val="00F10BBB"/>
    <w:rsid w:val="00F21C39"/>
    <w:rsid w:val="00F24B68"/>
    <w:rsid w:val="00F26198"/>
    <w:rsid w:val="00F26E0D"/>
    <w:rsid w:val="00F27667"/>
    <w:rsid w:val="00F3093E"/>
    <w:rsid w:val="00F36C53"/>
    <w:rsid w:val="00F461F5"/>
    <w:rsid w:val="00F462B6"/>
    <w:rsid w:val="00F4727C"/>
    <w:rsid w:val="00F65C81"/>
    <w:rsid w:val="00F701FF"/>
    <w:rsid w:val="00F82899"/>
    <w:rsid w:val="00F853CC"/>
    <w:rsid w:val="00F907B3"/>
    <w:rsid w:val="00FA0223"/>
    <w:rsid w:val="00FA41B2"/>
    <w:rsid w:val="00FC0E5B"/>
    <w:rsid w:val="00FC191A"/>
    <w:rsid w:val="00FC1EBE"/>
    <w:rsid w:val="00FC2A37"/>
    <w:rsid w:val="00FC40EE"/>
    <w:rsid w:val="00FC4B53"/>
    <w:rsid w:val="00FC7924"/>
    <w:rsid w:val="00FC7DFA"/>
    <w:rsid w:val="00FD22AB"/>
    <w:rsid w:val="00FD2404"/>
    <w:rsid w:val="00FD59C9"/>
    <w:rsid w:val="00FE2C40"/>
    <w:rsid w:val="00FF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97"/>
    <w:pPr>
      <w:spacing w:after="0" w:line="240" w:lineRule="auto"/>
    </w:pPr>
    <w:rPr>
      <w:rFonts w:ascii="Times New Roman" w:eastAsia="Arial" w:hAnsi="Times New Roman" w:cs="Times New Roman"/>
      <w:sz w:val="24"/>
    </w:rPr>
  </w:style>
  <w:style w:type="paragraph" w:styleId="Heading1">
    <w:name w:val="heading 1"/>
    <w:basedOn w:val="Normal"/>
    <w:next w:val="Normal"/>
    <w:link w:val="Heading1Char"/>
    <w:uiPriority w:val="9"/>
    <w:qFormat/>
    <w:rsid w:val="00E5449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152"/>
    <w:pPr>
      <w:ind w:left="720"/>
      <w:contextualSpacing/>
    </w:pPr>
  </w:style>
  <w:style w:type="character" w:customStyle="1" w:styleId="Heading1Char">
    <w:name w:val="Heading 1 Char"/>
    <w:basedOn w:val="DefaultParagraphFont"/>
    <w:link w:val="Heading1"/>
    <w:uiPriority w:val="9"/>
    <w:rsid w:val="00E54497"/>
    <w:rPr>
      <w:rFonts w:ascii="Cambria" w:eastAsia="Times New Roman" w:hAnsi="Cambria" w:cs="Times New Roman"/>
      <w:b/>
      <w:bCs/>
      <w:kern w:val="32"/>
      <w:sz w:val="32"/>
      <w:szCs w:val="32"/>
    </w:rPr>
  </w:style>
  <w:style w:type="character" w:styleId="Hyperlink">
    <w:name w:val="Hyperlink"/>
    <w:unhideWhenUsed/>
    <w:rsid w:val="00E54497"/>
    <w:rPr>
      <w:color w:val="0000FF"/>
      <w:u w:val="single"/>
    </w:rPr>
  </w:style>
  <w:style w:type="paragraph" w:styleId="PlainText">
    <w:name w:val="Plain Text"/>
    <w:basedOn w:val="Normal"/>
    <w:link w:val="PlainTextChar"/>
    <w:uiPriority w:val="99"/>
    <w:unhideWhenUsed/>
    <w:rsid w:val="00E54497"/>
    <w:rPr>
      <w:rFonts w:ascii="Consolas" w:eastAsia="Calibri" w:hAnsi="Consolas"/>
      <w:sz w:val="21"/>
      <w:szCs w:val="21"/>
    </w:rPr>
  </w:style>
  <w:style w:type="character" w:customStyle="1" w:styleId="PlainTextChar">
    <w:name w:val="Plain Text Char"/>
    <w:basedOn w:val="DefaultParagraphFont"/>
    <w:link w:val="PlainText"/>
    <w:uiPriority w:val="99"/>
    <w:rsid w:val="00E54497"/>
    <w:rPr>
      <w:rFonts w:ascii="Consolas" w:eastAsia="Calibri" w:hAnsi="Consolas" w:cs="Times New Roman"/>
      <w:sz w:val="21"/>
      <w:szCs w:val="21"/>
    </w:rPr>
  </w:style>
  <w:style w:type="table" w:styleId="TableGrid">
    <w:name w:val="Table Grid"/>
    <w:basedOn w:val="TableNormal"/>
    <w:uiPriority w:val="59"/>
    <w:rsid w:val="00377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name">
    <w:name w:val="author-name"/>
    <w:basedOn w:val="DefaultParagraphFont"/>
    <w:rsid w:val="00DC18E4"/>
  </w:style>
  <w:style w:type="paragraph" w:styleId="BalloonText">
    <w:name w:val="Balloon Text"/>
    <w:basedOn w:val="Normal"/>
    <w:link w:val="BalloonTextChar"/>
    <w:uiPriority w:val="99"/>
    <w:semiHidden/>
    <w:unhideWhenUsed/>
    <w:rsid w:val="00D45EA9"/>
    <w:rPr>
      <w:rFonts w:ascii="Tahoma" w:hAnsi="Tahoma" w:cs="Tahoma"/>
      <w:sz w:val="16"/>
      <w:szCs w:val="16"/>
    </w:rPr>
  </w:style>
  <w:style w:type="character" w:customStyle="1" w:styleId="BalloonTextChar">
    <w:name w:val="Balloon Text Char"/>
    <w:basedOn w:val="DefaultParagraphFont"/>
    <w:link w:val="BalloonText"/>
    <w:uiPriority w:val="99"/>
    <w:semiHidden/>
    <w:rsid w:val="00D45EA9"/>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666027">
      <w:bodyDiv w:val="1"/>
      <w:marLeft w:val="0"/>
      <w:marRight w:val="0"/>
      <w:marTop w:val="0"/>
      <w:marBottom w:val="0"/>
      <w:divBdr>
        <w:top w:val="none" w:sz="0" w:space="0" w:color="auto"/>
        <w:left w:val="none" w:sz="0" w:space="0" w:color="auto"/>
        <w:bottom w:val="none" w:sz="0" w:space="0" w:color="auto"/>
        <w:right w:val="none" w:sz="0" w:space="0" w:color="auto"/>
      </w:divBdr>
      <w:divsChild>
        <w:div w:id="178095224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ncbi.nlm.nih.gov/pubmed/17727017"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Tribeni Sarma</cp:lastModifiedBy>
  <cp:revision>165</cp:revision>
  <dcterms:created xsi:type="dcterms:W3CDTF">2016-06-19T03:14:00Z</dcterms:created>
  <dcterms:modified xsi:type="dcterms:W3CDTF">2016-07-06T06:31:00Z</dcterms:modified>
</cp:coreProperties>
</file>