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72" w:rsidRPr="00915091" w:rsidRDefault="002F5372" w:rsidP="00635FA7">
      <w:pPr>
        <w:spacing w:line="240" w:lineRule="auto"/>
        <w:rPr>
          <w:rFonts w:asciiTheme="majorBidi" w:hAnsiTheme="majorBidi" w:cstheme="majorBidi"/>
          <w:sz w:val="44"/>
          <w:szCs w:val="44"/>
          <w:lang w:val="en-US"/>
        </w:rPr>
      </w:pPr>
      <w:r w:rsidRPr="00915091">
        <w:rPr>
          <w:rFonts w:asciiTheme="majorBidi" w:hAnsiTheme="majorBidi" w:cstheme="majorBidi"/>
          <w:sz w:val="44"/>
          <w:szCs w:val="44"/>
          <w:lang w:val="en-US"/>
        </w:rPr>
        <w:t>Profile of Adverse Drug Reaction in Patient with Renal Disorders</w:t>
      </w:r>
    </w:p>
    <w:p w:rsidR="00300E6A" w:rsidRDefault="00300E6A" w:rsidP="00635FA7">
      <w:pPr>
        <w:spacing w:line="240" w:lineRule="auto"/>
        <w:rPr>
          <w:rFonts w:asciiTheme="majorBidi" w:hAnsiTheme="majorBidi" w:cstheme="majorBidi"/>
          <w:i/>
          <w:iCs/>
          <w:lang w:val="en-US"/>
        </w:rPr>
      </w:pPr>
      <w:r>
        <w:rPr>
          <w:rFonts w:asciiTheme="majorBidi" w:hAnsiTheme="majorBidi" w:cstheme="majorBidi"/>
          <w:i/>
          <w:iCs/>
          <w:lang w:val="en-US"/>
        </w:rPr>
        <w:t>Dr Pranabjyoti Mahanta</w:t>
      </w:r>
      <w:r w:rsidR="008C38A3">
        <w:rPr>
          <w:rFonts w:asciiTheme="majorBidi" w:hAnsiTheme="majorBidi" w:cstheme="majorBidi"/>
          <w:i/>
          <w:iCs/>
          <w:lang w:val="en-US"/>
        </w:rPr>
        <w:t xml:space="preserve">, and Dr Monmoyuri </w:t>
      </w:r>
      <w:r w:rsidR="00FA3F12">
        <w:rPr>
          <w:rFonts w:asciiTheme="majorBidi" w:hAnsiTheme="majorBidi" w:cstheme="majorBidi"/>
          <w:i/>
          <w:iCs/>
          <w:lang w:val="en-US"/>
        </w:rPr>
        <w:t>D</w:t>
      </w:r>
      <w:r w:rsidR="008C38A3">
        <w:rPr>
          <w:rFonts w:asciiTheme="majorBidi" w:hAnsiTheme="majorBidi" w:cstheme="majorBidi"/>
          <w:i/>
          <w:iCs/>
          <w:lang w:val="en-US"/>
        </w:rPr>
        <w:t xml:space="preserve"> Mahanta</w:t>
      </w:r>
    </w:p>
    <w:p w:rsidR="009759E0" w:rsidRPr="00527130" w:rsidRDefault="009759E0" w:rsidP="00635FA7">
      <w:pPr>
        <w:spacing w:line="240" w:lineRule="auto"/>
        <w:rPr>
          <w:rFonts w:asciiTheme="majorBidi" w:hAnsiTheme="majorBidi" w:cstheme="majorBidi"/>
          <w:sz w:val="24"/>
          <w:szCs w:val="24"/>
          <w:lang w:val="en-US"/>
        </w:rPr>
      </w:pPr>
    </w:p>
    <w:p w:rsidR="009759E0" w:rsidRPr="00FA3F12" w:rsidRDefault="009759E0" w:rsidP="00635FA7">
      <w:pPr>
        <w:spacing w:line="240" w:lineRule="auto"/>
        <w:jc w:val="both"/>
        <w:rPr>
          <w:rFonts w:asciiTheme="majorBidi" w:hAnsiTheme="majorBidi" w:cstheme="majorBidi"/>
          <w:b/>
          <w:bCs/>
          <w:lang w:val="en-US"/>
        </w:rPr>
      </w:pPr>
      <w:r w:rsidRPr="00FA3F12">
        <w:rPr>
          <w:rFonts w:asciiTheme="majorBidi" w:hAnsiTheme="majorBidi" w:cstheme="majorBidi"/>
          <w:b/>
          <w:bCs/>
          <w:lang w:val="en-US"/>
        </w:rPr>
        <w:t>ABSTRACT:</w:t>
      </w:r>
    </w:p>
    <w:p w:rsidR="009759E0" w:rsidRPr="00FA3F12" w:rsidRDefault="009759E0"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b/>
          <w:bCs/>
          <w:sz w:val="20"/>
          <w:szCs w:val="20"/>
          <w:lang w:val="en-US"/>
        </w:rPr>
        <w:t>Introduction</w:t>
      </w:r>
      <w:r w:rsidRPr="00FA3F12">
        <w:rPr>
          <w:rFonts w:asciiTheme="majorBidi" w:hAnsiTheme="majorBidi" w:cstheme="majorBidi"/>
          <w:sz w:val="20"/>
          <w:szCs w:val="20"/>
          <w:lang w:val="en-US"/>
        </w:rPr>
        <w:t>:</w:t>
      </w:r>
      <w:r w:rsidRPr="00527130">
        <w:rPr>
          <w:rFonts w:asciiTheme="majorBidi" w:hAnsiTheme="majorBidi" w:cstheme="majorBidi"/>
          <w:sz w:val="24"/>
          <w:szCs w:val="24"/>
          <w:lang w:val="en-US"/>
        </w:rPr>
        <w:t xml:space="preserve"> </w:t>
      </w:r>
      <w:r w:rsidRPr="00FA3F12">
        <w:rPr>
          <w:rFonts w:asciiTheme="majorBidi" w:hAnsiTheme="majorBidi" w:cstheme="majorBidi"/>
          <w:sz w:val="20"/>
          <w:szCs w:val="20"/>
          <w:lang w:val="en-US"/>
        </w:rPr>
        <w:t>Lot of drugs cause renal dysfunction</w:t>
      </w:r>
      <w:r w:rsidR="000545D6" w:rsidRPr="00FA3F12">
        <w:rPr>
          <w:rFonts w:asciiTheme="majorBidi" w:hAnsiTheme="majorBidi" w:cstheme="majorBidi"/>
          <w:sz w:val="20"/>
          <w:szCs w:val="20"/>
          <w:lang w:val="en-US"/>
        </w:rPr>
        <w:t>s</w:t>
      </w:r>
      <w:r w:rsidRPr="00FA3F12">
        <w:rPr>
          <w:rFonts w:asciiTheme="majorBidi" w:hAnsiTheme="majorBidi" w:cstheme="majorBidi"/>
          <w:sz w:val="20"/>
          <w:szCs w:val="20"/>
          <w:lang w:val="en-US"/>
        </w:rPr>
        <w:t xml:space="preserve">. </w:t>
      </w:r>
      <w:r w:rsidR="00E11037" w:rsidRPr="00FA3F12">
        <w:rPr>
          <w:rFonts w:asciiTheme="majorBidi" w:hAnsiTheme="majorBidi" w:cstheme="majorBidi"/>
          <w:sz w:val="20"/>
          <w:szCs w:val="20"/>
          <w:lang w:val="en-US"/>
        </w:rPr>
        <w:t>As</w:t>
      </w:r>
      <w:r w:rsidRPr="00FA3F12">
        <w:rPr>
          <w:rFonts w:asciiTheme="majorBidi" w:hAnsiTheme="majorBidi" w:cstheme="majorBidi"/>
          <w:sz w:val="20"/>
          <w:szCs w:val="20"/>
          <w:lang w:val="en-US"/>
        </w:rPr>
        <w:t xml:space="preserve"> renal patients are prescribed </w:t>
      </w:r>
      <w:r w:rsidR="00E11037" w:rsidRPr="00FA3F12">
        <w:rPr>
          <w:rFonts w:asciiTheme="majorBidi" w:hAnsiTheme="majorBidi" w:cstheme="majorBidi"/>
          <w:sz w:val="20"/>
          <w:szCs w:val="20"/>
          <w:lang w:val="en-US"/>
        </w:rPr>
        <w:t>medications with outmost care and attention, and with dose modifications according to GFR</w:t>
      </w:r>
      <w:r w:rsidR="004D1429" w:rsidRPr="00FA3F12">
        <w:rPr>
          <w:rFonts w:asciiTheme="majorBidi" w:hAnsiTheme="majorBidi" w:cstheme="majorBidi"/>
          <w:sz w:val="20"/>
          <w:szCs w:val="20"/>
          <w:lang w:val="en-US"/>
        </w:rPr>
        <w:t>, adverse</w:t>
      </w:r>
      <w:r w:rsidR="00403494" w:rsidRPr="00FA3F12">
        <w:rPr>
          <w:rFonts w:asciiTheme="majorBidi" w:hAnsiTheme="majorBidi" w:cstheme="majorBidi"/>
          <w:sz w:val="20"/>
          <w:szCs w:val="20"/>
          <w:lang w:val="en-US"/>
        </w:rPr>
        <w:t xml:space="preserve"> drug reactions</w:t>
      </w:r>
      <w:r w:rsidR="00E11037" w:rsidRPr="00FA3F12">
        <w:rPr>
          <w:rFonts w:asciiTheme="majorBidi" w:hAnsiTheme="majorBidi" w:cstheme="majorBidi"/>
          <w:sz w:val="20"/>
          <w:szCs w:val="20"/>
          <w:lang w:val="en-US"/>
        </w:rPr>
        <w:t xml:space="preserve"> in renal patients </w:t>
      </w:r>
      <w:r w:rsidR="00403494" w:rsidRPr="00FA3F12">
        <w:rPr>
          <w:rFonts w:asciiTheme="majorBidi" w:hAnsiTheme="majorBidi" w:cstheme="majorBidi"/>
          <w:sz w:val="20"/>
          <w:szCs w:val="20"/>
          <w:lang w:val="en-US"/>
        </w:rPr>
        <w:t>are</w:t>
      </w:r>
      <w:r w:rsidR="00E11037" w:rsidRPr="00FA3F12">
        <w:rPr>
          <w:rFonts w:asciiTheme="majorBidi" w:hAnsiTheme="majorBidi" w:cstheme="majorBidi"/>
          <w:sz w:val="20"/>
          <w:szCs w:val="20"/>
          <w:lang w:val="en-US"/>
        </w:rPr>
        <w:t xml:space="preserve"> expected to be very low</w:t>
      </w:r>
      <w:r w:rsidR="004D1429" w:rsidRPr="00FA3F12">
        <w:rPr>
          <w:rFonts w:asciiTheme="majorBidi" w:hAnsiTheme="majorBidi" w:cstheme="majorBidi"/>
          <w:sz w:val="20"/>
          <w:szCs w:val="20"/>
          <w:lang w:val="en-US"/>
        </w:rPr>
        <w:t>.</w:t>
      </w:r>
      <w:r w:rsidR="00403494" w:rsidRPr="00FA3F12">
        <w:rPr>
          <w:rFonts w:asciiTheme="majorBidi" w:hAnsiTheme="majorBidi" w:cstheme="majorBidi"/>
          <w:sz w:val="20"/>
          <w:szCs w:val="20"/>
          <w:lang w:val="en-US"/>
        </w:rPr>
        <w:t xml:space="preserve"> </w:t>
      </w:r>
    </w:p>
    <w:p w:rsidR="00527130" w:rsidRPr="00FA3F12" w:rsidRDefault="00527130"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b/>
          <w:bCs/>
          <w:sz w:val="20"/>
          <w:szCs w:val="20"/>
          <w:lang w:val="en-US"/>
        </w:rPr>
        <w:t>Aim</w:t>
      </w:r>
      <w:r w:rsidRPr="00FA3F12">
        <w:rPr>
          <w:rFonts w:asciiTheme="majorBidi" w:hAnsiTheme="majorBidi" w:cstheme="majorBidi"/>
          <w:sz w:val="20"/>
          <w:szCs w:val="20"/>
          <w:lang w:val="en-US"/>
        </w:rPr>
        <w:t>: To find out the incidence of adverse drug reaction (ADR), to ascertain the association of the offending drugs with the type of ADR, and to assess the severity of ADR, in indoor and outdoor renal patients.</w:t>
      </w:r>
    </w:p>
    <w:p w:rsidR="002F5372" w:rsidRPr="00FA3F12" w:rsidRDefault="00527130"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b/>
          <w:bCs/>
          <w:sz w:val="20"/>
          <w:szCs w:val="20"/>
          <w:lang w:val="en-US"/>
        </w:rPr>
        <w:t>Methods</w:t>
      </w:r>
      <w:r w:rsidRPr="00FA3F12">
        <w:rPr>
          <w:rFonts w:asciiTheme="majorBidi" w:hAnsiTheme="majorBidi" w:cstheme="majorBidi"/>
          <w:sz w:val="20"/>
          <w:szCs w:val="20"/>
          <w:lang w:val="en-US"/>
        </w:rPr>
        <w:t xml:space="preserve">:  </w:t>
      </w:r>
      <w:r w:rsidR="007B3070" w:rsidRPr="00FA3F12">
        <w:rPr>
          <w:rFonts w:asciiTheme="majorBidi" w:hAnsiTheme="majorBidi" w:cstheme="majorBidi"/>
          <w:sz w:val="20"/>
          <w:szCs w:val="20"/>
          <w:lang w:val="en-US"/>
        </w:rPr>
        <w:t>This is prospective observational case control study, which was con</w:t>
      </w:r>
      <w:r w:rsidR="005536F3">
        <w:rPr>
          <w:rFonts w:asciiTheme="majorBidi" w:hAnsiTheme="majorBidi" w:cstheme="majorBidi"/>
          <w:sz w:val="20"/>
          <w:szCs w:val="20"/>
          <w:lang w:val="en-US"/>
        </w:rPr>
        <w:t>ducted in 850 patients, who had</w:t>
      </w:r>
      <w:r w:rsidR="007B3070" w:rsidRPr="00FA3F12">
        <w:rPr>
          <w:rFonts w:asciiTheme="majorBidi" w:hAnsiTheme="majorBidi" w:cstheme="majorBidi"/>
          <w:sz w:val="20"/>
          <w:szCs w:val="20"/>
          <w:lang w:val="en-US"/>
        </w:rPr>
        <w:t xml:space="preserve"> either attended the Nephrology deptt. OPD or were admitted in the Nephrology ward of Guwahati Medical College hospital</w:t>
      </w:r>
      <w:r w:rsidR="00E11037" w:rsidRPr="00FA3F12">
        <w:rPr>
          <w:rFonts w:asciiTheme="majorBidi" w:hAnsiTheme="majorBidi" w:cstheme="majorBidi"/>
          <w:sz w:val="20"/>
          <w:szCs w:val="20"/>
          <w:lang w:val="en-US"/>
        </w:rPr>
        <w:t xml:space="preserve"> with various renal disease</w:t>
      </w:r>
      <w:r w:rsidR="007B3070" w:rsidRPr="00FA3F12">
        <w:rPr>
          <w:rFonts w:asciiTheme="majorBidi" w:hAnsiTheme="majorBidi" w:cstheme="majorBidi"/>
          <w:sz w:val="20"/>
          <w:szCs w:val="20"/>
          <w:lang w:val="en-US"/>
        </w:rPr>
        <w:t xml:space="preserve">, from January to June 2012. </w:t>
      </w:r>
    </w:p>
    <w:p w:rsidR="00E11037" w:rsidRPr="00FA3F12" w:rsidRDefault="000545D6"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b/>
          <w:bCs/>
          <w:sz w:val="20"/>
          <w:szCs w:val="20"/>
          <w:lang w:val="en-US"/>
        </w:rPr>
        <w:t>Results</w:t>
      </w:r>
      <w:r w:rsidRPr="00FA3F12">
        <w:rPr>
          <w:rFonts w:asciiTheme="majorBidi" w:hAnsiTheme="majorBidi" w:cstheme="majorBidi"/>
          <w:sz w:val="20"/>
          <w:szCs w:val="20"/>
          <w:lang w:val="en-US"/>
        </w:rPr>
        <w:t xml:space="preserve">: </w:t>
      </w:r>
      <w:r w:rsidR="004D1429" w:rsidRPr="00FA3F12">
        <w:rPr>
          <w:rFonts w:asciiTheme="majorBidi" w:hAnsiTheme="majorBidi" w:cstheme="majorBidi"/>
          <w:sz w:val="20"/>
          <w:szCs w:val="20"/>
          <w:lang w:val="en-US"/>
        </w:rPr>
        <w:t>Out of the 850 patient, 72 (8.4%) patients were found to have one or more ADR</w:t>
      </w:r>
      <w:r w:rsidR="00AE13DA" w:rsidRPr="00FA3F12">
        <w:rPr>
          <w:rFonts w:asciiTheme="majorBidi" w:hAnsiTheme="majorBidi" w:cstheme="majorBidi"/>
          <w:sz w:val="20"/>
          <w:szCs w:val="20"/>
          <w:lang w:val="en-US"/>
        </w:rPr>
        <w:t>, comprising of total 89 episode of ADR</w:t>
      </w:r>
      <w:r w:rsidR="004D1429" w:rsidRPr="00FA3F12">
        <w:rPr>
          <w:rFonts w:asciiTheme="majorBidi" w:hAnsiTheme="majorBidi" w:cstheme="majorBidi"/>
          <w:sz w:val="20"/>
          <w:szCs w:val="20"/>
          <w:lang w:val="en-US"/>
        </w:rPr>
        <w:t xml:space="preserve">. Out of these Male were 40 and female were 32 in number. Commonest age group was 18- 60 years of age. </w:t>
      </w:r>
      <w:r w:rsidR="00F10519" w:rsidRPr="00FA3F12">
        <w:rPr>
          <w:rFonts w:asciiTheme="majorBidi" w:hAnsiTheme="majorBidi" w:cstheme="majorBidi"/>
          <w:sz w:val="20"/>
          <w:szCs w:val="20"/>
          <w:lang w:val="en-US"/>
        </w:rPr>
        <w:t xml:space="preserve">Commonest ADR was Moon face (18.6%), followed by Allergic reactions (10.4%). In the causality assessment scale: most of the ADR were highly probable </w:t>
      </w:r>
      <w:r w:rsidR="00AE13DA" w:rsidRPr="00FA3F12">
        <w:rPr>
          <w:rFonts w:asciiTheme="majorBidi" w:hAnsiTheme="majorBidi" w:cstheme="majorBidi"/>
          <w:sz w:val="20"/>
          <w:szCs w:val="20"/>
          <w:lang w:val="en-US"/>
        </w:rPr>
        <w:t>for offending drugs</w:t>
      </w:r>
      <w:r w:rsidR="00F10519" w:rsidRPr="00FA3F12">
        <w:rPr>
          <w:rFonts w:asciiTheme="majorBidi" w:hAnsiTheme="majorBidi" w:cstheme="majorBidi"/>
          <w:sz w:val="20"/>
          <w:szCs w:val="20"/>
          <w:lang w:val="en-US"/>
        </w:rPr>
        <w:t xml:space="preserve"> (</w:t>
      </w:r>
      <w:r w:rsidR="00694174" w:rsidRPr="00FA3F12">
        <w:rPr>
          <w:rFonts w:asciiTheme="majorBidi" w:hAnsiTheme="majorBidi" w:cstheme="majorBidi"/>
          <w:sz w:val="20"/>
          <w:szCs w:val="20"/>
          <w:lang w:val="en-US"/>
        </w:rPr>
        <w:t>65%)</w:t>
      </w:r>
      <w:r w:rsidR="00F10519" w:rsidRPr="00FA3F12">
        <w:rPr>
          <w:rFonts w:asciiTheme="majorBidi" w:hAnsiTheme="majorBidi" w:cstheme="majorBidi"/>
          <w:sz w:val="20"/>
          <w:szCs w:val="20"/>
          <w:lang w:val="en-US"/>
        </w:rPr>
        <w:t>.</w:t>
      </w:r>
      <w:r w:rsidR="00694174" w:rsidRPr="00FA3F12">
        <w:rPr>
          <w:rFonts w:asciiTheme="majorBidi" w:hAnsiTheme="majorBidi" w:cstheme="majorBidi"/>
          <w:sz w:val="20"/>
          <w:szCs w:val="20"/>
          <w:lang w:val="en-US"/>
        </w:rPr>
        <w:t xml:space="preserve"> Regarding severity, most of the patients had mild ADR (51.6%), latent in onset</w:t>
      </w:r>
      <w:r w:rsidR="002943C8" w:rsidRPr="00FA3F12">
        <w:rPr>
          <w:rFonts w:asciiTheme="majorBidi" w:hAnsiTheme="majorBidi" w:cstheme="majorBidi"/>
          <w:sz w:val="20"/>
          <w:szCs w:val="20"/>
          <w:lang w:val="en-US"/>
        </w:rPr>
        <w:t xml:space="preserve">, and </w:t>
      </w:r>
      <w:r w:rsidR="00694174" w:rsidRPr="00FA3F12">
        <w:rPr>
          <w:rFonts w:asciiTheme="majorBidi" w:hAnsiTheme="majorBidi" w:cstheme="majorBidi"/>
          <w:sz w:val="20"/>
          <w:szCs w:val="20"/>
          <w:lang w:val="en-US"/>
        </w:rPr>
        <w:t>only 12.</w:t>
      </w:r>
      <w:r w:rsidR="002E5F6B" w:rsidRPr="00FA3F12">
        <w:rPr>
          <w:rFonts w:asciiTheme="majorBidi" w:hAnsiTheme="majorBidi" w:cstheme="majorBidi"/>
          <w:sz w:val="20"/>
          <w:szCs w:val="20"/>
          <w:lang w:val="en-US"/>
        </w:rPr>
        <w:t>3</w:t>
      </w:r>
      <w:r w:rsidR="00694174" w:rsidRPr="00FA3F12">
        <w:rPr>
          <w:rFonts w:asciiTheme="majorBidi" w:hAnsiTheme="majorBidi" w:cstheme="majorBidi"/>
          <w:sz w:val="20"/>
          <w:szCs w:val="20"/>
          <w:lang w:val="en-US"/>
        </w:rPr>
        <w:t xml:space="preserve"> % were preventable.</w:t>
      </w:r>
    </w:p>
    <w:p w:rsidR="00692C56" w:rsidRPr="00FA3F12" w:rsidRDefault="000D4965"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b/>
          <w:bCs/>
          <w:sz w:val="20"/>
          <w:szCs w:val="20"/>
          <w:lang w:val="en-US"/>
        </w:rPr>
        <w:t>Conclusion:</w:t>
      </w:r>
      <w:r w:rsidRPr="00FA3F12">
        <w:rPr>
          <w:rFonts w:asciiTheme="majorBidi" w:hAnsiTheme="majorBidi" w:cstheme="majorBidi"/>
          <w:sz w:val="20"/>
          <w:szCs w:val="20"/>
          <w:lang w:val="en-US"/>
        </w:rPr>
        <w:t xml:space="preserve"> Even after careful monitoring, ADR is not uncommon in renal patient and most of them are not preventable.</w:t>
      </w:r>
    </w:p>
    <w:p w:rsidR="000D4965" w:rsidRPr="00FA3F12" w:rsidRDefault="00692C56"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b/>
          <w:bCs/>
          <w:sz w:val="20"/>
          <w:szCs w:val="20"/>
          <w:lang w:val="en-US"/>
        </w:rPr>
        <w:t>Key Words</w:t>
      </w:r>
      <w:r w:rsidRPr="00FA3F12">
        <w:rPr>
          <w:rFonts w:asciiTheme="majorBidi" w:hAnsiTheme="majorBidi" w:cstheme="majorBidi"/>
          <w:sz w:val="20"/>
          <w:szCs w:val="20"/>
          <w:lang w:val="en-US"/>
        </w:rPr>
        <w:t>: ADR: Adverse drug reaction. GFR: Glomerular filtration rate</w:t>
      </w:r>
      <w:r w:rsidR="000D4965" w:rsidRPr="00FA3F12">
        <w:rPr>
          <w:rFonts w:asciiTheme="majorBidi" w:hAnsiTheme="majorBidi" w:cstheme="majorBidi"/>
          <w:sz w:val="20"/>
          <w:szCs w:val="20"/>
          <w:lang w:val="en-US"/>
        </w:rPr>
        <w:t xml:space="preserve"> </w:t>
      </w:r>
    </w:p>
    <w:p w:rsidR="00635FA7" w:rsidRPr="00635FA7" w:rsidRDefault="00635FA7" w:rsidP="00635FA7">
      <w:pPr>
        <w:spacing w:line="240" w:lineRule="auto"/>
        <w:rPr>
          <w:rFonts w:asciiTheme="majorBidi" w:hAnsiTheme="majorBidi" w:cstheme="majorBidi"/>
          <w:b/>
          <w:bCs/>
          <w:sz w:val="20"/>
          <w:szCs w:val="20"/>
          <w:lang w:val="en-US"/>
        </w:rPr>
      </w:pPr>
      <w:r w:rsidRPr="00635FA7">
        <w:rPr>
          <w:rFonts w:asciiTheme="majorBidi" w:hAnsiTheme="majorBidi" w:cstheme="majorBidi"/>
          <w:b/>
          <w:bCs/>
          <w:sz w:val="20"/>
          <w:szCs w:val="20"/>
          <w:lang w:val="en-US"/>
        </w:rPr>
        <w:t xml:space="preserve">Address for correspondence and reprint: </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Dr Pranabjyoti Mahanta</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Assistant Professor, Deptt. of Nephrology</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Guwahati Medical College Hospital</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Address for communication:</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Phone: 9864067625</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 xml:space="preserve">Email: pjmahanta@yahoo.com </w:t>
      </w:r>
    </w:p>
    <w:p w:rsidR="00635FA7" w:rsidRPr="00635FA7" w:rsidRDefault="00635FA7" w:rsidP="00635FA7">
      <w:pPr>
        <w:spacing w:line="240" w:lineRule="auto"/>
        <w:rPr>
          <w:rFonts w:asciiTheme="majorBidi" w:hAnsiTheme="majorBidi" w:cstheme="majorBidi"/>
          <w:sz w:val="20"/>
          <w:szCs w:val="20"/>
          <w:lang w:val="en-US"/>
        </w:rPr>
      </w:pP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Dr Monmoyuri D Mahanta</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Associate Professor, Deptt. of Anatomy</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Guwahati medical College</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Phone: 9435013928</w:t>
      </w:r>
    </w:p>
    <w:p w:rsidR="00635FA7" w:rsidRPr="00635FA7" w:rsidRDefault="00635FA7" w:rsidP="00635FA7">
      <w:pPr>
        <w:spacing w:line="240" w:lineRule="auto"/>
        <w:rPr>
          <w:rFonts w:asciiTheme="majorBidi" w:hAnsiTheme="majorBidi" w:cstheme="majorBidi"/>
          <w:sz w:val="20"/>
          <w:szCs w:val="20"/>
          <w:lang w:val="en-US"/>
        </w:rPr>
      </w:pPr>
      <w:r w:rsidRPr="00635FA7">
        <w:rPr>
          <w:rFonts w:asciiTheme="majorBidi" w:hAnsiTheme="majorBidi" w:cstheme="majorBidi"/>
          <w:sz w:val="20"/>
          <w:szCs w:val="20"/>
          <w:lang w:val="en-US"/>
        </w:rPr>
        <w:t>Email: mdmahanta@yahoo.co.uk</w:t>
      </w:r>
    </w:p>
    <w:p w:rsidR="00635FA7" w:rsidRPr="00635FA7" w:rsidRDefault="00635FA7" w:rsidP="00635FA7">
      <w:pPr>
        <w:spacing w:line="240" w:lineRule="auto"/>
        <w:rPr>
          <w:rFonts w:asciiTheme="majorBidi" w:hAnsiTheme="majorBidi" w:cstheme="majorBidi"/>
          <w:b/>
          <w:bCs/>
          <w:sz w:val="20"/>
          <w:szCs w:val="20"/>
          <w:lang w:val="en-US"/>
        </w:rPr>
      </w:pPr>
    </w:p>
    <w:p w:rsidR="00635FA7" w:rsidRDefault="00635FA7" w:rsidP="00635FA7">
      <w:pPr>
        <w:spacing w:line="240" w:lineRule="auto"/>
        <w:rPr>
          <w:rFonts w:asciiTheme="majorBidi" w:hAnsiTheme="majorBidi" w:cstheme="majorBidi"/>
          <w:b/>
          <w:bCs/>
          <w:lang w:val="en-US"/>
        </w:rPr>
      </w:pPr>
    </w:p>
    <w:p w:rsidR="002779FD" w:rsidRPr="0021340E" w:rsidRDefault="0021340E" w:rsidP="00635FA7">
      <w:pPr>
        <w:spacing w:line="240" w:lineRule="auto"/>
        <w:rPr>
          <w:rFonts w:asciiTheme="majorBidi" w:hAnsiTheme="majorBidi" w:cstheme="majorBidi"/>
          <w:b/>
          <w:bCs/>
          <w:lang w:val="en-US"/>
        </w:rPr>
      </w:pPr>
      <w:r w:rsidRPr="0021340E">
        <w:rPr>
          <w:rFonts w:asciiTheme="majorBidi" w:hAnsiTheme="majorBidi" w:cstheme="majorBidi"/>
          <w:b/>
          <w:bCs/>
          <w:lang w:val="en-US"/>
        </w:rPr>
        <w:lastRenderedPageBreak/>
        <w:t xml:space="preserve">INTRODUCTION: </w:t>
      </w:r>
    </w:p>
    <w:p w:rsidR="002779FD" w:rsidRDefault="002779FD" w:rsidP="00635FA7">
      <w:pPr>
        <w:spacing w:line="240" w:lineRule="auto"/>
        <w:rPr>
          <w:rFonts w:asciiTheme="majorBidi" w:hAnsiTheme="majorBidi" w:cstheme="majorBidi"/>
          <w:sz w:val="24"/>
          <w:szCs w:val="24"/>
          <w:lang w:val="en-US"/>
        </w:rPr>
      </w:pPr>
      <w:r w:rsidRPr="0021340E">
        <w:rPr>
          <w:rFonts w:asciiTheme="majorBidi" w:hAnsiTheme="majorBidi" w:cstheme="majorBidi"/>
          <w:sz w:val="20"/>
          <w:szCs w:val="20"/>
          <w:lang w:val="en-US"/>
        </w:rPr>
        <w:t>Kidney is very sensitive organ. Almost all the antibiotic and analgesics, and most of the drugs can cause renal dysfunction. Therefore renal patients are prescribed medications with outmost care and attention, and with dose modifications according to GFR. So, there is a general perception that adverse drug reactions in renal patients are very low</w:t>
      </w:r>
      <w:r>
        <w:rPr>
          <w:rFonts w:asciiTheme="majorBidi" w:hAnsiTheme="majorBidi" w:cstheme="majorBidi"/>
          <w:sz w:val="24"/>
          <w:szCs w:val="24"/>
          <w:lang w:val="en-US"/>
        </w:rPr>
        <w:t>.</w:t>
      </w:r>
    </w:p>
    <w:p w:rsidR="002779FD" w:rsidRPr="00527130" w:rsidRDefault="00D05018" w:rsidP="00635FA7">
      <w:pPr>
        <w:spacing w:line="240" w:lineRule="auto"/>
        <w:jc w:val="both"/>
        <w:rPr>
          <w:rFonts w:asciiTheme="majorBidi" w:hAnsiTheme="majorBidi" w:cstheme="majorBidi"/>
          <w:sz w:val="24"/>
          <w:szCs w:val="24"/>
          <w:lang w:val="en-US"/>
        </w:rPr>
      </w:pPr>
      <w:r w:rsidRPr="0021340E">
        <w:rPr>
          <w:rFonts w:asciiTheme="majorBidi" w:hAnsiTheme="majorBidi" w:cstheme="majorBidi"/>
          <w:b/>
          <w:bCs/>
          <w:lang w:val="en-US"/>
        </w:rPr>
        <w:t>AIM  OF THE STUDY:</w:t>
      </w:r>
      <w:r w:rsidRPr="00527130">
        <w:rPr>
          <w:rFonts w:asciiTheme="majorBidi" w:hAnsiTheme="majorBidi" w:cstheme="majorBidi"/>
          <w:sz w:val="24"/>
          <w:szCs w:val="24"/>
          <w:lang w:val="en-US"/>
        </w:rPr>
        <w:t xml:space="preserve"> </w:t>
      </w:r>
      <w:r w:rsidR="002779FD" w:rsidRPr="0021340E">
        <w:rPr>
          <w:rFonts w:asciiTheme="majorBidi" w:hAnsiTheme="majorBidi" w:cstheme="majorBidi"/>
          <w:sz w:val="20"/>
          <w:szCs w:val="20"/>
          <w:lang w:val="en-US"/>
        </w:rPr>
        <w:t>To find out the incidence of adverse drug reaction (ADR), to ascertain the association of the offending drugs with the type of ADR, to assess the severity of ADR and preventability, in indoor and outdoor renal patients.</w:t>
      </w:r>
    </w:p>
    <w:p w:rsidR="002779FD" w:rsidRDefault="00D05018"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b/>
          <w:bCs/>
          <w:lang w:val="en-US"/>
        </w:rPr>
        <w:t>METHODS:</w:t>
      </w:r>
      <w:r w:rsidRPr="00527130">
        <w:rPr>
          <w:rFonts w:asciiTheme="majorBidi" w:hAnsiTheme="majorBidi" w:cstheme="majorBidi"/>
          <w:sz w:val="24"/>
          <w:szCs w:val="24"/>
          <w:lang w:val="en-US"/>
        </w:rPr>
        <w:t xml:space="preserve">  </w:t>
      </w:r>
      <w:r w:rsidR="002779FD" w:rsidRPr="0021340E">
        <w:rPr>
          <w:rFonts w:asciiTheme="majorBidi" w:hAnsiTheme="majorBidi" w:cstheme="majorBidi"/>
          <w:sz w:val="20"/>
          <w:szCs w:val="20"/>
          <w:lang w:val="en-US"/>
        </w:rPr>
        <w:t xml:space="preserve">This is prospective observational case control study, which was conducted in </w:t>
      </w:r>
      <w:r w:rsidR="00B53301">
        <w:rPr>
          <w:rFonts w:asciiTheme="majorBidi" w:hAnsiTheme="majorBidi" w:cstheme="majorBidi"/>
          <w:sz w:val="20"/>
          <w:szCs w:val="20"/>
          <w:lang w:val="en-US"/>
        </w:rPr>
        <w:t>850 patients, who had</w:t>
      </w:r>
      <w:r w:rsidR="002779FD" w:rsidRPr="0021340E">
        <w:rPr>
          <w:rFonts w:asciiTheme="majorBidi" w:hAnsiTheme="majorBidi" w:cstheme="majorBidi"/>
          <w:sz w:val="20"/>
          <w:szCs w:val="20"/>
          <w:lang w:val="en-US"/>
        </w:rPr>
        <w:t xml:space="preserve"> either attended the Nephrology deptt. OPD or were admitted in the Nephrology ward of Guwahati Medical College hospital with various renal disease, from January to June 2012. </w:t>
      </w:r>
      <w:r w:rsidR="00963C5B" w:rsidRPr="0021340E">
        <w:rPr>
          <w:rFonts w:asciiTheme="majorBidi" w:hAnsiTheme="majorBidi" w:cstheme="majorBidi"/>
          <w:sz w:val="20"/>
          <w:szCs w:val="20"/>
          <w:lang w:val="en-US"/>
        </w:rPr>
        <w:t xml:space="preserve">The Renal diseases were comprises of Nephrotic Syndrome, Various Glomerulo-nephritis, Acute kidney Injury, Chronic kidney disease with or without requiring dialysis, Renal stone diseases, and post Renal transplant recipients.  </w:t>
      </w:r>
    </w:p>
    <w:p w:rsidR="00BE2DC3" w:rsidRDefault="00BE2DC3"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Inclusion criteria: All patient who either attended or were admitted in the nephrology ward with above mentioned renal diseases. Ages of the patient were ranges from 2 years to maximum 74 years.</w:t>
      </w:r>
    </w:p>
    <w:p w:rsidR="00BE2DC3" w:rsidRPr="0021340E" w:rsidRDefault="00BE2DC3"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Exclusion criteria: Those who were not willing to give a written consent for this study.</w:t>
      </w:r>
    </w:p>
    <w:p w:rsidR="002744CC" w:rsidRPr="0021340E" w:rsidRDefault="00FC429E"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b/>
          <w:bCs/>
          <w:sz w:val="20"/>
          <w:szCs w:val="20"/>
          <w:lang w:val="en-US"/>
        </w:rPr>
        <w:t xml:space="preserve">Incidence </w:t>
      </w:r>
      <w:r w:rsidRPr="0021340E">
        <w:rPr>
          <w:rFonts w:asciiTheme="majorBidi" w:hAnsiTheme="majorBidi" w:cstheme="majorBidi"/>
          <w:sz w:val="20"/>
          <w:szCs w:val="20"/>
          <w:lang w:val="en-US"/>
        </w:rPr>
        <w:t>of ADR was det</w:t>
      </w:r>
      <w:r w:rsidR="00BD69C2" w:rsidRPr="0021340E">
        <w:rPr>
          <w:rFonts w:asciiTheme="majorBidi" w:hAnsiTheme="majorBidi" w:cstheme="majorBidi"/>
          <w:sz w:val="20"/>
          <w:szCs w:val="20"/>
          <w:lang w:val="en-US"/>
        </w:rPr>
        <w:t xml:space="preserve">ermined by Chart Review method.  </w:t>
      </w:r>
    </w:p>
    <w:p w:rsidR="00BD69C2" w:rsidRPr="0021340E" w:rsidRDefault="00BD69C2"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sz w:val="20"/>
          <w:szCs w:val="20"/>
          <w:lang w:val="en-US"/>
        </w:rPr>
        <w:t xml:space="preserve">The </w:t>
      </w:r>
      <w:r w:rsidR="00FC429E" w:rsidRPr="0021340E">
        <w:rPr>
          <w:rFonts w:asciiTheme="majorBidi" w:hAnsiTheme="majorBidi" w:cstheme="majorBidi"/>
          <w:b/>
          <w:bCs/>
          <w:sz w:val="20"/>
          <w:szCs w:val="20"/>
          <w:lang w:val="en-US"/>
        </w:rPr>
        <w:t>association</w:t>
      </w:r>
      <w:r w:rsidR="00FC429E" w:rsidRPr="0021340E">
        <w:rPr>
          <w:rFonts w:asciiTheme="majorBidi" w:hAnsiTheme="majorBidi" w:cstheme="majorBidi"/>
          <w:sz w:val="20"/>
          <w:szCs w:val="20"/>
          <w:lang w:val="en-US"/>
        </w:rPr>
        <w:t xml:space="preserve"> of the offending drugs with the type of </w:t>
      </w:r>
      <w:r w:rsidRPr="0021340E">
        <w:rPr>
          <w:rFonts w:asciiTheme="majorBidi" w:hAnsiTheme="majorBidi" w:cstheme="majorBidi"/>
          <w:sz w:val="20"/>
          <w:szCs w:val="20"/>
          <w:lang w:val="en-US"/>
        </w:rPr>
        <w:t>ADR, -</w:t>
      </w:r>
      <w:r w:rsidR="00FC429E" w:rsidRPr="0021340E">
        <w:rPr>
          <w:rFonts w:asciiTheme="majorBidi" w:hAnsiTheme="majorBidi" w:cstheme="majorBidi"/>
          <w:sz w:val="20"/>
          <w:szCs w:val="20"/>
          <w:lang w:val="en-US"/>
        </w:rPr>
        <w:t xml:space="preserve"> </w:t>
      </w:r>
      <w:r w:rsidR="00FC429E" w:rsidRPr="0021340E">
        <w:rPr>
          <w:rFonts w:asciiTheme="majorBidi" w:hAnsiTheme="majorBidi" w:cstheme="majorBidi"/>
          <w:b/>
          <w:bCs/>
          <w:sz w:val="20"/>
          <w:szCs w:val="20"/>
          <w:lang w:val="en-US"/>
        </w:rPr>
        <w:t>causality</w:t>
      </w:r>
      <w:r w:rsidR="00FC429E" w:rsidRPr="0021340E">
        <w:rPr>
          <w:rFonts w:asciiTheme="majorBidi" w:hAnsiTheme="majorBidi" w:cstheme="majorBidi"/>
          <w:sz w:val="20"/>
          <w:szCs w:val="20"/>
          <w:lang w:val="en-US"/>
        </w:rPr>
        <w:t xml:space="preserve"> was ascertained by Naranjo’</w:t>
      </w:r>
      <w:r w:rsidRPr="0021340E">
        <w:rPr>
          <w:rFonts w:asciiTheme="majorBidi" w:hAnsiTheme="majorBidi" w:cstheme="majorBidi"/>
          <w:sz w:val="20"/>
          <w:szCs w:val="20"/>
          <w:lang w:val="en-US"/>
        </w:rPr>
        <w:t>s algorithim, using a q</w:t>
      </w:r>
      <w:r w:rsidR="002744CC" w:rsidRPr="0021340E">
        <w:rPr>
          <w:rFonts w:asciiTheme="majorBidi" w:hAnsiTheme="majorBidi" w:cstheme="majorBidi"/>
          <w:sz w:val="20"/>
          <w:szCs w:val="20"/>
          <w:lang w:val="en-US"/>
        </w:rPr>
        <w:t xml:space="preserve">uestionnaires, with score ranging from -1 to + 2. Total score then calculated for </w:t>
      </w:r>
      <w:r w:rsidR="002D72CD" w:rsidRPr="0021340E">
        <w:rPr>
          <w:rFonts w:asciiTheme="majorBidi" w:hAnsiTheme="majorBidi" w:cstheme="majorBidi"/>
          <w:sz w:val="20"/>
          <w:szCs w:val="20"/>
          <w:lang w:val="en-US"/>
        </w:rPr>
        <w:t>an</w:t>
      </w:r>
      <w:r w:rsidR="002744CC" w:rsidRPr="0021340E">
        <w:rPr>
          <w:rFonts w:asciiTheme="majorBidi" w:hAnsiTheme="majorBidi" w:cstheme="majorBidi"/>
          <w:sz w:val="20"/>
          <w:szCs w:val="20"/>
          <w:lang w:val="en-US"/>
        </w:rPr>
        <w:t xml:space="preserve"> offending drug and association is termed as:</w:t>
      </w:r>
    </w:p>
    <w:p w:rsidR="002744CC" w:rsidRPr="0021340E" w:rsidRDefault="002744CC"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sz w:val="20"/>
          <w:szCs w:val="20"/>
          <w:lang w:val="en-US"/>
        </w:rPr>
        <w:t>0 : Doubtful</w:t>
      </w:r>
      <w:r w:rsidR="003F06AE" w:rsidRPr="0021340E">
        <w:rPr>
          <w:rFonts w:asciiTheme="majorBidi" w:hAnsiTheme="majorBidi" w:cstheme="majorBidi"/>
          <w:sz w:val="20"/>
          <w:szCs w:val="20"/>
          <w:lang w:val="en-US"/>
        </w:rPr>
        <w:t xml:space="preserve">; </w:t>
      </w:r>
      <w:r w:rsidRPr="0021340E">
        <w:rPr>
          <w:rFonts w:asciiTheme="majorBidi" w:hAnsiTheme="majorBidi" w:cstheme="majorBidi"/>
          <w:sz w:val="20"/>
          <w:szCs w:val="20"/>
          <w:lang w:val="en-US"/>
        </w:rPr>
        <w:t>1 – 4 :  possible</w:t>
      </w:r>
      <w:r w:rsidR="003F06AE" w:rsidRPr="0021340E">
        <w:rPr>
          <w:rFonts w:asciiTheme="majorBidi" w:hAnsiTheme="majorBidi" w:cstheme="majorBidi"/>
          <w:sz w:val="20"/>
          <w:szCs w:val="20"/>
          <w:lang w:val="en-US"/>
        </w:rPr>
        <w:t xml:space="preserve">; </w:t>
      </w:r>
      <w:r w:rsidRPr="0021340E">
        <w:rPr>
          <w:rFonts w:asciiTheme="majorBidi" w:hAnsiTheme="majorBidi" w:cstheme="majorBidi"/>
          <w:sz w:val="20"/>
          <w:szCs w:val="20"/>
          <w:lang w:val="en-US"/>
        </w:rPr>
        <w:t>5 – 8 : Probable</w:t>
      </w:r>
      <w:r w:rsidR="003F06AE" w:rsidRPr="0021340E">
        <w:rPr>
          <w:rFonts w:asciiTheme="majorBidi" w:hAnsiTheme="majorBidi" w:cstheme="majorBidi"/>
          <w:sz w:val="20"/>
          <w:szCs w:val="20"/>
          <w:lang w:val="en-US"/>
        </w:rPr>
        <w:t xml:space="preserve">; </w:t>
      </w:r>
      <w:r w:rsidR="00EE2340">
        <w:rPr>
          <w:rFonts w:asciiTheme="majorBidi" w:hAnsiTheme="majorBidi" w:cstheme="majorBidi"/>
          <w:sz w:val="20"/>
          <w:szCs w:val="20"/>
          <w:lang w:val="en-US"/>
        </w:rPr>
        <w:t xml:space="preserve"> </w:t>
      </w:r>
      <w:r w:rsidRPr="0021340E">
        <w:rPr>
          <w:rFonts w:asciiTheme="majorBidi" w:hAnsiTheme="majorBidi" w:cstheme="majorBidi"/>
          <w:sz w:val="20"/>
          <w:szCs w:val="20"/>
          <w:lang w:val="en-US"/>
        </w:rPr>
        <w:t>&gt; 9 : Highly probable</w:t>
      </w:r>
    </w:p>
    <w:p w:rsidR="00FC429E" w:rsidRPr="0021340E" w:rsidRDefault="00603664"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b/>
          <w:bCs/>
          <w:sz w:val="20"/>
          <w:szCs w:val="20"/>
          <w:lang w:val="en-US"/>
        </w:rPr>
        <w:t>S</w:t>
      </w:r>
      <w:r w:rsidR="00FC429E" w:rsidRPr="0021340E">
        <w:rPr>
          <w:rFonts w:asciiTheme="majorBidi" w:hAnsiTheme="majorBidi" w:cstheme="majorBidi"/>
          <w:b/>
          <w:bCs/>
          <w:sz w:val="20"/>
          <w:szCs w:val="20"/>
          <w:lang w:val="en-US"/>
        </w:rPr>
        <w:t xml:space="preserve">everity </w:t>
      </w:r>
      <w:r w:rsidR="00FC429E" w:rsidRPr="0021340E">
        <w:rPr>
          <w:rFonts w:asciiTheme="majorBidi" w:hAnsiTheme="majorBidi" w:cstheme="majorBidi"/>
          <w:sz w:val="20"/>
          <w:szCs w:val="20"/>
          <w:lang w:val="en-US"/>
        </w:rPr>
        <w:t xml:space="preserve">of ADR and preventability were assessed by Hartwig </w:t>
      </w:r>
      <w:r w:rsidRPr="0021340E">
        <w:rPr>
          <w:rFonts w:asciiTheme="majorBidi" w:hAnsiTheme="majorBidi" w:cstheme="majorBidi"/>
          <w:sz w:val="20"/>
          <w:szCs w:val="20"/>
          <w:lang w:val="en-US"/>
        </w:rPr>
        <w:t>severity scale</w:t>
      </w:r>
      <w:r w:rsidR="00FC429E" w:rsidRPr="0021340E">
        <w:rPr>
          <w:rFonts w:asciiTheme="majorBidi" w:hAnsiTheme="majorBidi" w:cstheme="majorBidi"/>
          <w:sz w:val="20"/>
          <w:szCs w:val="20"/>
          <w:lang w:val="en-US"/>
        </w:rPr>
        <w:t>.</w:t>
      </w:r>
    </w:p>
    <w:p w:rsidR="00603664" w:rsidRPr="0021340E" w:rsidRDefault="00603664" w:rsidP="00635FA7">
      <w:pPr>
        <w:spacing w:line="240" w:lineRule="auto"/>
        <w:rPr>
          <w:rFonts w:asciiTheme="majorBidi" w:hAnsiTheme="majorBidi" w:cstheme="majorBidi"/>
          <w:sz w:val="20"/>
          <w:szCs w:val="20"/>
          <w:lang w:val="en-US"/>
        </w:rPr>
      </w:pPr>
      <w:r w:rsidRPr="0021340E">
        <w:rPr>
          <w:rFonts w:asciiTheme="majorBidi" w:hAnsiTheme="majorBidi" w:cstheme="majorBidi"/>
          <w:b/>
          <w:bCs/>
          <w:sz w:val="20"/>
          <w:szCs w:val="20"/>
          <w:lang w:val="en-US"/>
        </w:rPr>
        <w:t>Mild</w:t>
      </w:r>
      <w:r w:rsidRPr="0021340E">
        <w:rPr>
          <w:rFonts w:asciiTheme="majorBidi" w:hAnsiTheme="majorBidi" w:cstheme="majorBidi"/>
          <w:sz w:val="20"/>
          <w:szCs w:val="20"/>
          <w:lang w:val="en-US"/>
        </w:rPr>
        <w:t>: a reaction that does not require treatment.</w:t>
      </w:r>
      <w:r w:rsidR="003F06AE" w:rsidRPr="0021340E">
        <w:rPr>
          <w:rFonts w:asciiTheme="majorBidi" w:hAnsiTheme="majorBidi" w:cstheme="majorBidi"/>
          <w:sz w:val="20"/>
          <w:szCs w:val="20"/>
          <w:lang w:val="en-US"/>
        </w:rPr>
        <w:t xml:space="preserve"> </w:t>
      </w:r>
      <w:r w:rsidRPr="0021340E">
        <w:rPr>
          <w:rFonts w:asciiTheme="majorBidi" w:hAnsiTheme="majorBidi" w:cstheme="majorBidi"/>
          <w:b/>
          <w:bCs/>
          <w:sz w:val="20"/>
          <w:szCs w:val="20"/>
          <w:lang w:val="en-US"/>
        </w:rPr>
        <w:t>Moderate:</w:t>
      </w:r>
      <w:r w:rsidRPr="0021340E">
        <w:rPr>
          <w:rFonts w:asciiTheme="majorBidi" w:hAnsiTheme="majorBidi" w:cstheme="majorBidi"/>
          <w:sz w:val="20"/>
          <w:szCs w:val="20"/>
          <w:lang w:val="en-US"/>
        </w:rPr>
        <w:t xml:space="preserve"> a reaction that requires treatment or hospitalization</w:t>
      </w:r>
      <w:r w:rsidR="003F06AE" w:rsidRPr="0021340E">
        <w:rPr>
          <w:rFonts w:asciiTheme="majorBidi" w:hAnsiTheme="majorBidi" w:cstheme="majorBidi"/>
          <w:sz w:val="20"/>
          <w:szCs w:val="20"/>
          <w:lang w:val="en-US"/>
        </w:rPr>
        <w:t xml:space="preserve">. </w:t>
      </w:r>
      <w:r w:rsidRPr="0021340E">
        <w:rPr>
          <w:rFonts w:asciiTheme="majorBidi" w:hAnsiTheme="majorBidi" w:cstheme="majorBidi"/>
          <w:b/>
          <w:bCs/>
          <w:sz w:val="20"/>
          <w:szCs w:val="20"/>
          <w:lang w:val="en-US"/>
        </w:rPr>
        <w:t>Sever</w:t>
      </w:r>
      <w:r w:rsidR="007A5F2C" w:rsidRPr="0021340E">
        <w:rPr>
          <w:rFonts w:asciiTheme="majorBidi" w:hAnsiTheme="majorBidi" w:cstheme="majorBidi"/>
          <w:b/>
          <w:bCs/>
          <w:sz w:val="20"/>
          <w:szCs w:val="20"/>
          <w:lang w:val="en-US"/>
        </w:rPr>
        <w:t>e</w:t>
      </w:r>
      <w:r w:rsidRPr="0021340E">
        <w:rPr>
          <w:rFonts w:asciiTheme="majorBidi" w:hAnsiTheme="majorBidi" w:cstheme="majorBidi"/>
          <w:sz w:val="20"/>
          <w:szCs w:val="20"/>
          <w:lang w:val="en-US"/>
        </w:rPr>
        <w:t>: life threatening.</w:t>
      </w:r>
    </w:p>
    <w:p w:rsidR="00897058" w:rsidRPr="0021340E" w:rsidRDefault="00897058" w:rsidP="00635FA7">
      <w:pPr>
        <w:spacing w:line="240" w:lineRule="auto"/>
        <w:rPr>
          <w:rFonts w:asciiTheme="majorBidi" w:hAnsiTheme="majorBidi" w:cstheme="majorBidi"/>
          <w:sz w:val="20"/>
          <w:szCs w:val="20"/>
          <w:lang w:val="en-US"/>
        </w:rPr>
      </w:pPr>
      <w:r w:rsidRPr="0021340E">
        <w:rPr>
          <w:rFonts w:asciiTheme="majorBidi" w:hAnsiTheme="majorBidi" w:cstheme="majorBidi"/>
          <w:b/>
          <w:bCs/>
          <w:sz w:val="20"/>
          <w:szCs w:val="20"/>
          <w:lang w:val="en-US"/>
        </w:rPr>
        <w:t>Onset</w:t>
      </w:r>
      <w:r w:rsidR="007A5F2C" w:rsidRPr="0021340E">
        <w:rPr>
          <w:rFonts w:asciiTheme="majorBidi" w:hAnsiTheme="majorBidi" w:cstheme="majorBidi"/>
          <w:b/>
          <w:bCs/>
          <w:sz w:val="20"/>
          <w:szCs w:val="20"/>
          <w:lang w:val="en-US"/>
        </w:rPr>
        <w:t xml:space="preserve"> of the ADR</w:t>
      </w:r>
      <w:r w:rsidRPr="0021340E">
        <w:rPr>
          <w:rFonts w:asciiTheme="majorBidi" w:hAnsiTheme="majorBidi" w:cstheme="majorBidi"/>
          <w:b/>
          <w:bCs/>
          <w:sz w:val="20"/>
          <w:szCs w:val="20"/>
          <w:lang w:val="en-US"/>
        </w:rPr>
        <w:t>:</w:t>
      </w:r>
      <w:r w:rsidR="003F06AE" w:rsidRPr="0021340E">
        <w:rPr>
          <w:rFonts w:asciiTheme="majorBidi" w:hAnsiTheme="majorBidi" w:cstheme="majorBidi"/>
          <w:b/>
          <w:bCs/>
          <w:sz w:val="20"/>
          <w:szCs w:val="20"/>
          <w:lang w:val="en-US"/>
        </w:rPr>
        <w:t xml:space="preserve">  </w:t>
      </w:r>
      <w:r w:rsidRPr="0021340E">
        <w:rPr>
          <w:rFonts w:asciiTheme="majorBidi" w:hAnsiTheme="majorBidi" w:cstheme="majorBidi"/>
          <w:b/>
          <w:bCs/>
          <w:sz w:val="20"/>
          <w:szCs w:val="20"/>
          <w:lang w:val="en-US"/>
        </w:rPr>
        <w:t>Acute:</w:t>
      </w:r>
      <w:r w:rsidRPr="0021340E">
        <w:rPr>
          <w:rFonts w:asciiTheme="majorBidi" w:hAnsiTheme="majorBidi" w:cstheme="majorBidi"/>
          <w:sz w:val="20"/>
          <w:szCs w:val="20"/>
          <w:lang w:val="en-US"/>
        </w:rPr>
        <w:t xml:space="preserve"> ADR occurring within 60 minutes after administration of the drug.</w:t>
      </w:r>
      <w:r w:rsidR="003F06AE" w:rsidRPr="0021340E">
        <w:rPr>
          <w:rFonts w:asciiTheme="majorBidi" w:hAnsiTheme="majorBidi" w:cstheme="majorBidi"/>
          <w:sz w:val="20"/>
          <w:szCs w:val="20"/>
          <w:lang w:val="en-US"/>
        </w:rPr>
        <w:t xml:space="preserve"> </w:t>
      </w:r>
      <w:r w:rsidRPr="0021340E">
        <w:rPr>
          <w:rFonts w:asciiTheme="majorBidi" w:hAnsiTheme="majorBidi" w:cstheme="majorBidi"/>
          <w:b/>
          <w:bCs/>
          <w:sz w:val="20"/>
          <w:szCs w:val="20"/>
          <w:lang w:val="en-US"/>
        </w:rPr>
        <w:t>Sub-Acute</w:t>
      </w:r>
      <w:r w:rsidRPr="0021340E">
        <w:rPr>
          <w:rFonts w:asciiTheme="majorBidi" w:hAnsiTheme="majorBidi" w:cstheme="majorBidi"/>
          <w:sz w:val="20"/>
          <w:szCs w:val="20"/>
          <w:lang w:val="en-US"/>
        </w:rPr>
        <w:t>: ADR occurring within 60 minutes to 24 hours after administration of the drug.</w:t>
      </w:r>
      <w:r w:rsidR="003F06AE" w:rsidRPr="0021340E">
        <w:rPr>
          <w:rFonts w:asciiTheme="majorBidi" w:hAnsiTheme="majorBidi" w:cstheme="majorBidi"/>
          <w:sz w:val="20"/>
          <w:szCs w:val="20"/>
          <w:lang w:val="en-US"/>
        </w:rPr>
        <w:t xml:space="preserve"> </w:t>
      </w:r>
      <w:r w:rsidRPr="0021340E">
        <w:rPr>
          <w:rFonts w:asciiTheme="majorBidi" w:hAnsiTheme="majorBidi" w:cstheme="majorBidi"/>
          <w:b/>
          <w:bCs/>
          <w:sz w:val="20"/>
          <w:szCs w:val="20"/>
          <w:lang w:val="en-US"/>
        </w:rPr>
        <w:t>Latent:</w:t>
      </w:r>
      <w:r w:rsidRPr="0021340E">
        <w:rPr>
          <w:rFonts w:asciiTheme="majorBidi" w:hAnsiTheme="majorBidi" w:cstheme="majorBidi"/>
          <w:sz w:val="20"/>
          <w:szCs w:val="20"/>
          <w:lang w:val="en-US"/>
        </w:rPr>
        <w:t xml:space="preserve"> ADR occurring after 2 days of administration of the drug.</w:t>
      </w:r>
    </w:p>
    <w:p w:rsidR="00E749DD" w:rsidRPr="0021340E" w:rsidRDefault="003F06AE" w:rsidP="00635FA7">
      <w:pPr>
        <w:spacing w:line="240" w:lineRule="auto"/>
        <w:rPr>
          <w:rFonts w:asciiTheme="majorBidi" w:hAnsiTheme="majorBidi" w:cstheme="majorBidi"/>
          <w:sz w:val="20"/>
          <w:szCs w:val="20"/>
          <w:lang w:val="en-US"/>
        </w:rPr>
      </w:pPr>
      <w:r w:rsidRPr="0021340E">
        <w:rPr>
          <w:rFonts w:asciiTheme="majorBidi" w:hAnsiTheme="majorBidi" w:cstheme="majorBidi"/>
          <w:sz w:val="20"/>
          <w:szCs w:val="20"/>
          <w:lang w:val="en-US"/>
        </w:rPr>
        <w:t>Preventibility of ADR was ascertained by seven point questionnaires</w:t>
      </w:r>
      <w:r w:rsidR="00A10C1F" w:rsidRPr="0021340E">
        <w:rPr>
          <w:rFonts w:asciiTheme="majorBidi" w:hAnsiTheme="majorBidi" w:cstheme="majorBidi"/>
          <w:sz w:val="20"/>
          <w:szCs w:val="20"/>
          <w:lang w:val="en-US"/>
        </w:rPr>
        <w:t xml:space="preserve"> of Schumton and Thomson preventability criteria. </w:t>
      </w:r>
      <w:r w:rsidRPr="0021340E">
        <w:rPr>
          <w:rFonts w:asciiTheme="majorBidi" w:hAnsiTheme="majorBidi" w:cstheme="majorBidi"/>
          <w:sz w:val="20"/>
          <w:szCs w:val="20"/>
          <w:lang w:val="en-US"/>
        </w:rPr>
        <w:t>Answering “YES” to one or more questions will substantiate the preventability.</w:t>
      </w:r>
    </w:p>
    <w:p w:rsidR="00E749DD" w:rsidRPr="0021340E" w:rsidRDefault="00E749DD" w:rsidP="00635FA7">
      <w:pPr>
        <w:spacing w:line="240" w:lineRule="auto"/>
        <w:jc w:val="both"/>
        <w:rPr>
          <w:rFonts w:asciiTheme="majorBidi" w:hAnsiTheme="majorBidi" w:cstheme="majorBidi"/>
          <w:b/>
          <w:bCs/>
          <w:lang w:val="en-US"/>
        </w:rPr>
      </w:pPr>
      <w:r w:rsidRPr="0021340E">
        <w:rPr>
          <w:rFonts w:asciiTheme="majorBidi" w:hAnsiTheme="majorBidi" w:cstheme="majorBidi"/>
          <w:b/>
          <w:bCs/>
          <w:lang w:val="en-US"/>
        </w:rPr>
        <w:t>STATISTICAL ANALYSIS:</w:t>
      </w:r>
    </w:p>
    <w:p w:rsidR="003F06AE" w:rsidRPr="0021340E" w:rsidRDefault="00E749DD" w:rsidP="00635FA7">
      <w:pPr>
        <w:spacing w:line="240" w:lineRule="auto"/>
        <w:jc w:val="both"/>
        <w:rPr>
          <w:rFonts w:asciiTheme="majorBidi" w:hAnsiTheme="majorBidi" w:cstheme="majorBidi"/>
          <w:sz w:val="20"/>
          <w:szCs w:val="20"/>
          <w:lang w:val="en-US"/>
        </w:rPr>
      </w:pPr>
      <w:r w:rsidRPr="0021340E">
        <w:rPr>
          <w:rFonts w:asciiTheme="majorBidi" w:hAnsiTheme="majorBidi" w:cstheme="majorBidi"/>
          <w:sz w:val="20"/>
          <w:szCs w:val="20"/>
          <w:lang w:val="en-US"/>
        </w:rPr>
        <w:t xml:space="preserve">The descriptive data are represented by mean, standard deviation, and percentage. The differences between the groups were determined by the parametric t-test and non-parametric Fisher’s exact test or chi-square test. </w:t>
      </w:r>
      <w:r w:rsidR="00D9001F" w:rsidRPr="0021340E">
        <w:rPr>
          <w:rFonts w:asciiTheme="majorBidi" w:hAnsiTheme="majorBidi" w:cstheme="majorBidi"/>
          <w:sz w:val="20"/>
          <w:szCs w:val="20"/>
          <w:lang w:val="en-US"/>
        </w:rPr>
        <w:t>For data analysis Graph Pad InStat version 3.12 was used. Odd ratio and 95% confidence interval (CI) were calculated. P&lt; 0.05 is considered to be significant.</w:t>
      </w:r>
    </w:p>
    <w:p w:rsidR="003F1E86" w:rsidRPr="0021340E" w:rsidRDefault="00216BBC" w:rsidP="00635FA7">
      <w:pPr>
        <w:spacing w:line="240" w:lineRule="auto"/>
        <w:rPr>
          <w:rFonts w:asciiTheme="majorBidi" w:hAnsiTheme="majorBidi" w:cstheme="majorBidi"/>
          <w:b/>
          <w:bCs/>
          <w:lang w:val="en-US"/>
        </w:rPr>
      </w:pPr>
      <w:r>
        <w:rPr>
          <w:rFonts w:asciiTheme="majorBidi" w:hAnsiTheme="majorBidi" w:cstheme="majorBidi"/>
          <w:b/>
          <w:bCs/>
          <w:lang w:val="en-US"/>
        </w:rPr>
        <w:t xml:space="preserve">OBSERVATION AND </w:t>
      </w:r>
      <w:r w:rsidR="003F1E86" w:rsidRPr="0021340E">
        <w:rPr>
          <w:rFonts w:asciiTheme="majorBidi" w:hAnsiTheme="majorBidi" w:cstheme="majorBidi"/>
          <w:b/>
          <w:bCs/>
          <w:lang w:val="en-US"/>
        </w:rPr>
        <w:t>RESULTS:</w:t>
      </w:r>
    </w:p>
    <w:p w:rsidR="003F1E86" w:rsidRPr="00D05018" w:rsidRDefault="003F1E86" w:rsidP="00635FA7">
      <w:pPr>
        <w:spacing w:line="240" w:lineRule="auto"/>
        <w:rPr>
          <w:rFonts w:asciiTheme="majorBidi" w:hAnsiTheme="majorBidi" w:cstheme="majorBidi"/>
          <w:sz w:val="20"/>
          <w:szCs w:val="20"/>
          <w:lang w:val="en-US"/>
        </w:rPr>
      </w:pPr>
      <w:r w:rsidRPr="00D05018">
        <w:rPr>
          <w:rFonts w:asciiTheme="majorBidi" w:hAnsiTheme="majorBidi" w:cstheme="majorBidi"/>
          <w:sz w:val="20"/>
          <w:szCs w:val="20"/>
          <w:lang w:val="en-US"/>
        </w:rPr>
        <w:t xml:space="preserve">Out of the 850 patients, 72 </w:t>
      </w:r>
      <w:r w:rsidR="00BB4FAD" w:rsidRPr="00D05018">
        <w:rPr>
          <w:rFonts w:asciiTheme="majorBidi" w:hAnsiTheme="majorBidi" w:cstheme="majorBidi"/>
          <w:sz w:val="20"/>
          <w:szCs w:val="20"/>
          <w:lang w:val="en-US"/>
        </w:rPr>
        <w:t>patients</w:t>
      </w:r>
      <w:r w:rsidRPr="00D05018">
        <w:rPr>
          <w:rFonts w:asciiTheme="majorBidi" w:hAnsiTheme="majorBidi" w:cstheme="majorBidi"/>
          <w:sz w:val="20"/>
          <w:szCs w:val="20"/>
          <w:lang w:val="en-US"/>
        </w:rPr>
        <w:t xml:space="preserve"> had ADR. Out these 40 /490 were male </w:t>
      </w:r>
      <w:r w:rsidR="00BB4FAD" w:rsidRPr="00D05018">
        <w:rPr>
          <w:rFonts w:asciiTheme="majorBidi" w:hAnsiTheme="majorBidi" w:cstheme="majorBidi"/>
          <w:sz w:val="20"/>
          <w:szCs w:val="20"/>
          <w:lang w:val="en-US"/>
        </w:rPr>
        <w:t>(8.16</w:t>
      </w:r>
      <w:r w:rsidRPr="00D05018">
        <w:rPr>
          <w:rFonts w:asciiTheme="majorBidi" w:hAnsiTheme="majorBidi" w:cstheme="majorBidi"/>
          <w:sz w:val="20"/>
          <w:szCs w:val="20"/>
          <w:lang w:val="en-US"/>
        </w:rPr>
        <w:t xml:space="preserve">%) and   32 /360 were female (8.8%). </w:t>
      </w:r>
      <w:r w:rsidR="000C6C95" w:rsidRPr="00D05018">
        <w:rPr>
          <w:rFonts w:asciiTheme="majorBidi" w:hAnsiTheme="majorBidi" w:cstheme="majorBidi"/>
          <w:sz w:val="20"/>
          <w:szCs w:val="20"/>
          <w:lang w:val="en-US"/>
        </w:rPr>
        <w:t xml:space="preserve">In the t-test, it is found to be significant (p&lt;0.042). Females were found to be more prone for ADR. </w:t>
      </w:r>
    </w:p>
    <w:p w:rsidR="007C7419" w:rsidRPr="00D05018" w:rsidRDefault="00AF229F" w:rsidP="00635FA7">
      <w:pPr>
        <w:spacing w:line="240" w:lineRule="auto"/>
        <w:rPr>
          <w:rFonts w:asciiTheme="majorBidi" w:hAnsiTheme="majorBidi" w:cstheme="majorBidi"/>
          <w:sz w:val="20"/>
          <w:szCs w:val="20"/>
          <w:lang w:val="en-US"/>
        </w:rPr>
      </w:pPr>
      <w:r w:rsidRPr="00D05018">
        <w:rPr>
          <w:rFonts w:asciiTheme="majorBidi" w:hAnsiTheme="majorBidi" w:cstheme="majorBidi"/>
          <w:sz w:val="20"/>
          <w:szCs w:val="20"/>
          <w:lang w:val="en-US"/>
        </w:rPr>
        <w:t xml:space="preserve">According to age, the patients were analyzed in three groups: </w:t>
      </w:r>
      <w:r w:rsidR="007C7419" w:rsidRPr="00D05018">
        <w:rPr>
          <w:rFonts w:asciiTheme="majorBidi" w:hAnsiTheme="majorBidi" w:cstheme="majorBidi"/>
          <w:sz w:val="20"/>
          <w:szCs w:val="20"/>
          <w:lang w:val="en-US"/>
        </w:rPr>
        <w:t xml:space="preserve"> </w:t>
      </w:r>
      <w:r w:rsidRPr="00D05018">
        <w:rPr>
          <w:rFonts w:asciiTheme="majorBidi" w:hAnsiTheme="majorBidi" w:cstheme="majorBidi"/>
          <w:sz w:val="20"/>
          <w:szCs w:val="20"/>
          <w:lang w:val="en-US"/>
        </w:rPr>
        <w:t xml:space="preserve">Child (0 – 18 yrs), </w:t>
      </w:r>
      <w:r w:rsidR="00FB48FA" w:rsidRPr="00D05018">
        <w:rPr>
          <w:rFonts w:asciiTheme="majorBidi" w:hAnsiTheme="majorBidi" w:cstheme="majorBidi"/>
          <w:sz w:val="20"/>
          <w:szCs w:val="20"/>
          <w:lang w:val="en-US"/>
        </w:rPr>
        <w:t xml:space="preserve"> </w:t>
      </w:r>
      <w:r w:rsidRPr="00D05018">
        <w:rPr>
          <w:rFonts w:asciiTheme="majorBidi" w:hAnsiTheme="majorBidi" w:cstheme="majorBidi"/>
          <w:sz w:val="20"/>
          <w:szCs w:val="20"/>
          <w:lang w:val="en-US"/>
        </w:rPr>
        <w:t xml:space="preserve">Adult </w:t>
      </w:r>
      <w:r w:rsidR="007C7419" w:rsidRPr="00D05018">
        <w:rPr>
          <w:rFonts w:asciiTheme="majorBidi" w:hAnsiTheme="majorBidi" w:cstheme="majorBidi"/>
          <w:sz w:val="20"/>
          <w:szCs w:val="20"/>
          <w:lang w:val="en-US"/>
        </w:rPr>
        <w:t xml:space="preserve">  </w:t>
      </w:r>
      <w:r w:rsidRPr="00D05018">
        <w:rPr>
          <w:rFonts w:asciiTheme="majorBidi" w:hAnsiTheme="majorBidi" w:cstheme="majorBidi"/>
          <w:sz w:val="20"/>
          <w:szCs w:val="20"/>
          <w:lang w:val="en-US"/>
        </w:rPr>
        <w:t>(19 – 60 yrs) and Elderly (&gt;60 yrs)</w:t>
      </w:r>
      <w:r w:rsidR="007C7419" w:rsidRPr="00D05018">
        <w:rPr>
          <w:rFonts w:asciiTheme="majorBidi" w:hAnsiTheme="majorBidi" w:cstheme="majorBidi"/>
          <w:sz w:val="20"/>
          <w:szCs w:val="20"/>
          <w:lang w:val="en-US"/>
        </w:rPr>
        <w:t xml:space="preserve">. </w:t>
      </w:r>
    </w:p>
    <w:p w:rsidR="007C7419" w:rsidRPr="00D05018" w:rsidRDefault="007C7419" w:rsidP="00635FA7">
      <w:pPr>
        <w:spacing w:line="240" w:lineRule="auto"/>
        <w:rPr>
          <w:rFonts w:asciiTheme="majorBidi" w:hAnsiTheme="majorBidi" w:cstheme="majorBidi"/>
          <w:sz w:val="20"/>
          <w:szCs w:val="20"/>
          <w:lang w:val="en-US"/>
        </w:rPr>
      </w:pPr>
      <w:r w:rsidRPr="00D05018">
        <w:rPr>
          <w:rFonts w:asciiTheme="majorBidi" w:hAnsiTheme="majorBidi" w:cstheme="majorBidi"/>
          <w:sz w:val="20"/>
          <w:szCs w:val="20"/>
          <w:lang w:val="en-US"/>
        </w:rPr>
        <w:t>In the child group: 9/96 had ADR (9.37%); Adult group 57/714 (7.9%) had ADR and Elderly group 6/40 had ADR (15%, p&lt;0.001). In this study, elderly were more susceptible for ADR than the other group.</w:t>
      </w:r>
    </w:p>
    <w:p w:rsidR="007C7419" w:rsidRPr="00D05018" w:rsidRDefault="00B2197A" w:rsidP="00635FA7">
      <w:pPr>
        <w:spacing w:line="240" w:lineRule="auto"/>
        <w:rPr>
          <w:rFonts w:asciiTheme="majorBidi" w:hAnsiTheme="majorBidi" w:cstheme="majorBidi"/>
          <w:sz w:val="20"/>
          <w:szCs w:val="20"/>
          <w:lang w:val="en-US"/>
        </w:rPr>
      </w:pPr>
      <w:r w:rsidRPr="00D05018">
        <w:rPr>
          <w:rFonts w:asciiTheme="majorBidi" w:hAnsiTheme="majorBidi" w:cstheme="majorBidi"/>
          <w:sz w:val="20"/>
          <w:szCs w:val="20"/>
          <w:lang w:val="en-US"/>
        </w:rPr>
        <w:t>Types of ADR:</w:t>
      </w:r>
      <w:r w:rsidR="00BD1CBE" w:rsidRPr="00D05018">
        <w:rPr>
          <w:rFonts w:asciiTheme="majorBidi" w:hAnsiTheme="majorBidi" w:cstheme="majorBidi"/>
          <w:sz w:val="20"/>
          <w:szCs w:val="20"/>
          <w:lang w:val="en-US"/>
        </w:rPr>
        <w:t xml:space="preserve"> A total of 37 different types of ADR were reported. Moon face (18%)</w:t>
      </w:r>
      <w:r w:rsidR="00784F70">
        <w:rPr>
          <w:rFonts w:asciiTheme="majorBidi" w:hAnsiTheme="majorBidi" w:cstheme="majorBidi"/>
          <w:sz w:val="20"/>
          <w:szCs w:val="20"/>
          <w:lang w:val="en-US"/>
        </w:rPr>
        <w:t xml:space="preserve"> </w:t>
      </w:r>
      <w:r w:rsidR="00BD1CBE" w:rsidRPr="00D05018">
        <w:rPr>
          <w:rFonts w:asciiTheme="majorBidi" w:hAnsiTheme="majorBidi" w:cstheme="majorBidi"/>
          <w:sz w:val="20"/>
          <w:szCs w:val="20"/>
          <w:lang w:val="en-US"/>
        </w:rPr>
        <w:t>was the commonest, followed by Allergic reaction (10.4%).</w:t>
      </w:r>
    </w:p>
    <w:p w:rsidR="00D074C0" w:rsidRPr="00FB48FA" w:rsidRDefault="00D074C0" w:rsidP="00635FA7">
      <w:pPr>
        <w:spacing w:line="240" w:lineRule="auto"/>
        <w:rPr>
          <w:rFonts w:asciiTheme="majorBidi" w:hAnsiTheme="majorBidi" w:cstheme="majorBidi"/>
          <w:sz w:val="20"/>
          <w:szCs w:val="20"/>
          <w:lang w:val="en-US"/>
        </w:rPr>
      </w:pPr>
      <w:r w:rsidRPr="00FB48FA">
        <w:rPr>
          <w:rFonts w:asciiTheme="majorBidi" w:hAnsiTheme="majorBidi" w:cstheme="majorBidi"/>
          <w:sz w:val="20"/>
          <w:szCs w:val="20"/>
          <w:lang w:val="en-US"/>
        </w:rPr>
        <w:lastRenderedPageBreak/>
        <w:t>Table 1: Types of ADR</w:t>
      </w:r>
      <w:r w:rsidR="008D60A7">
        <w:rPr>
          <w:rFonts w:asciiTheme="majorBidi" w:hAnsiTheme="majorBidi" w:cstheme="majorBidi"/>
          <w:sz w:val="20"/>
          <w:szCs w:val="20"/>
          <w:lang w:val="en-US"/>
        </w:rPr>
        <w:t xml:space="preserve">   </w:t>
      </w:r>
    </w:p>
    <w:tbl>
      <w:tblPr>
        <w:tblStyle w:val="TableGrid"/>
        <w:tblW w:w="0" w:type="auto"/>
        <w:tblLook w:val="04A0"/>
      </w:tblPr>
      <w:tblGrid>
        <w:gridCol w:w="817"/>
        <w:gridCol w:w="3827"/>
        <w:gridCol w:w="1276"/>
      </w:tblGrid>
      <w:tr w:rsidR="00B2197A" w:rsidTr="0059670A">
        <w:tc>
          <w:tcPr>
            <w:tcW w:w="817" w:type="dxa"/>
          </w:tcPr>
          <w:p w:rsidR="00B2197A" w:rsidRPr="00D05018" w:rsidRDefault="00B2197A"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S No</w:t>
            </w:r>
          </w:p>
        </w:tc>
        <w:tc>
          <w:tcPr>
            <w:tcW w:w="3827" w:type="dxa"/>
          </w:tcPr>
          <w:p w:rsidR="00B2197A" w:rsidRPr="00D05018" w:rsidRDefault="00B2197A"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 xml:space="preserve">                                             ADR</w:t>
            </w:r>
          </w:p>
        </w:tc>
        <w:tc>
          <w:tcPr>
            <w:tcW w:w="1276" w:type="dxa"/>
          </w:tcPr>
          <w:p w:rsidR="00B2197A" w:rsidRPr="00D05018" w:rsidRDefault="00B2197A"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 xml:space="preserve"> Frequency</w:t>
            </w:r>
          </w:p>
        </w:tc>
      </w:tr>
      <w:tr w:rsidR="00B2197A" w:rsidTr="0059670A">
        <w:tc>
          <w:tcPr>
            <w:tcW w:w="81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c>
          <w:tcPr>
            <w:tcW w:w="382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Moon Face</w:t>
            </w:r>
          </w:p>
        </w:tc>
        <w:tc>
          <w:tcPr>
            <w:tcW w:w="1276"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16 (18.6%)</w:t>
            </w:r>
          </w:p>
        </w:tc>
      </w:tr>
      <w:tr w:rsidR="00B2197A" w:rsidTr="0059670A">
        <w:tc>
          <w:tcPr>
            <w:tcW w:w="81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w:t>
            </w:r>
          </w:p>
        </w:tc>
        <w:tc>
          <w:tcPr>
            <w:tcW w:w="382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Allergic reaction</w:t>
            </w:r>
          </w:p>
        </w:tc>
        <w:tc>
          <w:tcPr>
            <w:tcW w:w="1276"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9 (10.4)</w:t>
            </w:r>
          </w:p>
        </w:tc>
      </w:tr>
      <w:tr w:rsidR="00B2197A" w:rsidTr="0059670A">
        <w:tc>
          <w:tcPr>
            <w:tcW w:w="81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w:t>
            </w:r>
          </w:p>
        </w:tc>
        <w:tc>
          <w:tcPr>
            <w:tcW w:w="382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 xml:space="preserve">Constipation </w:t>
            </w:r>
          </w:p>
        </w:tc>
        <w:tc>
          <w:tcPr>
            <w:tcW w:w="1276"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 xml:space="preserve">8 </w:t>
            </w:r>
          </w:p>
        </w:tc>
      </w:tr>
      <w:tr w:rsidR="00B2197A" w:rsidTr="0059670A">
        <w:tc>
          <w:tcPr>
            <w:tcW w:w="81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4</w:t>
            </w:r>
          </w:p>
        </w:tc>
        <w:tc>
          <w:tcPr>
            <w:tcW w:w="382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Fluid &amp; Electrolyte balance</w:t>
            </w:r>
          </w:p>
        </w:tc>
        <w:tc>
          <w:tcPr>
            <w:tcW w:w="1276" w:type="dxa"/>
          </w:tcPr>
          <w:p w:rsidR="00B2197A" w:rsidRPr="00D05018" w:rsidRDefault="00162D0D"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 xml:space="preserve">4 </w:t>
            </w:r>
          </w:p>
        </w:tc>
      </w:tr>
      <w:tr w:rsidR="00B2197A" w:rsidTr="0059670A">
        <w:tc>
          <w:tcPr>
            <w:tcW w:w="81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5</w:t>
            </w:r>
          </w:p>
        </w:tc>
        <w:tc>
          <w:tcPr>
            <w:tcW w:w="382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H</w:t>
            </w:r>
            <w:r w:rsidR="001A2B63" w:rsidRPr="00D05018">
              <w:rPr>
                <w:rFonts w:asciiTheme="majorBidi" w:hAnsiTheme="majorBidi" w:cstheme="majorBidi"/>
                <w:sz w:val="18"/>
                <w:szCs w:val="18"/>
                <w:lang w:val="en-US"/>
              </w:rPr>
              <w:t>irsutism</w:t>
            </w:r>
          </w:p>
        </w:tc>
        <w:tc>
          <w:tcPr>
            <w:tcW w:w="1276" w:type="dxa"/>
          </w:tcPr>
          <w:p w:rsidR="00B2197A" w:rsidRPr="00D05018" w:rsidRDefault="00162D0D"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4</w:t>
            </w:r>
          </w:p>
        </w:tc>
      </w:tr>
      <w:tr w:rsidR="00B2197A" w:rsidTr="0059670A">
        <w:tc>
          <w:tcPr>
            <w:tcW w:w="81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6</w:t>
            </w:r>
          </w:p>
        </w:tc>
        <w:tc>
          <w:tcPr>
            <w:tcW w:w="3827" w:type="dxa"/>
          </w:tcPr>
          <w:p w:rsidR="00B2197A" w:rsidRPr="00D05018" w:rsidRDefault="00162D0D"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Tachycardia</w:t>
            </w:r>
          </w:p>
        </w:tc>
        <w:tc>
          <w:tcPr>
            <w:tcW w:w="1276" w:type="dxa"/>
          </w:tcPr>
          <w:p w:rsidR="00B2197A" w:rsidRPr="00D05018" w:rsidRDefault="00162D0D"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w:t>
            </w:r>
          </w:p>
        </w:tc>
      </w:tr>
      <w:tr w:rsidR="00B2197A" w:rsidTr="0059670A">
        <w:tc>
          <w:tcPr>
            <w:tcW w:w="817" w:type="dxa"/>
          </w:tcPr>
          <w:p w:rsidR="00B2197A" w:rsidRPr="00D05018" w:rsidRDefault="003D5D0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7</w:t>
            </w:r>
          </w:p>
        </w:tc>
        <w:tc>
          <w:tcPr>
            <w:tcW w:w="3827" w:type="dxa"/>
          </w:tcPr>
          <w:p w:rsidR="00B2197A" w:rsidRPr="00D05018" w:rsidRDefault="00162D0D"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Me</w:t>
            </w:r>
            <w:r w:rsidR="00395935">
              <w:rPr>
                <w:rFonts w:asciiTheme="majorBidi" w:hAnsiTheme="majorBidi" w:cstheme="majorBidi"/>
                <w:sz w:val="18"/>
                <w:szCs w:val="18"/>
                <w:lang w:val="en-US"/>
              </w:rPr>
              <w:t>l</w:t>
            </w:r>
            <w:r w:rsidRPr="00D05018">
              <w:rPr>
                <w:rFonts w:asciiTheme="majorBidi" w:hAnsiTheme="majorBidi" w:cstheme="majorBidi"/>
                <w:sz w:val="18"/>
                <w:szCs w:val="18"/>
                <w:lang w:val="en-US"/>
              </w:rPr>
              <w:t>a</w:t>
            </w:r>
            <w:r w:rsidR="00395935">
              <w:rPr>
                <w:rFonts w:asciiTheme="majorBidi" w:hAnsiTheme="majorBidi" w:cstheme="majorBidi"/>
                <w:sz w:val="18"/>
                <w:szCs w:val="18"/>
                <w:lang w:val="en-US"/>
              </w:rPr>
              <w:t>e</w:t>
            </w:r>
            <w:r w:rsidRPr="00D05018">
              <w:rPr>
                <w:rFonts w:asciiTheme="majorBidi" w:hAnsiTheme="majorBidi" w:cstheme="majorBidi"/>
                <w:sz w:val="18"/>
                <w:szCs w:val="18"/>
                <w:lang w:val="en-US"/>
              </w:rPr>
              <w:t>na</w:t>
            </w:r>
          </w:p>
        </w:tc>
        <w:tc>
          <w:tcPr>
            <w:tcW w:w="1276" w:type="dxa"/>
          </w:tcPr>
          <w:p w:rsidR="00B2197A" w:rsidRPr="00D05018" w:rsidRDefault="00162D0D"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8</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Tremor</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9</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Cataract</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10</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Blurred vision</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11</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Acne</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12</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High Blood Pressure</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13</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 xml:space="preserve">Glucoma </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14</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Ulcer</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w:t>
            </w:r>
          </w:p>
        </w:tc>
      </w:tr>
      <w:tr w:rsidR="00CC49B4" w:rsidTr="0059670A">
        <w:tc>
          <w:tcPr>
            <w:tcW w:w="81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15</w:t>
            </w:r>
          </w:p>
        </w:tc>
        <w:tc>
          <w:tcPr>
            <w:tcW w:w="3827"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Thro</w:t>
            </w:r>
            <w:r w:rsidR="00F96C06">
              <w:rPr>
                <w:rFonts w:asciiTheme="majorBidi" w:hAnsiTheme="majorBidi" w:cstheme="majorBidi"/>
                <w:sz w:val="18"/>
                <w:szCs w:val="18"/>
                <w:lang w:val="en-US"/>
              </w:rPr>
              <w:t>m</w:t>
            </w:r>
            <w:r w:rsidRPr="00D05018">
              <w:rPr>
                <w:rFonts w:asciiTheme="majorBidi" w:hAnsiTheme="majorBidi" w:cstheme="majorBidi"/>
                <w:sz w:val="18"/>
                <w:szCs w:val="18"/>
                <w:lang w:val="en-US"/>
              </w:rPr>
              <w:t>bocytopenia</w:t>
            </w:r>
          </w:p>
        </w:tc>
        <w:tc>
          <w:tcPr>
            <w:tcW w:w="1276" w:type="dxa"/>
          </w:tcPr>
          <w:p w:rsidR="00CC49B4" w:rsidRPr="00D05018" w:rsidRDefault="00CC49B4"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16</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Tinitus</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17</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Pruritus</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18</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Arthralgia</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19</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Dry Mouth</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20</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Hyperglycaemia</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21</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Ototoxicity</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22</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Nausea</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23</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Vomiting</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24</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Pancytopenia</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25</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Diarrohea</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26</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Dry Cough</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27</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Hypotension</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28</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Pain abdomen</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29</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Chest Pain</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30</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Dyspnoea</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31</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Palpitation</w:t>
            </w:r>
          </w:p>
        </w:tc>
        <w:tc>
          <w:tcPr>
            <w:tcW w:w="1276"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32</w:t>
            </w:r>
          </w:p>
        </w:tc>
        <w:tc>
          <w:tcPr>
            <w:tcW w:w="3827" w:type="dxa"/>
          </w:tcPr>
          <w:p w:rsidR="001A2B63" w:rsidRPr="00D05018" w:rsidRDefault="001A2B6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H</w:t>
            </w:r>
            <w:r w:rsidR="00564983" w:rsidRPr="00D05018">
              <w:rPr>
                <w:rFonts w:asciiTheme="majorBidi" w:hAnsiTheme="majorBidi" w:cstheme="majorBidi"/>
                <w:sz w:val="18"/>
                <w:szCs w:val="18"/>
                <w:lang w:val="en-US"/>
              </w:rPr>
              <w:t>epato</w:t>
            </w:r>
            <w:r w:rsidR="00D87870">
              <w:rPr>
                <w:rFonts w:asciiTheme="majorBidi" w:hAnsiTheme="majorBidi" w:cstheme="majorBidi"/>
                <w:sz w:val="18"/>
                <w:szCs w:val="18"/>
                <w:lang w:val="en-US"/>
              </w:rPr>
              <w:t>to</w:t>
            </w:r>
            <w:r w:rsidR="00564983" w:rsidRPr="00D05018">
              <w:rPr>
                <w:rFonts w:asciiTheme="majorBidi" w:hAnsiTheme="majorBidi" w:cstheme="majorBidi"/>
                <w:sz w:val="18"/>
                <w:szCs w:val="18"/>
                <w:lang w:val="en-US"/>
              </w:rPr>
              <w:t>xicity</w:t>
            </w:r>
          </w:p>
        </w:tc>
        <w:tc>
          <w:tcPr>
            <w:tcW w:w="1276" w:type="dxa"/>
          </w:tcPr>
          <w:p w:rsidR="001A2B6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1A2B63" w:rsidTr="0059670A">
        <w:tc>
          <w:tcPr>
            <w:tcW w:w="817" w:type="dxa"/>
          </w:tcPr>
          <w:p w:rsidR="001A2B6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33</w:t>
            </w:r>
          </w:p>
        </w:tc>
        <w:tc>
          <w:tcPr>
            <w:tcW w:w="3827" w:type="dxa"/>
          </w:tcPr>
          <w:p w:rsidR="001A2B6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Gum Hyperplasia</w:t>
            </w:r>
          </w:p>
        </w:tc>
        <w:tc>
          <w:tcPr>
            <w:tcW w:w="1276" w:type="dxa"/>
          </w:tcPr>
          <w:p w:rsidR="001A2B6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564983" w:rsidTr="0059670A">
        <w:tc>
          <w:tcPr>
            <w:tcW w:w="817" w:type="dxa"/>
          </w:tcPr>
          <w:p w:rsidR="0056498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34</w:t>
            </w:r>
          </w:p>
        </w:tc>
        <w:tc>
          <w:tcPr>
            <w:tcW w:w="3827" w:type="dxa"/>
          </w:tcPr>
          <w:p w:rsidR="00564983" w:rsidRPr="00D05018" w:rsidRDefault="00B81471" w:rsidP="00635FA7">
            <w:pPr>
              <w:rPr>
                <w:rFonts w:asciiTheme="majorBidi" w:hAnsiTheme="majorBidi" w:cstheme="majorBidi"/>
                <w:sz w:val="18"/>
                <w:szCs w:val="18"/>
                <w:lang w:val="en-US"/>
              </w:rPr>
            </w:pPr>
            <w:r>
              <w:rPr>
                <w:rFonts w:asciiTheme="majorBidi" w:hAnsiTheme="majorBidi" w:cstheme="majorBidi"/>
                <w:sz w:val="18"/>
                <w:szCs w:val="18"/>
                <w:lang w:val="en-US"/>
              </w:rPr>
              <w:t>Mya</w:t>
            </w:r>
            <w:r w:rsidR="00564983" w:rsidRPr="00D05018">
              <w:rPr>
                <w:rFonts w:asciiTheme="majorBidi" w:hAnsiTheme="majorBidi" w:cstheme="majorBidi"/>
                <w:sz w:val="18"/>
                <w:szCs w:val="18"/>
                <w:lang w:val="en-US"/>
              </w:rPr>
              <w:t>lgia</w:t>
            </w:r>
          </w:p>
        </w:tc>
        <w:tc>
          <w:tcPr>
            <w:tcW w:w="1276" w:type="dxa"/>
          </w:tcPr>
          <w:p w:rsidR="0056498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564983" w:rsidTr="0059670A">
        <w:tc>
          <w:tcPr>
            <w:tcW w:w="817" w:type="dxa"/>
          </w:tcPr>
          <w:p w:rsidR="0056498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35</w:t>
            </w:r>
          </w:p>
        </w:tc>
        <w:tc>
          <w:tcPr>
            <w:tcW w:w="3827" w:type="dxa"/>
          </w:tcPr>
          <w:p w:rsidR="00564983" w:rsidRPr="00D05018" w:rsidRDefault="00564983"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 xml:space="preserve">Necrosis of </w:t>
            </w:r>
            <w:r w:rsidR="00416107" w:rsidRPr="00D05018">
              <w:rPr>
                <w:rFonts w:asciiTheme="majorBidi" w:hAnsiTheme="majorBidi" w:cstheme="majorBidi"/>
                <w:sz w:val="18"/>
                <w:szCs w:val="18"/>
                <w:lang w:val="en-US"/>
              </w:rPr>
              <w:t>finger tips</w:t>
            </w:r>
          </w:p>
        </w:tc>
        <w:tc>
          <w:tcPr>
            <w:tcW w:w="1276" w:type="dxa"/>
          </w:tcPr>
          <w:p w:rsidR="00564983" w:rsidRPr="00D05018" w:rsidRDefault="00416107"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564983" w:rsidTr="0059670A">
        <w:tc>
          <w:tcPr>
            <w:tcW w:w="817" w:type="dxa"/>
          </w:tcPr>
          <w:p w:rsidR="00564983" w:rsidRPr="00D05018" w:rsidRDefault="00416107"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36</w:t>
            </w:r>
          </w:p>
        </w:tc>
        <w:tc>
          <w:tcPr>
            <w:tcW w:w="3827" w:type="dxa"/>
          </w:tcPr>
          <w:p w:rsidR="00564983" w:rsidRPr="00D05018" w:rsidRDefault="00801FBA" w:rsidP="00635FA7">
            <w:pPr>
              <w:rPr>
                <w:rFonts w:asciiTheme="majorBidi" w:hAnsiTheme="majorBidi" w:cstheme="majorBidi"/>
                <w:sz w:val="18"/>
                <w:szCs w:val="18"/>
                <w:lang w:val="en-US"/>
              </w:rPr>
            </w:pPr>
            <w:r>
              <w:rPr>
                <w:rFonts w:asciiTheme="majorBidi" w:hAnsiTheme="majorBidi" w:cstheme="majorBidi"/>
                <w:sz w:val="18"/>
                <w:szCs w:val="18"/>
                <w:lang w:val="en-US"/>
              </w:rPr>
              <w:t>Depression</w:t>
            </w:r>
          </w:p>
        </w:tc>
        <w:tc>
          <w:tcPr>
            <w:tcW w:w="1276" w:type="dxa"/>
          </w:tcPr>
          <w:p w:rsidR="00564983" w:rsidRPr="00D05018" w:rsidRDefault="00416107"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r w:rsidR="00564983" w:rsidTr="0059670A">
        <w:tc>
          <w:tcPr>
            <w:tcW w:w="817" w:type="dxa"/>
          </w:tcPr>
          <w:p w:rsidR="00564983" w:rsidRPr="00D05018" w:rsidRDefault="00416107"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37</w:t>
            </w:r>
          </w:p>
        </w:tc>
        <w:tc>
          <w:tcPr>
            <w:tcW w:w="3827" w:type="dxa"/>
          </w:tcPr>
          <w:p w:rsidR="00564983" w:rsidRPr="00D05018" w:rsidRDefault="00416107"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Memory Loss</w:t>
            </w:r>
          </w:p>
        </w:tc>
        <w:tc>
          <w:tcPr>
            <w:tcW w:w="1276" w:type="dxa"/>
          </w:tcPr>
          <w:p w:rsidR="00564983" w:rsidRPr="00D05018" w:rsidRDefault="00416107" w:rsidP="00635FA7">
            <w:pPr>
              <w:rPr>
                <w:rFonts w:asciiTheme="majorBidi" w:hAnsiTheme="majorBidi" w:cstheme="majorBidi"/>
                <w:sz w:val="18"/>
                <w:szCs w:val="18"/>
                <w:lang w:val="en-US"/>
              </w:rPr>
            </w:pPr>
            <w:r w:rsidRPr="00D05018">
              <w:rPr>
                <w:rFonts w:asciiTheme="majorBidi" w:hAnsiTheme="majorBidi" w:cstheme="majorBidi"/>
                <w:sz w:val="18"/>
                <w:szCs w:val="18"/>
                <w:lang w:val="en-US"/>
              </w:rPr>
              <w:t>1</w:t>
            </w:r>
          </w:p>
        </w:tc>
      </w:tr>
    </w:tbl>
    <w:p w:rsidR="00D31BAE" w:rsidRDefault="00D31BAE" w:rsidP="00635FA7">
      <w:pPr>
        <w:spacing w:line="240" w:lineRule="auto"/>
        <w:rPr>
          <w:rFonts w:asciiTheme="majorBidi" w:hAnsiTheme="majorBidi" w:cstheme="majorBidi"/>
          <w:sz w:val="24"/>
          <w:szCs w:val="24"/>
          <w:lang w:val="en-US"/>
        </w:rPr>
      </w:pPr>
    </w:p>
    <w:p w:rsidR="00D31BAE" w:rsidRDefault="00D31BAE" w:rsidP="00635FA7">
      <w:pPr>
        <w:spacing w:line="240" w:lineRule="auto"/>
        <w:rPr>
          <w:rFonts w:asciiTheme="majorBidi" w:hAnsiTheme="majorBidi" w:cstheme="majorBidi"/>
          <w:sz w:val="24"/>
          <w:szCs w:val="24"/>
          <w:lang w:val="en-US"/>
        </w:rPr>
      </w:pPr>
      <w:r w:rsidRPr="00D05018">
        <w:rPr>
          <w:rFonts w:asciiTheme="majorBidi" w:hAnsiTheme="majorBidi" w:cstheme="majorBidi"/>
          <w:b/>
          <w:bCs/>
          <w:lang w:val="en-US"/>
        </w:rPr>
        <w:t>CAUSALITY ANALYSIS</w:t>
      </w:r>
      <w:r>
        <w:rPr>
          <w:rFonts w:asciiTheme="majorBidi" w:hAnsiTheme="majorBidi" w:cstheme="majorBidi"/>
          <w:sz w:val="24"/>
          <w:szCs w:val="24"/>
          <w:lang w:val="en-US"/>
        </w:rPr>
        <w:t>:</w:t>
      </w:r>
    </w:p>
    <w:p w:rsidR="00E33FC4" w:rsidRPr="00D05018" w:rsidRDefault="00D31BAE" w:rsidP="00635FA7">
      <w:pPr>
        <w:spacing w:line="240" w:lineRule="auto"/>
        <w:jc w:val="both"/>
        <w:rPr>
          <w:rFonts w:asciiTheme="majorBidi" w:hAnsiTheme="majorBidi" w:cstheme="majorBidi"/>
          <w:sz w:val="20"/>
          <w:szCs w:val="20"/>
          <w:lang w:val="en-US"/>
        </w:rPr>
      </w:pPr>
      <w:r w:rsidRPr="00D05018">
        <w:rPr>
          <w:rFonts w:asciiTheme="majorBidi" w:hAnsiTheme="majorBidi" w:cstheme="majorBidi"/>
          <w:sz w:val="20"/>
          <w:szCs w:val="20"/>
          <w:lang w:val="en-US"/>
        </w:rPr>
        <w:t>Naranjo’s scale</w:t>
      </w:r>
      <w:r w:rsidR="00F65755" w:rsidRPr="00D05018">
        <w:rPr>
          <w:rFonts w:asciiTheme="majorBidi" w:hAnsiTheme="majorBidi" w:cstheme="majorBidi"/>
          <w:sz w:val="20"/>
          <w:szCs w:val="20"/>
          <w:lang w:val="en-US"/>
        </w:rPr>
        <w:t xml:space="preserve">, </w:t>
      </w:r>
      <w:r w:rsidR="00E73794" w:rsidRPr="00D05018">
        <w:rPr>
          <w:rFonts w:asciiTheme="majorBidi" w:hAnsiTheme="majorBidi" w:cstheme="majorBidi"/>
          <w:sz w:val="20"/>
          <w:szCs w:val="20"/>
          <w:lang w:val="en-US"/>
        </w:rPr>
        <w:t>with score ranging from -1 to + 2</w:t>
      </w:r>
      <w:r w:rsidR="00E71D6D" w:rsidRPr="00D05018">
        <w:rPr>
          <w:rFonts w:asciiTheme="majorBidi" w:hAnsiTheme="majorBidi" w:cstheme="majorBidi"/>
          <w:sz w:val="20"/>
          <w:szCs w:val="20"/>
          <w:lang w:val="en-US"/>
        </w:rPr>
        <w:t xml:space="preserve"> was used to analyze the causality. </w:t>
      </w:r>
      <w:r w:rsidR="00E73794" w:rsidRPr="00D05018">
        <w:rPr>
          <w:rFonts w:asciiTheme="majorBidi" w:hAnsiTheme="majorBidi" w:cstheme="majorBidi"/>
          <w:sz w:val="20"/>
          <w:szCs w:val="20"/>
          <w:lang w:val="en-US"/>
        </w:rPr>
        <w:t xml:space="preserve">Total score then calculated for an offending drug and association is termed as: 0 : Doubtful; 1 – 4 :  possible; 5 – 8 : Probable; &gt; 9 : Highly probable. </w:t>
      </w:r>
    </w:p>
    <w:p w:rsidR="00E73794" w:rsidRDefault="00E73794" w:rsidP="00635FA7">
      <w:pPr>
        <w:spacing w:line="240" w:lineRule="auto"/>
        <w:jc w:val="both"/>
        <w:rPr>
          <w:rFonts w:asciiTheme="majorBidi" w:hAnsiTheme="majorBidi" w:cstheme="majorBidi"/>
          <w:sz w:val="20"/>
          <w:szCs w:val="20"/>
          <w:lang w:val="en-US"/>
        </w:rPr>
      </w:pPr>
      <w:r w:rsidRPr="00D05018">
        <w:rPr>
          <w:rFonts w:asciiTheme="majorBidi" w:hAnsiTheme="majorBidi" w:cstheme="majorBidi"/>
          <w:sz w:val="20"/>
          <w:szCs w:val="20"/>
          <w:lang w:val="en-US"/>
        </w:rPr>
        <w:t>Majority of ADR were found to b</w:t>
      </w:r>
      <w:r w:rsidR="00E71D6D" w:rsidRPr="00D05018">
        <w:rPr>
          <w:rFonts w:asciiTheme="majorBidi" w:hAnsiTheme="majorBidi" w:cstheme="majorBidi"/>
          <w:sz w:val="20"/>
          <w:szCs w:val="20"/>
          <w:lang w:val="en-US"/>
        </w:rPr>
        <w:t>e highly probable (47/72, 65</w:t>
      </w:r>
      <w:r w:rsidR="00E33FC4" w:rsidRPr="00D05018">
        <w:rPr>
          <w:rFonts w:asciiTheme="majorBidi" w:hAnsiTheme="majorBidi" w:cstheme="majorBidi"/>
          <w:sz w:val="20"/>
          <w:szCs w:val="20"/>
          <w:lang w:val="en-US"/>
        </w:rPr>
        <w:t>%)</w:t>
      </w:r>
      <w:r w:rsidR="00E71D6D" w:rsidRPr="00D05018">
        <w:rPr>
          <w:rFonts w:asciiTheme="majorBidi" w:hAnsiTheme="majorBidi" w:cstheme="majorBidi"/>
          <w:sz w:val="20"/>
          <w:szCs w:val="20"/>
          <w:lang w:val="en-US"/>
        </w:rPr>
        <w:t xml:space="preserve">, followed </w:t>
      </w:r>
      <w:r w:rsidR="00560FC0" w:rsidRPr="00D05018">
        <w:rPr>
          <w:rFonts w:asciiTheme="majorBidi" w:hAnsiTheme="majorBidi" w:cstheme="majorBidi"/>
          <w:sz w:val="20"/>
          <w:szCs w:val="20"/>
          <w:lang w:val="en-US"/>
        </w:rPr>
        <w:t>by Probable</w:t>
      </w:r>
      <w:r w:rsidR="00E71D6D" w:rsidRPr="00D05018">
        <w:rPr>
          <w:rFonts w:asciiTheme="majorBidi" w:hAnsiTheme="majorBidi" w:cstheme="majorBidi"/>
          <w:sz w:val="20"/>
          <w:szCs w:val="20"/>
          <w:lang w:val="en-US"/>
        </w:rPr>
        <w:t xml:space="preserve"> (18/</w:t>
      </w:r>
      <w:r w:rsidR="00E33FC4" w:rsidRPr="00D05018">
        <w:rPr>
          <w:rFonts w:asciiTheme="majorBidi" w:hAnsiTheme="majorBidi" w:cstheme="majorBidi"/>
          <w:sz w:val="20"/>
          <w:szCs w:val="20"/>
          <w:lang w:val="en-US"/>
        </w:rPr>
        <w:t>72,</w:t>
      </w:r>
      <w:r w:rsidR="00E71D6D" w:rsidRPr="00D05018">
        <w:rPr>
          <w:rFonts w:asciiTheme="majorBidi" w:hAnsiTheme="majorBidi" w:cstheme="majorBidi"/>
          <w:sz w:val="20"/>
          <w:szCs w:val="20"/>
          <w:lang w:val="en-US"/>
        </w:rPr>
        <w:t xml:space="preserve"> 25%), then Possible 7/72 cases.</w:t>
      </w:r>
    </w:p>
    <w:p w:rsidR="00F65755" w:rsidRPr="00D05018" w:rsidRDefault="00E71D6D" w:rsidP="00635FA7">
      <w:pPr>
        <w:spacing w:line="240" w:lineRule="auto"/>
        <w:jc w:val="both"/>
        <w:rPr>
          <w:rFonts w:asciiTheme="majorBidi" w:hAnsiTheme="majorBidi" w:cstheme="majorBidi"/>
          <w:lang w:val="en-US"/>
        </w:rPr>
      </w:pPr>
      <w:r w:rsidRPr="00D05018">
        <w:rPr>
          <w:rFonts w:asciiTheme="majorBidi" w:hAnsiTheme="majorBidi" w:cstheme="majorBidi"/>
          <w:b/>
          <w:bCs/>
          <w:lang w:val="en-US"/>
        </w:rPr>
        <w:t>SEVERITY ASSESSMENT</w:t>
      </w:r>
      <w:r w:rsidRPr="00D05018">
        <w:rPr>
          <w:rFonts w:asciiTheme="majorBidi" w:hAnsiTheme="majorBidi" w:cstheme="majorBidi"/>
          <w:lang w:val="en-US"/>
        </w:rPr>
        <w:t>:</w:t>
      </w:r>
    </w:p>
    <w:p w:rsidR="00E33FC4" w:rsidRPr="00D05018" w:rsidRDefault="00A10C1F" w:rsidP="00635FA7">
      <w:pPr>
        <w:spacing w:line="240" w:lineRule="auto"/>
        <w:jc w:val="both"/>
        <w:rPr>
          <w:rFonts w:asciiTheme="majorBidi" w:hAnsiTheme="majorBidi" w:cstheme="majorBidi"/>
          <w:sz w:val="20"/>
          <w:szCs w:val="20"/>
          <w:lang w:val="en-US"/>
        </w:rPr>
      </w:pPr>
      <w:r w:rsidRPr="00D05018">
        <w:rPr>
          <w:rFonts w:asciiTheme="majorBidi" w:hAnsiTheme="majorBidi" w:cstheme="majorBidi"/>
          <w:b/>
          <w:bCs/>
          <w:sz w:val="20"/>
          <w:szCs w:val="20"/>
          <w:lang w:val="en-US"/>
        </w:rPr>
        <w:t xml:space="preserve">Severity </w:t>
      </w:r>
      <w:r w:rsidRPr="00D05018">
        <w:rPr>
          <w:rFonts w:asciiTheme="majorBidi" w:hAnsiTheme="majorBidi" w:cstheme="majorBidi"/>
          <w:sz w:val="20"/>
          <w:szCs w:val="20"/>
          <w:lang w:val="en-US"/>
        </w:rPr>
        <w:t>of ADR was</w:t>
      </w:r>
      <w:r w:rsidR="00E71D6D" w:rsidRPr="00D05018">
        <w:rPr>
          <w:rFonts w:asciiTheme="majorBidi" w:hAnsiTheme="majorBidi" w:cstheme="majorBidi"/>
          <w:sz w:val="20"/>
          <w:szCs w:val="20"/>
          <w:lang w:val="en-US"/>
        </w:rPr>
        <w:t xml:space="preserve"> assessed by Hartwig severity scale.</w:t>
      </w:r>
      <w:r w:rsidR="005955CC" w:rsidRPr="00D05018">
        <w:rPr>
          <w:rFonts w:asciiTheme="majorBidi" w:hAnsiTheme="majorBidi" w:cstheme="majorBidi"/>
          <w:sz w:val="20"/>
          <w:szCs w:val="20"/>
          <w:lang w:val="en-US"/>
        </w:rPr>
        <w:t xml:space="preserve"> </w:t>
      </w:r>
      <w:r w:rsidR="00E71D6D" w:rsidRPr="00D05018">
        <w:rPr>
          <w:rFonts w:asciiTheme="majorBidi" w:hAnsiTheme="majorBidi" w:cstheme="majorBidi"/>
          <w:b/>
          <w:bCs/>
          <w:sz w:val="20"/>
          <w:szCs w:val="20"/>
          <w:lang w:val="en-US"/>
        </w:rPr>
        <w:t>Mild</w:t>
      </w:r>
      <w:r w:rsidR="00E71D6D" w:rsidRPr="00D05018">
        <w:rPr>
          <w:rFonts w:asciiTheme="majorBidi" w:hAnsiTheme="majorBidi" w:cstheme="majorBidi"/>
          <w:sz w:val="20"/>
          <w:szCs w:val="20"/>
          <w:lang w:val="en-US"/>
        </w:rPr>
        <w:t xml:space="preserve">: a reaction that does not require treatment. </w:t>
      </w:r>
      <w:r w:rsidR="00E71D6D" w:rsidRPr="00D05018">
        <w:rPr>
          <w:rFonts w:asciiTheme="majorBidi" w:hAnsiTheme="majorBidi" w:cstheme="majorBidi"/>
          <w:b/>
          <w:bCs/>
          <w:sz w:val="20"/>
          <w:szCs w:val="20"/>
          <w:lang w:val="en-US"/>
        </w:rPr>
        <w:t>Moderate:</w:t>
      </w:r>
      <w:r w:rsidR="00E71D6D" w:rsidRPr="00D05018">
        <w:rPr>
          <w:rFonts w:asciiTheme="majorBidi" w:hAnsiTheme="majorBidi" w:cstheme="majorBidi"/>
          <w:sz w:val="20"/>
          <w:szCs w:val="20"/>
          <w:lang w:val="en-US"/>
        </w:rPr>
        <w:t xml:space="preserve"> a reaction that requires treatment or hospitalization. </w:t>
      </w:r>
      <w:r w:rsidR="00E71D6D" w:rsidRPr="00D05018">
        <w:rPr>
          <w:rFonts w:asciiTheme="majorBidi" w:hAnsiTheme="majorBidi" w:cstheme="majorBidi"/>
          <w:b/>
          <w:bCs/>
          <w:sz w:val="20"/>
          <w:szCs w:val="20"/>
          <w:lang w:val="en-US"/>
        </w:rPr>
        <w:t>Severe</w:t>
      </w:r>
      <w:r w:rsidR="00E71D6D" w:rsidRPr="00D05018">
        <w:rPr>
          <w:rFonts w:asciiTheme="majorBidi" w:hAnsiTheme="majorBidi" w:cstheme="majorBidi"/>
          <w:sz w:val="20"/>
          <w:szCs w:val="20"/>
          <w:lang w:val="en-US"/>
        </w:rPr>
        <w:t>: life threatening</w:t>
      </w:r>
      <w:r w:rsidR="005955CC" w:rsidRPr="00D05018">
        <w:rPr>
          <w:rFonts w:asciiTheme="majorBidi" w:hAnsiTheme="majorBidi" w:cstheme="majorBidi"/>
          <w:sz w:val="20"/>
          <w:szCs w:val="20"/>
          <w:lang w:val="en-US"/>
        </w:rPr>
        <w:t xml:space="preserve"> ADR.  </w:t>
      </w:r>
    </w:p>
    <w:p w:rsidR="00F65755" w:rsidRDefault="005955CC" w:rsidP="00635FA7">
      <w:pPr>
        <w:spacing w:line="240" w:lineRule="auto"/>
        <w:jc w:val="both"/>
        <w:rPr>
          <w:rFonts w:asciiTheme="majorBidi" w:hAnsiTheme="majorBidi" w:cstheme="majorBidi"/>
          <w:sz w:val="20"/>
          <w:szCs w:val="20"/>
          <w:lang w:val="en-US"/>
        </w:rPr>
      </w:pPr>
      <w:r w:rsidRPr="00D05018">
        <w:rPr>
          <w:rFonts w:asciiTheme="majorBidi" w:hAnsiTheme="majorBidi" w:cstheme="majorBidi"/>
          <w:sz w:val="20"/>
          <w:szCs w:val="20"/>
          <w:lang w:val="en-US"/>
        </w:rPr>
        <w:t>Majority of ADR were found to be mild (44/72, 51.1</w:t>
      </w:r>
      <w:r w:rsidR="00E33FC4" w:rsidRPr="00D05018">
        <w:rPr>
          <w:rFonts w:asciiTheme="majorBidi" w:hAnsiTheme="majorBidi" w:cstheme="majorBidi"/>
          <w:sz w:val="20"/>
          <w:szCs w:val="20"/>
          <w:lang w:val="en-US"/>
        </w:rPr>
        <w:t xml:space="preserve"> </w:t>
      </w:r>
      <w:r w:rsidRPr="00D05018">
        <w:rPr>
          <w:rFonts w:asciiTheme="majorBidi" w:hAnsiTheme="majorBidi" w:cstheme="majorBidi"/>
          <w:sz w:val="20"/>
          <w:szCs w:val="20"/>
          <w:lang w:val="en-US"/>
        </w:rPr>
        <w:t>%), followed by Moderate (38/72, 44.1%) , then Severe (4/</w:t>
      </w:r>
      <w:r w:rsidRPr="001B0CCA">
        <w:rPr>
          <w:rFonts w:asciiTheme="majorBidi" w:hAnsiTheme="majorBidi" w:cstheme="majorBidi"/>
          <w:sz w:val="20"/>
          <w:szCs w:val="20"/>
          <w:lang w:val="en-US"/>
        </w:rPr>
        <w:t>72, 4.65%</w:t>
      </w:r>
      <w:r w:rsidR="00E33FC4" w:rsidRPr="001B0CCA">
        <w:rPr>
          <w:rFonts w:asciiTheme="majorBidi" w:hAnsiTheme="majorBidi" w:cstheme="majorBidi"/>
          <w:sz w:val="20"/>
          <w:szCs w:val="20"/>
          <w:lang w:val="en-US"/>
        </w:rPr>
        <w:t>)</w:t>
      </w:r>
      <w:r w:rsidR="00A10C1F" w:rsidRPr="001B0CCA">
        <w:rPr>
          <w:rFonts w:asciiTheme="majorBidi" w:hAnsiTheme="majorBidi" w:cstheme="majorBidi"/>
          <w:sz w:val="20"/>
          <w:szCs w:val="20"/>
          <w:lang w:val="en-US"/>
        </w:rPr>
        <w:t xml:space="preserve">. </w:t>
      </w:r>
    </w:p>
    <w:p w:rsidR="001B0CCA" w:rsidRDefault="001B0CCA" w:rsidP="00635FA7">
      <w:pPr>
        <w:spacing w:line="240" w:lineRule="auto"/>
        <w:jc w:val="both"/>
        <w:rPr>
          <w:rFonts w:asciiTheme="majorBidi" w:hAnsiTheme="majorBidi" w:cstheme="majorBidi"/>
          <w:sz w:val="20"/>
          <w:szCs w:val="20"/>
          <w:lang w:val="en-US"/>
        </w:rPr>
      </w:pPr>
      <w:r w:rsidRPr="001B0CCA">
        <w:rPr>
          <w:rFonts w:asciiTheme="majorBidi" w:hAnsiTheme="majorBidi" w:cstheme="majorBidi"/>
          <w:b/>
          <w:bCs/>
          <w:lang w:val="en-US"/>
        </w:rPr>
        <w:t>ONSET OF ADR:</w:t>
      </w:r>
      <w:r w:rsidR="00DD7610">
        <w:rPr>
          <w:rFonts w:asciiTheme="majorBidi" w:hAnsiTheme="majorBidi" w:cstheme="majorBidi"/>
          <w:b/>
          <w:bCs/>
          <w:lang w:val="en-US"/>
        </w:rPr>
        <w:t xml:space="preserve"> </w:t>
      </w:r>
      <w:r w:rsidRPr="001B0CCA">
        <w:rPr>
          <w:rFonts w:asciiTheme="majorBidi" w:hAnsiTheme="majorBidi" w:cstheme="majorBidi"/>
          <w:sz w:val="20"/>
          <w:szCs w:val="20"/>
          <w:lang w:val="en-US"/>
        </w:rPr>
        <w:t>ADR were grouped according to the onset into following three groups:</w:t>
      </w:r>
      <w:r w:rsidRPr="0021340E">
        <w:rPr>
          <w:rFonts w:asciiTheme="majorBidi" w:hAnsiTheme="majorBidi" w:cstheme="majorBidi"/>
          <w:b/>
          <w:bCs/>
          <w:sz w:val="20"/>
          <w:szCs w:val="20"/>
          <w:lang w:val="en-US"/>
        </w:rPr>
        <w:t xml:space="preserve">  Acute:</w:t>
      </w:r>
      <w:r w:rsidRPr="0021340E">
        <w:rPr>
          <w:rFonts w:asciiTheme="majorBidi" w:hAnsiTheme="majorBidi" w:cstheme="majorBidi"/>
          <w:sz w:val="20"/>
          <w:szCs w:val="20"/>
          <w:lang w:val="en-US"/>
        </w:rPr>
        <w:t xml:space="preserve"> ADR occurring within 60 minutes after administration of the drug. </w:t>
      </w:r>
      <w:r w:rsidRPr="0021340E">
        <w:rPr>
          <w:rFonts w:asciiTheme="majorBidi" w:hAnsiTheme="majorBidi" w:cstheme="majorBidi"/>
          <w:b/>
          <w:bCs/>
          <w:sz w:val="20"/>
          <w:szCs w:val="20"/>
          <w:lang w:val="en-US"/>
        </w:rPr>
        <w:t>Sub-Acute</w:t>
      </w:r>
      <w:r w:rsidRPr="0021340E">
        <w:rPr>
          <w:rFonts w:asciiTheme="majorBidi" w:hAnsiTheme="majorBidi" w:cstheme="majorBidi"/>
          <w:sz w:val="20"/>
          <w:szCs w:val="20"/>
          <w:lang w:val="en-US"/>
        </w:rPr>
        <w:t xml:space="preserve">: ADR occurring within 60 minutes to 24 hours after administration of the drug. </w:t>
      </w:r>
      <w:r w:rsidRPr="0021340E">
        <w:rPr>
          <w:rFonts w:asciiTheme="majorBidi" w:hAnsiTheme="majorBidi" w:cstheme="majorBidi"/>
          <w:b/>
          <w:bCs/>
          <w:sz w:val="20"/>
          <w:szCs w:val="20"/>
          <w:lang w:val="en-US"/>
        </w:rPr>
        <w:t>Latent:</w:t>
      </w:r>
      <w:r w:rsidRPr="0021340E">
        <w:rPr>
          <w:rFonts w:asciiTheme="majorBidi" w:hAnsiTheme="majorBidi" w:cstheme="majorBidi"/>
          <w:sz w:val="20"/>
          <w:szCs w:val="20"/>
          <w:lang w:val="en-US"/>
        </w:rPr>
        <w:t xml:space="preserve"> ADR occurring after 2 days of administration of the drug.</w:t>
      </w:r>
    </w:p>
    <w:p w:rsidR="001B0CCA" w:rsidRPr="0021340E" w:rsidRDefault="001B0CCA" w:rsidP="00635FA7">
      <w:pPr>
        <w:spacing w:line="240" w:lineRule="auto"/>
        <w:rPr>
          <w:rFonts w:asciiTheme="majorBidi" w:hAnsiTheme="majorBidi" w:cstheme="majorBidi"/>
          <w:sz w:val="20"/>
          <w:szCs w:val="20"/>
          <w:lang w:val="en-US"/>
        </w:rPr>
      </w:pPr>
      <w:r>
        <w:rPr>
          <w:rFonts w:asciiTheme="majorBidi" w:hAnsiTheme="majorBidi" w:cstheme="majorBidi"/>
          <w:sz w:val="20"/>
          <w:szCs w:val="20"/>
          <w:lang w:val="en-US"/>
        </w:rPr>
        <w:lastRenderedPageBreak/>
        <w:t>In this study, it was found that most of the ADR occurred in the Latent group</w:t>
      </w:r>
      <w:r w:rsidR="00482513">
        <w:rPr>
          <w:rFonts w:asciiTheme="majorBidi" w:hAnsiTheme="majorBidi" w:cstheme="majorBidi"/>
          <w:sz w:val="20"/>
          <w:szCs w:val="20"/>
          <w:lang w:val="en-US"/>
        </w:rPr>
        <w:t xml:space="preserve"> </w:t>
      </w:r>
      <w:r>
        <w:rPr>
          <w:rFonts w:asciiTheme="majorBidi" w:hAnsiTheme="majorBidi" w:cstheme="majorBidi"/>
          <w:sz w:val="20"/>
          <w:szCs w:val="20"/>
          <w:lang w:val="en-US"/>
        </w:rPr>
        <w:t>(58.1%</w:t>
      </w:r>
      <w:r w:rsidR="00482513">
        <w:rPr>
          <w:rFonts w:asciiTheme="majorBidi" w:hAnsiTheme="majorBidi" w:cstheme="majorBidi"/>
          <w:sz w:val="20"/>
          <w:szCs w:val="20"/>
          <w:lang w:val="en-US"/>
        </w:rPr>
        <w:t>, 53/89), followed by Sub-acute group (33.7%, 30/89), and finally the acute group with 6.7% (6/89).</w:t>
      </w:r>
    </w:p>
    <w:p w:rsidR="008F4AF5" w:rsidRPr="00D05018" w:rsidRDefault="008F4AF5" w:rsidP="00635FA7">
      <w:pPr>
        <w:spacing w:line="240" w:lineRule="auto"/>
        <w:jc w:val="both"/>
        <w:rPr>
          <w:rFonts w:asciiTheme="majorBidi" w:hAnsiTheme="majorBidi" w:cstheme="majorBidi"/>
          <w:b/>
          <w:bCs/>
          <w:lang w:val="en-US"/>
        </w:rPr>
      </w:pPr>
      <w:r w:rsidRPr="00D05018">
        <w:rPr>
          <w:rFonts w:asciiTheme="majorBidi" w:hAnsiTheme="majorBidi" w:cstheme="majorBidi"/>
          <w:b/>
          <w:bCs/>
          <w:lang w:val="en-US"/>
        </w:rPr>
        <w:t>PREVENTIBILITY OF ADR</w:t>
      </w:r>
    </w:p>
    <w:p w:rsidR="00D31BAE" w:rsidRPr="00D05018" w:rsidRDefault="00194CB1" w:rsidP="00635FA7">
      <w:pPr>
        <w:spacing w:line="240" w:lineRule="auto"/>
        <w:jc w:val="both"/>
        <w:rPr>
          <w:rFonts w:asciiTheme="majorBidi" w:hAnsiTheme="majorBidi" w:cstheme="majorBidi"/>
          <w:sz w:val="20"/>
          <w:szCs w:val="20"/>
          <w:lang w:val="en-US"/>
        </w:rPr>
      </w:pPr>
      <w:r w:rsidRPr="00D05018">
        <w:rPr>
          <w:rFonts w:asciiTheme="majorBidi" w:hAnsiTheme="majorBidi" w:cstheme="majorBidi"/>
          <w:sz w:val="20"/>
          <w:szCs w:val="20"/>
          <w:lang w:val="en-US"/>
        </w:rPr>
        <w:t>Preventability</w:t>
      </w:r>
      <w:r w:rsidR="008F4AF5" w:rsidRPr="00D05018">
        <w:rPr>
          <w:rFonts w:asciiTheme="majorBidi" w:hAnsiTheme="majorBidi" w:cstheme="majorBidi"/>
          <w:sz w:val="20"/>
          <w:szCs w:val="20"/>
          <w:lang w:val="en-US"/>
        </w:rPr>
        <w:t xml:space="preserve"> of ADR was ascertained by seven point questionnaires of Schumton and the preventability</w:t>
      </w:r>
      <w:r w:rsidR="002E5F6B" w:rsidRPr="00D05018">
        <w:rPr>
          <w:rFonts w:asciiTheme="majorBidi" w:hAnsiTheme="majorBidi" w:cstheme="majorBidi"/>
          <w:sz w:val="20"/>
          <w:szCs w:val="20"/>
          <w:lang w:val="en-US"/>
        </w:rPr>
        <w:t xml:space="preserve"> criteria. </w:t>
      </w:r>
      <w:r w:rsidRPr="00D05018">
        <w:rPr>
          <w:rFonts w:asciiTheme="majorBidi" w:hAnsiTheme="majorBidi" w:cstheme="majorBidi"/>
          <w:sz w:val="20"/>
          <w:szCs w:val="20"/>
          <w:lang w:val="en-US"/>
        </w:rPr>
        <w:t>Out of these 89 episode of ADR, only 11 (12.3 %) were preventable and remaining 87.6 % (78/89) were non-preventable. These large numbers were non-preventable because susceptibility of these ADR is still not defined and they require further study.</w:t>
      </w:r>
    </w:p>
    <w:p w:rsidR="008C38A3" w:rsidRPr="00D05018" w:rsidRDefault="008C38A3" w:rsidP="00635FA7">
      <w:pPr>
        <w:spacing w:line="240" w:lineRule="auto"/>
        <w:jc w:val="both"/>
        <w:rPr>
          <w:rFonts w:asciiTheme="majorBidi" w:hAnsiTheme="majorBidi" w:cstheme="majorBidi"/>
          <w:b/>
          <w:bCs/>
          <w:lang w:val="en-US"/>
        </w:rPr>
      </w:pPr>
      <w:r w:rsidRPr="00D05018">
        <w:rPr>
          <w:rFonts w:asciiTheme="majorBidi" w:hAnsiTheme="majorBidi" w:cstheme="majorBidi"/>
          <w:b/>
          <w:bCs/>
          <w:lang w:val="en-US"/>
        </w:rPr>
        <w:t>DRUG CAUSING ADVERSE REACTIONS</w:t>
      </w:r>
    </w:p>
    <w:p w:rsidR="00CA4714" w:rsidRDefault="00CA4714" w:rsidP="00635FA7">
      <w:pPr>
        <w:spacing w:line="240" w:lineRule="auto"/>
        <w:jc w:val="both"/>
        <w:rPr>
          <w:rFonts w:asciiTheme="majorBidi" w:hAnsiTheme="majorBidi" w:cstheme="majorBidi"/>
          <w:sz w:val="24"/>
          <w:szCs w:val="24"/>
          <w:lang w:val="en-US"/>
        </w:rPr>
      </w:pPr>
      <w:r w:rsidRPr="00375039">
        <w:rPr>
          <w:rFonts w:asciiTheme="majorBidi" w:hAnsiTheme="majorBidi" w:cstheme="majorBidi"/>
          <w:sz w:val="20"/>
          <w:szCs w:val="20"/>
          <w:lang w:val="en-US"/>
        </w:rPr>
        <w:t xml:space="preserve">About 450 medicines were prescribed in these patients with ADR.  </w:t>
      </w:r>
      <w:r w:rsidR="00451690" w:rsidRPr="00375039">
        <w:rPr>
          <w:rFonts w:asciiTheme="majorBidi" w:hAnsiTheme="majorBidi" w:cstheme="majorBidi"/>
          <w:sz w:val="20"/>
          <w:szCs w:val="20"/>
          <w:lang w:val="en-US"/>
        </w:rPr>
        <w:t>Prednisonle was</w:t>
      </w:r>
      <w:r w:rsidRPr="00375039">
        <w:rPr>
          <w:rFonts w:asciiTheme="majorBidi" w:hAnsiTheme="majorBidi" w:cstheme="majorBidi"/>
          <w:sz w:val="20"/>
          <w:szCs w:val="20"/>
          <w:lang w:val="en-US"/>
        </w:rPr>
        <w:t xml:space="preserve"> the most common offending drugs in 23 (26.7%) cases, followed by analgesics</w:t>
      </w:r>
      <w:r>
        <w:rPr>
          <w:rFonts w:asciiTheme="majorBidi" w:hAnsiTheme="majorBidi" w:cstheme="majorBidi"/>
          <w:sz w:val="24"/>
          <w:szCs w:val="24"/>
          <w:lang w:val="en-US"/>
        </w:rPr>
        <w:t>.</w:t>
      </w:r>
    </w:p>
    <w:p w:rsidR="00CA4714" w:rsidRPr="00CA4714" w:rsidRDefault="00CA4714" w:rsidP="00635FA7">
      <w:pPr>
        <w:spacing w:line="240" w:lineRule="auto"/>
        <w:jc w:val="both"/>
        <w:rPr>
          <w:rFonts w:asciiTheme="majorBidi" w:hAnsiTheme="majorBidi" w:cstheme="majorBidi"/>
          <w:sz w:val="20"/>
          <w:szCs w:val="20"/>
          <w:lang w:val="en-US"/>
        </w:rPr>
      </w:pPr>
      <w:r w:rsidRPr="00CA4714">
        <w:rPr>
          <w:rFonts w:asciiTheme="majorBidi" w:hAnsiTheme="majorBidi" w:cstheme="majorBidi"/>
          <w:sz w:val="20"/>
          <w:szCs w:val="20"/>
          <w:lang w:val="en-US"/>
        </w:rPr>
        <w:t>T</w:t>
      </w:r>
      <w:r>
        <w:rPr>
          <w:rFonts w:asciiTheme="majorBidi" w:hAnsiTheme="majorBidi" w:cstheme="majorBidi"/>
          <w:sz w:val="20"/>
          <w:szCs w:val="20"/>
          <w:lang w:val="en-US"/>
        </w:rPr>
        <w:t>able 2: Most commonly ADR causing Drugs</w:t>
      </w:r>
    </w:p>
    <w:tbl>
      <w:tblPr>
        <w:tblStyle w:val="TableGrid"/>
        <w:tblW w:w="0" w:type="auto"/>
        <w:tblLook w:val="04A0"/>
      </w:tblPr>
      <w:tblGrid>
        <w:gridCol w:w="3080"/>
        <w:gridCol w:w="1990"/>
        <w:gridCol w:w="4172"/>
      </w:tblGrid>
      <w:tr w:rsidR="00CA4714" w:rsidTr="00CA4714">
        <w:tc>
          <w:tcPr>
            <w:tcW w:w="3080"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DRUGS</w:t>
            </w:r>
          </w:p>
        </w:tc>
        <w:tc>
          <w:tcPr>
            <w:tcW w:w="1990"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No (%)</w:t>
            </w:r>
          </w:p>
        </w:tc>
        <w:tc>
          <w:tcPr>
            <w:tcW w:w="4172"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ADR</w:t>
            </w:r>
          </w:p>
        </w:tc>
      </w:tr>
      <w:tr w:rsidR="00CA4714" w:rsidTr="00CA4714">
        <w:tc>
          <w:tcPr>
            <w:tcW w:w="3080"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Prednisolone</w:t>
            </w:r>
          </w:p>
        </w:tc>
        <w:tc>
          <w:tcPr>
            <w:tcW w:w="1990"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23 (26.7%)</w:t>
            </w:r>
          </w:p>
        </w:tc>
        <w:tc>
          <w:tcPr>
            <w:tcW w:w="4172"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Moon Face, Hyperglycaemia, Cataract, Glucoma, Hirsutism, Melaena, Acne</w:t>
            </w:r>
            <w:r w:rsidR="00705697">
              <w:rPr>
                <w:rFonts w:asciiTheme="majorBidi" w:hAnsiTheme="majorBidi" w:cstheme="majorBidi"/>
                <w:sz w:val="18"/>
                <w:szCs w:val="18"/>
                <w:lang w:val="en-US"/>
              </w:rPr>
              <w:t>, Depression</w:t>
            </w:r>
          </w:p>
        </w:tc>
      </w:tr>
      <w:tr w:rsidR="00CA4714" w:rsidTr="00CA4714">
        <w:tc>
          <w:tcPr>
            <w:tcW w:w="3080"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Nimesulide (taken over the counter, outside the hospital)</w:t>
            </w:r>
          </w:p>
        </w:tc>
        <w:tc>
          <w:tcPr>
            <w:tcW w:w="1990"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12 (13.9%)</w:t>
            </w:r>
          </w:p>
        </w:tc>
        <w:tc>
          <w:tcPr>
            <w:tcW w:w="4172"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Melaena, Gastritis, Thrombocytopania</w:t>
            </w:r>
          </w:p>
        </w:tc>
      </w:tr>
      <w:tr w:rsidR="00CA4714" w:rsidTr="00CA4714">
        <w:tc>
          <w:tcPr>
            <w:tcW w:w="3080" w:type="dxa"/>
          </w:tcPr>
          <w:p w:rsidR="00CA4714" w:rsidRPr="00D05018" w:rsidRDefault="00CA4714"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Diclofenac (taken over the counter, outside the hospital)</w:t>
            </w:r>
          </w:p>
        </w:tc>
        <w:tc>
          <w:tcPr>
            <w:tcW w:w="1990" w:type="dxa"/>
          </w:tcPr>
          <w:p w:rsidR="00CA4714" w:rsidRPr="00D05018" w:rsidRDefault="00723335"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11 (12.7%)</w:t>
            </w:r>
          </w:p>
        </w:tc>
        <w:tc>
          <w:tcPr>
            <w:tcW w:w="4172" w:type="dxa"/>
          </w:tcPr>
          <w:p w:rsidR="00CA4714" w:rsidRPr="00D05018" w:rsidRDefault="0048151F"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Melaena, Gastritis, Allergic reaction</w:t>
            </w:r>
          </w:p>
        </w:tc>
      </w:tr>
      <w:tr w:rsidR="00CA4714" w:rsidTr="00CA4714">
        <w:tc>
          <w:tcPr>
            <w:tcW w:w="3080" w:type="dxa"/>
          </w:tcPr>
          <w:p w:rsidR="00CA4714" w:rsidRPr="00D05018" w:rsidRDefault="00D56A1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 xml:space="preserve"> Furosemide</w:t>
            </w:r>
          </w:p>
        </w:tc>
        <w:tc>
          <w:tcPr>
            <w:tcW w:w="1990" w:type="dxa"/>
          </w:tcPr>
          <w:p w:rsidR="00CA4714" w:rsidRPr="00D05018" w:rsidRDefault="00D56A1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10 (11.6%)</w:t>
            </w:r>
          </w:p>
        </w:tc>
        <w:tc>
          <w:tcPr>
            <w:tcW w:w="4172" w:type="dxa"/>
          </w:tcPr>
          <w:p w:rsidR="00CA4714" w:rsidRPr="00D05018" w:rsidRDefault="00EE3FE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Dry Mouth, Fluid &amp; electrolyte imbalance</w:t>
            </w:r>
          </w:p>
        </w:tc>
      </w:tr>
      <w:tr w:rsidR="00CA4714" w:rsidTr="00CA4714">
        <w:tc>
          <w:tcPr>
            <w:tcW w:w="3080" w:type="dxa"/>
          </w:tcPr>
          <w:p w:rsidR="00CA4714" w:rsidRPr="00D05018" w:rsidRDefault="00EE3FE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Cyclosporin</w:t>
            </w:r>
          </w:p>
        </w:tc>
        <w:tc>
          <w:tcPr>
            <w:tcW w:w="1990" w:type="dxa"/>
          </w:tcPr>
          <w:p w:rsidR="00CA4714" w:rsidRPr="00D05018" w:rsidRDefault="00EE3FE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8 (9.3%)</w:t>
            </w:r>
          </w:p>
        </w:tc>
        <w:tc>
          <w:tcPr>
            <w:tcW w:w="4172" w:type="dxa"/>
          </w:tcPr>
          <w:p w:rsidR="00CA4714" w:rsidRPr="00D05018" w:rsidRDefault="00EE3FE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Tachycardia, gum hyperplasia, Hair Growth</w:t>
            </w:r>
          </w:p>
        </w:tc>
      </w:tr>
      <w:tr w:rsidR="00CA4714" w:rsidTr="00CA4714">
        <w:tc>
          <w:tcPr>
            <w:tcW w:w="3080" w:type="dxa"/>
          </w:tcPr>
          <w:p w:rsidR="00CA4714" w:rsidRPr="00D05018" w:rsidRDefault="00EE3FE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 xml:space="preserve">Atorvastatin </w:t>
            </w:r>
          </w:p>
        </w:tc>
        <w:tc>
          <w:tcPr>
            <w:tcW w:w="1990" w:type="dxa"/>
          </w:tcPr>
          <w:p w:rsidR="00CA4714" w:rsidRPr="00D05018" w:rsidRDefault="00EE3FE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4 (4.65 %)</w:t>
            </w:r>
          </w:p>
        </w:tc>
        <w:tc>
          <w:tcPr>
            <w:tcW w:w="4172" w:type="dxa"/>
          </w:tcPr>
          <w:p w:rsidR="00CA4714" w:rsidRPr="00D05018" w:rsidRDefault="00EE3FEE" w:rsidP="00635FA7">
            <w:pPr>
              <w:jc w:val="both"/>
              <w:rPr>
                <w:rFonts w:asciiTheme="majorBidi" w:hAnsiTheme="majorBidi" w:cstheme="majorBidi"/>
                <w:sz w:val="18"/>
                <w:szCs w:val="18"/>
                <w:lang w:val="en-US"/>
              </w:rPr>
            </w:pPr>
            <w:r w:rsidRPr="00D05018">
              <w:rPr>
                <w:rFonts w:asciiTheme="majorBidi" w:hAnsiTheme="majorBidi" w:cstheme="majorBidi"/>
                <w:sz w:val="18"/>
                <w:szCs w:val="18"/>
                <w:lang w:val="en-US"/>
              </w:rPr>
              <w:t>Myelgia, hepatotoxicity, Memory loss</w:t>
            </w:r>
          </w:p>
        </w:tc>
      </w:tr>
    </w:tbl>
    <w:p w:rsidR="00CA4714" w:rsidRDefault="00CA4714" w:rsidP="00635FA7">
      <w:pPr>
        <w:spacing w:line="240" w:lineRule="auto"/>
        <w:jc w:val="both"/>
        <w:rPr>
          <w:rFonts w:asciiTheme="majorBidi" w:hAnsiTheme="majorBidi" w:cstheme="majorBidi"/>
          <w:sz w:val="24"/>
          <w:szCs w:val="24"/>
          <w:lang w:val="en-US"/>
        </w:rPr>
      </w:pPr>
    </w:p>
    <w:p w:rsidR="008C38A3" w:rsidRPr="00D05018" w:rsidRDefault="009844E4" w:rsidP="00635FA7">
      <w:pPr>
        <w:spacing w:line="240" w:lineRule="auto"/>
        <w:jc w:val="both"/>
        <w:rPr>
          <w:rFonts w:asciiTheme="majorBidi" w:hAnsiTheme="majorBidi" w:cstheme="majorBidi"/>
          <w:b/>
          <w:bCs/>
          <w:lang w:val="en-US"/>
        </w:rPr>
      </w:pPr>
      <w:r w:rsidRPr="00D05018">
        <w:rPr>
          <w:rFonts w:asciiTheme="majorBidi" w:hAnsiTheme="majorBidi" w:cstheme="majorBidi"/>
          <w:b/>
          <w:bCs/>
          <w:lang w:val="en-US"/>
        </w:rPr>
        <w:t>RELATIONSHIP OF MULTIPLE MEDICATIONS WITH ADR:</w:t>
      </w:r>
    </w:p>
    <w:p w:rsidR="009844E4" w:rsidRPr="00FA3F12" w:rsidRDefault="009844E4"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sz w:val="20"/>
          <w:szCs w:val="20"/>
          <w:lang w:val="en-US"/>
        </w:rPr>
        <w:t>For analysis of the relationship, the patients were divided into 3 groups: Group1: that receiving 1 – 5 numbers of medications. Group2: those receiving 6 – 10 number of medications.  Group3: those receiving &gt; 10 number of medications.</w:t>
      </w:r>
    </w:p>
    <w:p w:rsidR="009844E4" w:rsidRDefault="009844E4"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sz w:val="20"/>
          <w:szCs w:val="20"/>
          <w:lang w:val="en-US"/>
        </w:rPr>
        <w:t>It was found that Group 3 patients had the highest number of ADR 48.6 % (35/72 cases</w:t>
      </w:r>
      <w:r w:rsidR="00236991" w:rsidRPr="00FA3F12">
        <w:rPr>
          <w:rFonts w:asciiTheme="majorBidi" w:hAnsiTheme="majorBidi" w:cstheme="majorBidi"/>
          <w:sz w:val="20"/>
          <w:szCs w:val="20"/>
          <w:lang w:val="en-US"/>
        </w:rPr>
        <w:t>; prevalence of ADR 9.45%, OR 1.06 (0.4-1.5)</w:t>
      </w:r>
      <w:r w:rsidRPr="00FA3F12">
        <w:rPr>
          <w:rFonts w:asciiTheme="majorBidi" w:hAnsiTheme="majorBidi" w:cstheme="majorBidi"/>
          <w:sz w:val="20"/>
          <w:szCs w:val="20"/>
          <w:lang w:val="en-US"/>
        </w:rPr>
        <w:t>, followed by Group 2, with 26.3 % (19/72 cases</w:t>
      </w:r>
      <w:r w:rsidR="00246B62" w:rsidRPr="00FA3F12">
        <w:rPr>
          <w:rFonts w:asciiTheme="majorBidi" w:hAnsiTheme="majorBidi" w:cstheme="majorBidi"/>
          <w:sz w:val="20"/>
          <w:szCs w:val="20"/>
          <w:lang w:val="en-US"/>
        </w:rPr>
        <w:t>; prevalence of ADR 6.7 %, OR 0.73 (0.4-1.3</w:t>
      </w:r>
      <w:r w:rsidRPr="00FA3F12">
        <w:rPr>
          <w:rFonts w:asciiTheme="majorBidi" w:hAnsiTheme="majorBidi" w:cstheme="majorBidi"/>
          <w:sz w:val="20"/>
          <w:szCs w:val="20"/>
          <w:lang w:val="en-US"/>
        </w:rPr>
        <w:t xml:space="preserve">), and finally Group 1 </w:t>
      </w:r>
      <w:r w:rsidR="00236991" w:rsidRPr="00FA3F12">
        <w:rPr>
          <w:rFonts w:asciiTheme="majorBidi" w:hAnsiTheme="majorBidi" w:cstheme="majorBidi"/>
          <w:sz w:val="20"/>
          <w:szCs w:val="20"/>
          <w:lang w:val="en-US"/>
        </w:rPr>
        <w:t>with 25% (18/72 cases</w:t>
      </w:r>
      <w:r w:rsidR="00246B62" w:rsidRPr="00FA3F12">
        <w:rPr>
          <w:rFonts w:asciiTheme="majorBidi" w:hAnsiTheme="majorBidi" w:cstheme="majorBidi"/>
          <w:sz w:val="20"/>
          <w:szCs w:val="20"/>
          <w:lang w:val="en-US"/>
        </w:rPr>
        <w:t>; prevalence of ADR 9 %, OR 1.00 (</w:t>
      </w:r>
      <w:r w:rsidR="000E06CC" w:rsidRPr="00FA3F12">
        <w:rPr>
          <w:rFonts w:asciiTheme="majorBidi" w:hAnsiTheme="majorBidi" w:cstheme="majorBidi"/>
          <w:sz w:val="20"/>
          <w:szCs w:val="20"/>
          <w:lang w:val="en-US"/>
        </w:rPr>
        <w:t>reference</w:t>
      </w:r>
      <w:r w:rsidR="00236991" w:rsidRPr="00FA3F12">
        <w:rPr>
          <w:rFonts w:asciiTheme="majorBidi" w:hAnsiTheme="majorBidi" w:cstheme="majorBidi"/>
          <w:sz w:val="20"/>
          <w:szCs w:val="20"/>
          <w:lang w:val="en-US"/>
        </w:rPr>
        <w:t xml:space="preserve">). So it implies that </w:t>
      </w:r>
      <w:r w:rsidR="000E06CC" w:rsidRPr="00FA3F12">
        <w:rPr>
          <w:rFonts w:asciiTheme="majorBidi" w:hAnsiTheme="majorBidi" w:cstheme="majorBidi"/>
          <w:sz w:val="20"/>
          <w:szCs w:val="20"/>
          <w:lang w:val="en-US"/>
        </w:rPr>
        <w:t xml:space="preserve">patient receiving more than 5 medications are at higher </w:t>
      </w:r>
      <w:r w:rsidR="00236991" w:rsidRPr="00FA3F12">
        <w:rPr>
          <w:rFonts w:asciiTheme="majorBidi" w:hAnsiTheme="majorBidi" w:cstheme="majorBidi"/>
          <w:sz w:val="20"/>
          <w:szCs w:val="20"/>
          <w:lang w:val="en-US"/>
        </w:rPr>
        <w:t>risk of ADR.</w:t>
      </w:r>
    </w:p>
    <w:p w:rsidR="00236991" w:rsidRPr="004E5D89" w:rsidRDefault="00D05018" w:rsidP="00635FA7">
      <w:pPr>
        <w:spacing w:line="240" w:lineRule="auto"/>
        <w:jc w:val="both"/>
        <w:rPr>
          <w:rFonts w:asciiTheme="majorBidi" w:hAnsiTheme="majorBidi" w:cstheme="majorBidi"/>
          <w:b/>
          <w:bCs/>
          <w:lang w:val="en-US"/>
        </w:rPr>
      </w:pPr>
      <w:r w:rsidRPr="004E5D89">
        <w:rPr>
          <w:rFonts w:asciiTheme="majorBidi" w:hAnsiTheme="majorBidi" w:cstheme="majorBidi"/>
          <w:b/>
          <w:bCs/>
          <w:lang w:val="en-US"/>
        </w:rPr>
        <w:t>DISCUSSION</w:t>
      </w:r>
    </w:p>
    <w:p w:rsidR="00D05018" w:rsidRPr="004E5D89" w:rsidRDefault="00D05018" w:rsidP="00635FA7">
      <w:pPr>
        <w:spacing w:line="240" w:lineRule="auto"/>
        <w:jc w:val="both"/>
        <w:rPr>
          <w:rFonts w:asciiTheme="majorBidi" w:hAnsiTheme="majorBidi" w:cstheme="majorBidi"/>
          <w:sz w:val="20"/>
          <w:szCs w:val="20"/>
          <w:lang w:val="en-US"/>
        </w:rPr>
      </w:pPr>
      <w:r w:rsidRPr="00226A6F">
        <w:rPr>
          <w:rFonts w:asciiTheme="majorBidi" w:hAnsiTheme="majorBidi" w:cstheme="majorBidi"/>
          <w:color w:val="252525"/>
          <w:sz w:val="20"/>
          <w:szCs w:val="20"/>
          <w:shd w:val="clear" w:color="auto" w:fill="FFFFFF"/>
        </w:rPr>
        <w:t>An</w:t>
      </w:r>
      <w:r w:rsidRPr="00226A6F">
        <w:rPr>
          <w:rStyle w:val="apple-converted-space"/>
          <w:rFonts w:asciiTheme="majorBidi" w:hAnsiTheme="majorBidi" w:cstheme="majorBidi"/>
          <w:color w:val="252525"/>
          <w:sz w:val="20"/>
          <w:szCs w:val="20"/>
          <w:shd w:val="clear" w:color="auto" w:fill="FFFFFF"/>
        </w:rPr>
        <w:t> </w:t>
      </w:r>
      <w:r w:rsidRPr="00226A6F">
        <w:rPr>
          <w:rFonts w:asciiTheme="majorBidi" w:hAnsiTheme="majorBidi" w:cstheme="majorBidi"/>
          <w:b/>
          <w:bCs/>
          <w:color w:val="252525"/>
          <w:sz w:val="20"/>
          <w:szCs w:val="20"/>
          <w:shd w:val="clear" w:color="auto" w:fill="FFFFFF"/>
        </w:rPr>
        <w:t>adverse drug reaction</w:t>
      </w:r>
      <w:r w:rsidRPr="00226A6F">
        <w:rPr>
          <w:rStyle w:val="apple-converted-space"/>
          <w:rFonts w:asciiTheme="majorBidi" w:hAnsiTheme="majorBidi" w:cstheme="majorBidi"/>
          <w:color w:val="252525"/>
          <w:sz w:val="20"/>
          <w:szCs w:val="20"/>
          <w:shd w:val="clear" w:color="auto" w:fill="FFFFFF"/>
        </w:rPr>
        <w:t> </w:t>
      </w:r>
      <w:r w:rsidRPr="00226A6F">
        <w:rPr>
          <w:rFonts w:asciiTheme="majorBidi" w:hAnsiTheme="majorBidi" w:cstheme="majorBidi"/>
          <w:color w:val="252525"/>
          <w:sz w:val="20"/>
          <w:szCs w:val="20"/>
          <w:shd w:val="clear" w:color="auto" w:fill="FFFFFF"/>
        </w:rPr>
        <w:t>(</w:t>
      </w:r>
      <w:r w:rsidRPr="00226A6F">
        <w:rPr>
          <w:rFonts w:asciiTheme="majorBidi" w:hAnsiTheme="majorBidi" w:cstheme="majorBidi"/>
          <w:b/>
          <w:bCs/>
          <w:color w:val="252525"/>
          <w:sz w:val="20"/>
          <w:szCs w:val="20"/>
          <w:shd w:val="clear" w:color="auto" w:fill="FFFFFF"/>
        </w:rPr>
        <w:t>ADR</w:t>
      </w:r>
      <w:r w:rsidRPr="00226A6F">
        <w:rPr>
          <w:rFonts w:asciiTheme="majorBidi" w:hAnsiTheme="majorBidi" w:cstheme="majorBidi"/>
          <w:color w:val="252525"/>
          <w:sz w:val="20"/>
          <w:szCs w:val="20"/>
          <w:shd w:val="clear" w:color="auto" w:fill="FFFFFF"/>
        </w:rPr>
        <w:t xml:space="preserve">) is an undesirable </w:t>
      </w:r>
      <w:r w:rsidR="00226A6F" w:rsidRPr="00226A6F">
        <w:rPr>
          <w:rFonts w:asciiTheme="majorBidi" w:hAnsiTheme="majorBidi" w:cstheme="majorBidi"/>
          <w:color w:val="252525"/>
          <w:sz w:val="20"/>
          <w:szCs w:val="20"/>
          <w:shd w:val="clear" w:color="auto" w:fill="FFFFFF"/>
        </w:rPr>
        <w:t xml:space="preserve">effect of a medicinal drug. </w:t>
      </w:r>
      <w:r w:rsidRPr="00226A6F">
        <w:rPr>
          <w:rStyle w:val="apple-converted-space"/>
          <w:rFonts w:asciiTheme="majorBidi" w:hAnsiTheme="majorBidi" w:cstheme="majorBidi"/>
          <w:color w:val="252525"/>
          <w:sz w:val="20"/>
          <w:szCs w:val="20"/>
          <w:shd w:val="clear" w:color="auto" w:fill="FFFFFF"/>
        </w:rPr>
        <w:t> </w:t>
      </w:r>
      <w:r w:rsidRPr="00226A6F">
        <w:rPr>
          <w:rFonts w:asciiTheme="majorBidi" w:hAnsiTheme="majorBidi" w:cstheme="majorBidi"/>
          <w:color w:val="252525"/>
          <w:sz w:val="20"/>
          <w:szCs w:val="20"/>
          <w:shd w:val="clear" w:color="auto" w:fill="FFFFFF"/>
        </w:rPr>
        <w:t>ADRs may occur following a single dose or prolonged administration of a</w:t>
      </w:r>
      <w:r w:rsidRPr="00226A6F">
        <w:rPr>
          <w:rStyle w:val="apple-converted-space"/>
          <w:rFonts w:asciiTheme="majorBidi" w:hAnsiTheme="majorBidi" w:cstheme="majorBidi"/>
          <w:color w:val="252525"/>
          <w:sz w:val="20"/>
          <w:szCs w:val="20"/>
          <w:shd w:val="clear" w:color="auto" w:fill="FFFFFF"/>
        </w:rPr>
        <w:t> </w:t>
      </w:r>
      <w:hyperlink r:id="rId6" w:tooltip="Drug" w:history="1">
        <w:r w:rsidRPr="00F65CF1">
          <w:rPr>
            <w:rStyle w:val="Hyperlink"/>
            <w:rFonts w:asciiTheme="majorBidi" w:hAnsiTheme="majorBidi" w:cstheme="majorBidi"/>
            <w:color w:val="auto"/>
            <w:sz w:val="20"/>
            <w:szCs w:val="20"/>
            <w:u w:val="none"/>
            <w:shd w:val="clear" w:color="auto" w:fill="FFFFFF"/>
          </w:rPr>
          <w:t>drug</w:t>
        </w:r>
      </w:hyperlink>
      <w:r w:rsidRPr="00F65CF1">
        <w:rPr>
          <w:rStyle w:val="apple-converted-space"/>
          <w:rFonts w:asciiTheme="majorBidi" w:hAnsiTheme="majorBidi" w:cstheme="majorBidi"/>
          <w:sz w:val="20"/>
          <w:szCs w:val="20"/>
          <w:shd w:val="clear" w:color="auto" w:fill="FFFFFF"/>
        </w:rPr>
        <w:t> </w:t>
      </w:r>
      <w:r w:rsidRPr="00226A6F">
        <w:rPr>
          <w:rFonts w:asciiTheme="majorBidi" w:hAnsiTheme="majorBidi" w:cstheme="majorBidi"/>
          <w:color w:val="252525"/>
          <w:sz w:val="20"/>
          <w:szCs w:val="20"/>
          <w:shd w:val="clear" w:color="auto" w:fill="FFFFFF"/>
        </w:rPr>
        <w:t>or result from the combination of two or more drugs. An</w:t>
      </w:r>
      <w:r w:rsidRPr="00226A6F">
        <w:rPr>
          <w:rStyle w:val="apple-converted-space"/>
          <w:rFonts w:asciiTheme="majorBidi" w:hAnsiTheme="majorBidi" w:cstheme="majorBidi"/>
          <w:color w:val="252525"/>
          <w:sz w:val="20"/>
          <w:szCs w:val="20"/>
          <w:shd w:val="clear" w:color="auto" w:fill="FFFFFF"/>
        </w:rPr>
        <w:t> </w:t>
      </w:r>
      <w:r w:rsidRPr="00226A6F">
        <w:rPr>
          <w:rFonts w:asciiTheme="majorBidi" w:hAnsiTheme="majorBidi" w:cstheme="majorBidi"/>
          <w:b/>
          <w:bCs/>
          <w:color w:val="252525"/>
          <w:sz w:val="20"/>
          <w:szCs w:val="20"/>
          <w:shd w:val="clear" w:color="auto" w:fill="FFFFFF"/>
        </w:rPr>
        <w:t>adverse drug event</w:t>
      </w:r>
      <w:r w:rsidRPr="00226A6F">
        <w:rPr>
          <w:rStyle w:val="apple-converted-space"/>
          <w:rFonts w:asciiTheme="majorBidi" w:hAnsiTheme="majorBidi" w:cstheme="majorBidi"/>
          <w:color w:val="252525"/>
          <w:sz w:val="20"/>
          <w:szCs w:val="20"/>
          <w:shd w:val="clear" w:color="auto" w:fill="FFFFFF"/>
        </w:rPr>
        <w:t> </w:t>
      </w:r>
      <w:r w:rsidRPr="00226A6F">
        <w:rPr>
          <w:rFonts w:asciiTheme="majorBidi" w:hAnsiTheme="majorBidi" w:cstheme="majorBidi"/>
          <w:color w:val="252525"/>
          <w:sz w:val="20"/>
          <w:szCs w:val="20"/>
          <w:shd w:val="clear" w:color="auto" w:fill="FFFFFF"/>
        </w:rPr>
        <w:t>(</w:t>
      </w:r>
      <w:r w:rsidRPr="00226A6F">
        <w:rPr>
          <w:rFonts w:asciiTheme="majorBidi" w:hAnsiTheme="majorBidi" w:cstheme="majorBidi"/>
          <w:b/>
          <w:bCs/>
          <w:color w:val="252525"/>
          <w:sz w:val="20"/>
          <w:szCs w:val="20"/>
          <w:shd w:val="clear" w:color="auto" w:fill="FFFFFF"/>
        </w:rPr>
        <w:t>ADE</w:t>
      </w:r>
      <w:r w:rsidRPr="00226A6F">
        <w:rPr>
          <w:rFonts w:asciiTheme="majorBidi" w:hAnsiTheme="majorBidi" w:cstheme="majorBidi"/>
          <w:color w:val="252525"/>
          <w:sz w:val="20"/>
          <w:szCs w:val="20"/>
          <w:shd w:val="clear" w:color="auto" w:fill="FFFFFF"/>
        </w:rPr>
        <w:t>) refers to any injury occurring at the time a drug is used, whether or not it is identified as a cause of the injury.</w:t>
      </w:r>
      <w:r w:rsidR="00226A6F">
        <w:rPr>
          <w:rFonts w:asciiTheme="majorBidi" w:hAnsiTheme="majorBidi" w:cstheme="majorBidi"/>
          <w:color w:val="252525"/>
          <w:sz w:val="20"/>
          <w:szCs w:val="20"/>
          <w:shd w:val="clear" w:color="auto" w:fill="FFFFFF"/>
        </w:rPr>
        <w:t xml:space="preserve"> </w:t>
      </w:r>
      <w:r w:rsidRPr="00226A6F">
        <w:rPr>
          <w:rStyle w:val="apple-converted-space"/>
          <w:rFonts w:asciiTheme="majorBidi" w:hAnsiTheme="majorBidi" w:cstheme="majorBidi"/>
          <w:color w:val="252525"/>
          <w:sz w:val="20"/>
          <w:szCs w:val="20"/>
          <w:shd w:val="clear" w:color="auto" w:fill="FFFFFF"/>
        </w:rPr>
        <w:t> </w:t>
      </w:r>
      <w:r w:rsidRPr="00226A6F">
        <w:rPr>
          <w:rFonts w:asciiTheme="majorBidi" w:hAnsiTheme="majorBidi" w:cstheme="majorBidi"/>
          <w:color w:val="252525"/>
          <w:sz w:val="20"/>
          <w:szCs w:val="20"/>
          <w:shd w:val="clear" w:color="auto" w:fill="FFFFFF"/>
        </w:rPr>
        <w:t xml:space="preserve">An ADR is a special type of ADE in which a causative relationship can be </w:t>
      </w:r>
      <w:r w:rsidRPr="004E5D89">
        <w:rPr>
          <w:rFonts w:asciiTheme="majorBidi" w:hAnsiTheme="majorBidi" w:cstheme="majorBidi"/>
          <w:color w:val="252525"/>
          <w:sz w:val="20"/>
          <w:szCs w:val="20"/>
          <w:shd w:val="clear" w:color="auto" w:fill="FFFFFF"/>
        </w:rPr>
        <w:t>shown.</w:t>
      </w:r>
    </w:p>
    <w:p w:rsidR="009844E4" w:rsidRDefault="004E5D89" w:rsidP="00635FA7">
      <w:pPr>
        <w:spacing w:line="240" w:lineRule="auto"/>
        <w:jc w:val="both"/>
        <w:rPr>
          <w:rFonts w:asciiTheme="majorBidi" w:hAnsiTheme="majorBidi" w:cstheme="majorBidi"/>
          <w:sz w:val="20"/>
          <w:szCs w:val="20"/>
          <w:lang w:val="en-US"/>
        </w:rPr>
      </w:pPr>
      <w:r w:rsidRPr="004E5D89">
        <w:rPr>
          <w:rFonts w:asciiTheme="majorBidi" w:hAnsiTheme="majorBidi" w:cstheme="majorBidi"/>
          <w:sz w:val="20"/>
          <w:szCs w:val="20"/>
          <w:lang w:val="en-US"/>
        </w:rPr>
        <w:t>This was a prospective observational study, conducted in the Department of Nephrology, Guwahati medical College Hospital</w:t>
      </w:r>
      <w:r>
        <w:rPr>
          <w:rFonts w:asciiTheme="majorBidi" w:hAnsiTheme="majorBidi" w:cstheme="majorBidi"/>
          <w:sz w:val="20"/>
          <w:szCs w:val="20"/>
          <w:lang w:val="en-US"/>
        </w:rPr>
        <w:t xml:space="preserve">, to evaluate the incidence of ADR in OPD as well as Indoor patient. Total 850 </w:t>
      </w:r>
      <w:r w:rsidR="005D2A88">
        <w:rPr>
          <w:rFonts w:asciiTheme="majorBidi" w:hAnsiTheme="majorBidi" w:cstheme="majorBidi"/>
          <w:sz w:val="20"/>
          <w:szCs w:val="20"/>
          <w:lang w:val="en-US"/>
        </w:rPr>
        <w:t>patients</w:t>
      </w:r>
      <w:r>
        <w:rPr>
          <w:rFonts w:asciiTheme="majorBidi" w:hAnsiTheme="majorBidi" w:cstheme="majorBidi"/>
          <w:sz w:val="20"/>
          <w:szCs w:val="20"/>
          <w:lang w:val="en-US"/>
        </w:rPr>
        <w:t xml:space="preserve"> </w:t>
      </w:r>
      <w:r w:rsidR="00BE2DC3">
        <w:rPr>
          <w:rFonts w:asciiTheme="majorBidi" w:hAnsiTheme="majorBidi" w:cstheme="majorBidi"/>
          <w:sz w:val="20"/>
          <w:szCs w:val="20"/>
          <w:lang w:val="en-US"/>
        </w:rPr>
        <w:t>were included in this study.</w:t>
      </w:r>
      <w:r w:rsidR="005D2A88">
        <w:rPr>
          <w:rFonts w:asciiTheme="majorBidi" w:hAnsiTheme="majorBidi" w:cstheme="majorBidi"/>
          <w:sz w:val="20"/>
          <w:szCs w:val="20"/>
          <w:lang w:val="en-US"/>
        </w:rPr>
        <w:t xml:space="preserve"> Out of these, 72 (8.47 %) patients were found to have one or more ADR. Total </w:t>
      </w:r>
      <w:r w:rsidR="00036E68">
        <w:rPr>
          <w:rFonts w:asciiTheme="majorBidi" w:hAnsiTheme="majorBidi" w:cstheme="majorBidi"/>
          <w:sz w:val="20"/>
          <w:szCs w:val="20"/>
          <w:lang w:val="en-US"/>
        </w:rPr>
        <w:t>numbers of ADR were</w:t>
      </w:r>
      <w:r w:rsidR="005D2A88">
        <w:rPr>
          <w:rFonts w:asciiTheme="majorBidi" w:hAnsiTheme="majorBidi" w:cstheme="majorBidi"/>
          <w:sz w:val="20"/>
          <w:szCs w:val="20"/>
          <w:lang w:val="en-US"/>
        </w:rPr>
        <w:t xml:space="preserve"> </w:t>
      </w:r>
      <w:r w:rsidR="00036E68">
        <w:rPr>
          <w:rFonts w:asciiTheme="majorBidi" w:hAnsiTheme="majorBidi" w:cstheme="majorBidi"/>
          <w:sz w:val="20"/>
          <w:szCs w:val="20"/>
          <w:lang w:val="en-US"/>
        </w:rPr>
        <w:t xml:space="preserve">89. </w:t>
      </w:r>
      <w:r w:rsidR="00E02DB8">
        <w:rPr>
          <w:rFonts w:asciiTheme="majorBidi" w:hAnsiTheme="majorBidi" w:cstheme="majorBidi"/>
          <w:sz w:val="20"/>
          <w:szCs w:val="20"/>
          <w:lang w:val="en-US"/>
        </w:rPr>
        <w:t xml:space="preserve">This is significantly lower than data reported from other countries, which ranges from 10% to 18% of cases. </w:t>
      </w:r>
    </w:p>
    <w:p w:rsidR="00036E68" w:rsidRDefault="00036E68"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sz w:val="20"/>
          <w:szCs w:val="20"/>
          <w:lang w:val="en-US"/>
        </w:rPr>
        <w:t>Out of these Male were 40 and female were 32 in number.</w:t>
      </w:r>
      <w:r>
        <w:rPr>
          <w:rFonts w:asciiTheme="majorBidi" w:hAnsiTheme="majorBidi" w:cstheme="majorBidi"/>
          <w:sz w:val="20"/>
          <w:szCs w:val="20"/>
          <w:lang w:val="en-US"/>
        </w:rPr>
        <w:t xml:space="preserve"> </w:t>
      </w:r>
      <w:r w:rsidRPr="00D05018">
        <w:rPr>
          <w:rFonts w:asciiTheme="majorBidi" w:hAnsiTheme="majorBidi" w:cstheme="majorBidi"/>
          <w:sz w:val="20"/>
          <w:szCs w:val="20"/>
          <w:lang w:val="en-US"/>
        </w:rPr>
        <w:t>In the t-test, it is found to be significant (p&lt;0.042). Females were found to be more prone for ADR</w:t>
      </w:r>
      <w:r>
        <w:rPr>
          <w:rFonts w:asciiTheme="majorBidi" w:hAnsiTheme="majorBidi" w:cstheme="majorBidi"/>
          <w:sz w:val="20"/>
          <w:szCs w:val="20"/>
          <w:lang w:val="en-US"/>
        </w:rPr>
        <w:t xml:space="preserve"> than male. Some other studies also have reported about higher ADR in female sex. This may be due hormonal influence or altered tissue sensitivity of female sex. Further studies are required with adequate number and strength in this regard.</w:t>
      </w:r>
    </w:p>
    <w:p w:rsidR="00036E68" w:rsidRDefault="00036E68"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sz w:val="20"/>
          <w:szCs w:val="20"/>
          <w:lang w:val="en-US"/>
        </w:rPr>
        <w:t>Commonest age group</w:t>
      </w:r>
      <w:r>
        <w:rPr>
          <w:rFonts w:asciiTheme="majorBidi" w:hAnsiTheme="majorBidi" w:cstheme="majorBidi"/>
          <w:sz w:val="20"/>
          <w:szCs w:val="20"/>
          <w:lang w:val="en-US"/>
        </w:rPr>
        <w:t xml:space="preserve"> of patient with ADR </w:t>
      </w:r>
      <w:r w:rsidRPr="00FA3F12">
        <w:rPr>
          <w:rFonts w:asciiTheme="majorBidi" w:hAnsiTheme="majorBidi" w:cstheme="majorBidi"/>
          <w:sz w:val="20"/>
          <w:szCs w:val="20"/>
          <w:lang w:val="en-US"/>
        </w:rPr>
        <w:t xml:space="preserve">was 18- 60 years of age. </w:t>
      </w:r>
      <w:r>
        <w:rPr>
          <w:rFonts w:asciiTheme="majorBidi" w:hAnsiTheme="majorBidi" w:cstheme="majorBidi"/>
          <w:sz w:val="20"/>
          <w:szCs w:val="20"/>
          <w:lang w:val="en-US"/>
        </w:rPr>
        <w:t xml:space="preserve">Lot of other studies also has confirmed this. This is thought to be due to altered drug pharmacokinetics, less body area of distribution, </w:t>
      </w:r>
      <w:r w:rsidR="00897FDB">
        <w:rPr>
          <w:rFonts w:asciiTheme="majorBidi" w:hAnsiTheme="majorBidi" w:cstheme="majorBidi"/>
          <w:sz w:val="20"/>
          <w:szCs w:val="20"/>
          <w:lang w:val="en-US"/>
        </w:rPr>
        <w:t>less body fluid and with multiple co-morbidities.</w:t>
      </w:r>
    </w:p>
    <w:p w:rsidR="005B5D9A" w:rsidRDefault="00036E68"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sz w:val="20"/>
          <w:szCs w:val="20"/>
          <w:lang w:val="en-US"/>
        </w:rPr>
        <w:lastRenderedPageBreak/>
        <w:t xml:space="preserve">Moon face </w:t>
      </w:r>
      <w:r w:rsidR="005B5D9A">
        <w:rPr>
          <w:rFonts w:asciiTheme="majorBidi" w:hAnsiTheme="majorBidi" w:cstheme="majorBidi"/>
          <w:sz w:val="20"/>
          <w:szCs w:val="20"/>
          <w:lang w:val="en-US"/>
        </w:rPr>
        <w:t xml:space="preserve">was the commonest ADR </w:t>
      </w:r>
      <w:r w:rsidRPr="00FA3F12">
        <w:rPr>
          <w:rFonts w:asciiTheme="majorBidi" w:hAnsiTheme="majorBidi" w:cstheme="majorBidi"/>
          <w:sz w:val="20"/>
          <w:szCs w:val="20"/>
          <w:lang w:val="en-US"/>
        </w:rPr>
        <w:t>(18.6%)</w:t>
      </w:r>
      <w:r w:rsidR="005B5D9A">
        <w:rPr>
          <w:rFonts w:asciiTheme="majorBidi" w:hAnsiTheme="majorBidi" w:cstheme="majorBidi"/>
          <w:sz w:val="20"/>
          <w:szCs w:val="20"/>
          <w:lang w:val="en-US"/>
        </w:rPr>
        <w:t xml:space="preserve"> in this study. As expected, Prednisonole is one of the most commonly used medications in Nephrology departments. Prednisonole (Steroid) has been the corner stone for most of the nephrological diseases and widely used for various Glomerulo-nephritis, Interstial Nephirtis and post renal transplant patients for a long duration. As Moon face is one of the commonest ADR of steroid, inspite of careful monitoring and stepwise reduction of steroid dose to bare minimum, moon face has turned out to be most common ADR, which is unpreventable. </w:t>
      </w:r>
    </w:p>
    <w:p w:rsidR="008A2473" w:rsidRDefault="005B5D9A"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Second </w:t>
      </w:r>
      <w:r w:rsidR="008A2473">
        <w:rPr>
          <w:rFonts w:asciiTheme="majorBidi" w:hAnsiTheme="majorBidi" w:cstheme="majorBidi"/>
          <w:sz w:val="20"/>
          <w:szCs w:val="20"/>
          <w:lang w:val="en-US"/>
        </w:rPr>
        <w:t xml:space="preserve">ADR in this study is found to be </w:t>
      </w:r>
      <w:r w:rsidR="00036E68" w:rsidRPr="00FA3F12">
        <w:rPr>
          <w:rFonts w:asciiTheme="majorBidi" w:hAnsiTheme="majorBidi" w:cstheme="majorBidi"/>
          <w:sz w:val="20"/>
          <w:szCs w:val="20"/>
          <w:lang w:val="en-US"/>
        </w:rPr>
        <w:t xml:space="preserve">Allergic reactions (10.4%). </w:t>
      </w:r>
      <w:r w:rsidR="008A2473">
        <w:rPr>
          <w:rFonts w:asciiTheme="majorBidi" w:hAnsiTheme="majorBidi" w:cstheme="majorBidi"/>
          <w:sz w:val="20"/>
          <w:szCs w:val="20"/>
          <w:lang w:val="en-US"/>
        </w:rPr>
        <w:t xml:space="preserve">The patients with Nephotic syndrome, or Glomerulonephritis, or renal failure or post renal transplant are in a hypo-immunity state, so they develop lot of infections. To prevent or treat these infections lot of antibiotics, antifungal or antiviral medications are often prescribed. These may be implicated for the high incidence of allergic reaction </w:t>
      </w:r>
      <w:r w:rsidR="00511924">
        <w:rPr>
          <w:rFonts w:asciiTheme="majorBidi" w:hAnsiTheme="majorBidi" w:cstheme="majorBidi"/>
          <w:sz w:val="20"/>
          <w:szCs w:val="20"/>
          <w:lang w:val="en-US"/>
        </w:rPr>
        <w:t>encountered in</w:t>
      </w:r>
      <w:r w:rsidR="008A2473">
        <w:rPr>
          <w:rFonts w:asciiTheme="majorBidi" w:hAnsiTheme="majorBidi" w:cstheme="majorBidi"/>
          <w:sz w:val="20"/>
          <w:szCs w:val="20"/>
          <w:lang w:val="en-US"/>
        </w:rPr>
        <w:t xml:space="preserve"> this study, </w:t>
      </w:r>
    </w:p>
    <w:p w:rsidR="00511924" w:rsidRDefault="00036E68"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sz w:val="20"/>
          <w:szCs w:val="20"/>
          <w:lang w:val="en-US"/>
        </w:rPr>
        <w:t xml:space="preserve">Regarding severity, </w:t>
      </w:r>
      <w:r w:rsidR="00511924">
        <w:rPr>
          <w:rFonts w:asciiTheme="majorBidi" w:hAnsiTheme="majorBidi" w:cstheme="majorBidi"/>
          <w:sz w:val="20"/>
          <w:szCs w:val="20"/>
          <w:lang w:val="en-US"/>
        </w:rPr>
        <w:t xml:space="preserve">in this study, </w:t>
      </w:r>
      <w:r w:rsidRPr="00FA3F12">
        <w:rPr>
          <w:rFonts w:asciiTheme="majorBidi" w:hAnsiTheme="majorBidi" w:cstheme="majorBidi"/>
          <w:sz w:val="20"/>
          <w:szCs w:val="20"/>
          <w:lang w:val="en-US"/>
        </w:rPr>
        <w:t>most of the patients had mild ADR (</w:t>
      </w:r>
      <w:r w:rsidR="00820413" w:rsidRPr="00D05018">
        <w:rPr>
          <w:rFonts w:asciiTheme="majorBidi" w:hAnsiTheme="majorBidi" w:cstheme="majorBidi"/>
          <w:sz w:val="20"/>
          <w:szCs w:val="20"/>
          <w:lang w:val="en-US"/>
        </w:rPr>
        <w:t>44/72, 51.1 %)</w:t>
      </w:r>
      <w:r w:rsidR="00BC58D0" w:rsidRPr="00D05018">
        <w:rPr>
          <w:rFonts w:asciiTheme="majorBidi" w:hAnsiTheme="majorBidi" w:cstheme="majorBidi"/>
          <w:sz w:val="20"/>
          <w:szCs w:val="20"/>
          <w:lang w:val="en-US"/>
        </w:rPr>
        <w:t xml:space="preserve">, </w:t>
      </w:r>
      <w:r w:rsidR="00BC58D0">
        <w:rPr>
          <w:rFonts w:asciiTheme="majorBidi" w:hAnsiTheme="majorBidi" w:cstheme="majorBidi"/>
          <w:sz w:val="20"/>
          <w:szCs w:val="20"/>
          <w:lang w:val="en-US"/>
        </w:rPr>
        <w:t>which</w:t>
      </w:r>
      <w:r w:rsidR="00511924">
        <w:rPr>
          <w:rFonts w:asciiTheme="majorBidi" w:hAnsiTheme="majorBidi" w:cstheme="majorBidi"/>
          <w:sz w:val="20"/>
          <w:szCs w:val="20"/>
          <w:lang w:val="en-US"/>
        </w:rPr>
        <w:t xml:space="preserve"> did not require hospitalization. These ADR responded quickly with </w:t>
      </w:r>
      <w:r w:rsidR="00820413">
        <w:rPr>
          <w:rFonts w:asciiTheme="majorBidi" w:hAnsiTheme="majorBidi" w:cstheme="majorBidi"/>
          <w:sz w:val="20"/>
          <w:szCs w:val="20"/>
          <w:lang w:val="en-US"/>
        </w:rPr>
        <w:t xml:space="preserve">either </w:t>
      </w:r>
      <w:r w:rsidR="00511924">
        <w:rPr>
          <w:rFonts w:asciiTheme="majorBidi" w:hAnsiTheme="majorBidi" w:cstheme="majorBidi"/>
          <w:sz w:val="20"/>
          <w:szCs w:val="20"/>
          <w:lang w:val="en-US"/>
        </w:rPr>
        <w:t>stoppage or modification of the offending drugs.</w:t>
      </w:r>
    </w:p>
    <w:p w:rsidR="00BC58D0" w:rsidRPr="0021340E" w:rsidRDefault="00BC58D0" w:rsidP="00635FA7">
      <w:pPr>
        <w:spacing w:line="240" w:lineRule="auto"/>
        <w:rPr>
          <w:rFonts w:asciiTheme="majorBidi" w:hAnsiTheme="majorBidi" w:cstheme="majorBidi"/>
          <w:sz w:val="20"/>
          <w:szCs w:val="20"/>
          <w:lang w:val="en-US"/>
        </w:rPr>
      </w:pPr>
      <w:r>
        <w:rPr>
          <w:rFonts w:asciiTheme="majorBidi" w:hAnsiTheme="majorBidi" w:cstheme="majorBidi"/>
          <w:sz w:val="20"/>
          <w:szCs w:val="20"/>
          <w:lang w:val="en-US"/>
        </w:rPr>
        <w:t>In this study, it was found that most of the ADR occurred in the Latent group (58.1%, 53/89), followed by Sub-acute group (33.7%, 30/89), and finally the acute group with 6.7% (6/89).</w:t>
      </w:r>
    </w:p>
    <w:p w:rsidR="00036E68" w:rsidRDefault="000D7B7E"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In this study, o</w:t>
      </w:r>
      <w:r w:rsidRPr="00D05018">
        <w:rPr>
          <w:rFonts w:asciiTheme="majorBidi" w:hAnsiTheme="majorBidi" w:cstheme="majorBidi"/>
          <w:sz w:val="20"/>
          <w:szCs w:val="20"/>
          <w:lang w:val="en-US"/>
        </w:rPr>
        <w:t>ut of these 89 episode of ADR, only 11 (12.3 %) were preventable and remaining 87.6 % (78/89) were non-preventable. These large numbers were non-preventable because susceptibility of these ADR is still not defined and they require further study</w:t>
      </w:r>
      <w:r w:rsidR="00511924">
        <w:rPr>
          <w:rFonts w:asciiTheme="majorBidi" w:hAnsiTheme="majorBidi" w:cstheme="majorBidi"/>
          <w:sz w:val="20"/>
          <w:szCs w:val="20"/>
          <w:lang w:val="en-US"/>
        </w:rPr>
        <w:t xml:space="preserve">. </w:t>
      </w:r>
    </w:p>
    <w:p w:rsidR="00243C03" w:rsidRDefault="0090086E"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Ii is also found that m</w:t>
      </w:r>
      <w:r w:rsidR="00243C03" w:rsidRPr="00D05018">
        <w:rPr>
          <w:rFonts w:asciiTheme="majorBidi" w:hAnsiTheme="majorBidi" w:cstheme="majorBidi"/>
          <w:sz w:val="20"/>
          <w:szCs w:val="20"/>
          <w:lang w:val="en-US"/>
        </w:rPr>
        <w:t>ajority of ADR were highly probable (47/72, 65%)</w:t>
      </w:r>
      <w:r>
        <w:rPr>
          <w:rFonts w:asciiTheme="majorBidi" w:hAnsiTheme="majorBidi" w:cstheme="majorBidi"/>
          <w:sz w:val="20"/>
          <w:szCs w:val="20"/>
          <w:lang w:val="en-US"/>
        </w:rPr>
        <w:t xml:space="preserve"> of a single or more than two medications, which are known to cause these type of ADR. But considering their proven efficacy or recommended status, these drugs had to be used.</w:t>
      </w:r>
    </w:p>
    <w:p w:rsidR="00920139" w:rsidRDefault="00920139"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Finally, poly-pharmacy, or use of more than five drugs in a patient was found to be significantly associated with higher incidence of ADR.</w:t>
      </w:r>
    </w:p>
    <w:p w:rsidR="00920139" w:rsidRPr="00920139" w:rsidRDefault="00920139" w:rsidP="00635FA7">
      <w:pPr>
        <w:spacing w:line="240" w:lineRule="auto"/>
        <w:jc w:val="both"/>
        <w:rPr>
          <w:rFonts w:asciiTheme="majorBidi" w:hAnsiTheme="majorBidi" w:cstheme="majorBidi"/>
          <w:b/>
          <w:bCs/>
          <w:lang w:val="en-US"/>
        </w:rPr>
      </w:pPr>
      <w:r>
        <w:rPr>
          <w:rFonts w:asciiTheme="majorBidi" w:hAnsiTheme="majorBidi" w:cstheme="majorBidi"/>
          <w:b/>
          <w:bCs/>
          <w:lang w:val="en-US"/>
        </w:rPr>
        <w:t>CONCLUSION:</w:t>
      </w:r>
    </w:p>
    <w:p w:rsidR="00500934" w:rsidRDefault="004A7EF3" w:rsidP="00635FA7">
      <w:pPr>
        <w:spacing w:line="240" w:lineRule="auto"/>
        <w:jc w:val="both"/>
        <w:rPr>
          <w:rFonts w:asciiTheme="majorBidi" w:hAnsiTheme="majorBidi" w:cstheme="majorBidi"/>
          <w:sz w:val="20"/>
          <w:szCs w:val="20"/>
          <w:lang w:val="en-US"/>
        </w:rPr>
      </w:pPr>
      <w:r w:rsidRPr="00FA3F12">
        <w:rPr>
          <w:rFonts w:asciiTheme="majorBidi" w:hAnsiTheme="majorBidi" w:cstheme="majorBidi"/>
          <w:sz w:val="20"/>
          <w:szCs w:val="20"/>
          <w:lang w:val="en-US"/>
        </w:rPr>
        <w:t>Even after careful monitoring</w:t>
      </w:r>
      <w:r>
        <w:rPr>
          <w:rFonts w:asciiTheme="majorBidi" w:hAnsiTheme="majorBidi" w:cstheme="majorBidi"/>
          <w:sz w:val="20"/>
          <w:szCs w:val="20"/>
          <w:lang w:val="en-US"/>
        </w:rPr>
        <w:t xml:space="preserve"> and timely follow up patients,</w:t>
      </w:r>
      <w:r w:rsidRPr="00FA3F12">
        <w:rPr>
          <w:rFonts w:asciiTheme="majorBidi" w:hAnsiTheme="majorBidi" w:cstheme="majorBidi"/>
          <w:sz w:val="20"/>
          <w:szCs w:val="20"/>
          <w:lang w:val="en-US"/>
        </w:rPr>
        <w:t xml:space="preserve"> ADR is not uncommon in renal patient</w:t>
      </w:r>
      <w:r>
        <w:rPr>
          <w:rFonts w:asciiTheme="majorBidi" w:hAnsiTheme="majorBidi" w:cstheme="majorBidi"/>
          <w:sz w:val="20"/>
          <w:szCs w:val="20"/>
          <w:lang w:val="en-US"/>
        </w:rPr>
        <w:t xml:space="preserve">. </w:t>
      </w:r>
      <w:r w:rsidRPr="00FA3F12">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Inspite of </w:t>
      </w:r>
      <w:r w:rsidR="00335BF7">
        <w:rPr>
          <w:rFonts w:asciiTheme="majorBidi" w:hAnsiTheme="majorBidi" w:cstheme="majorBidi"/>
          <w:sz w:val="20"/>
          <w:szCs w:val="20"/>
          <w:lang w:val="en-US"/>
        </w:rPr>
        <w:t xml:space="preserve">the known ADR of most of the nephrological drugs, and </w:t>
      </w:r>
      <w:r>
        <w:rPr>
          <w:rFonts w:asciiTheme="majorBidi" w:hAnsiTheme="majorBidi" w:cstheme="majorBidi"/>
          <w:sz w:val="20"/>
          <w:szCs w:val="20"/>
          <w:lang w:val="en-US"/>
        </w:rPr>
        <w:t>considering their proven efficacy or recommended sta</w:t>
      </w:r>
      <w:r w:rsidR="00335BF7">
        <w:rPr>
          <w:rFonts w:asciiTheme="majorBidi" w:hAnsiTheme="majorBidi" w:cstheme="majorBidi"/>
          <w:sz w:val="20"/>
          <w:szCs w:val="20"/>
          <w:lang w:val="en-US"/>
        </w:rPr>
        <w:t xml:space="preserve">tus, these drugs had to be used, frequently and some time considerable duration of time. This may be the reason </w:t>
      </w:r>
      <w:r w:rsidRPr="00FA3F12">
        <w:rPr>
          <w:rFonts w:asciiTheme="majorBidi" w:hAnsiTheme="majorBidi" w:cstheme="majorBidi"/>
          <w:sz w:val="20"/>
          <w:szCs w:val="20"/>
          <w:lang w:val="en-US"/>
        </w:rPr>
        <w:t xml:space="preserve">most of </w:t>
      </w:r>
      <w:r w:rsidR="00335BF7">
        <w:rPr>
          <w:rFonts w:asciiTheme="majorBidi" w:hAnsiTheme="majorBidi" w:cstheme="majorBidi"/>
          <w:sz w:val="20"/>
          <w:szCs w:val="20"/>
          <w:lang w:val="en-US"/>
        </w:rPr>
        <w:t xml:space="preserve">ADR recorded in this study </w:t>
      </w:r>
      <w:r w:rsidRPr="00FA3F12">
        <w:rPr>
          <w:rFonts w:asciiTheme="majorBidi" w:hAnsiTheme="majorBidi" w:cstheme="majorBidi"/>
          <w:sz w:val="20"/>
          <w:szCs w:val="20"/>
          <w:lang w:val="en-US"/>
        </w:rPr>
        <w:t>are not preventable.</w:t>
      </w:r>
      <w:r w:rsidR="00335BF7">
        <w:rPr>
          <w:rFonts w:asciiTheme="majorBidi" w:hAnsiTheme="majorBidi" w:cstheme="majorBidi"/>
          <w:sz w:val="20"/>
          <w:szCs w:val="20"/>
          <w:lang w:val="en-US"/>
        </w:rPr>
        <w:t xml:space="preserve"> But clinician should always remain alert and vigilant for these ADR in a renal patient.</w:t>
      </w:r>
    </w:p>
    <w:p w:rsidR="00F02783" w:rsidRDefault="00F02783" w:rsidP="00635FA7">
      <w:pPr>
        <w:spacing w:line="240" w:lineRule="auto"/>
        <w:jc w:val="both"/>
        <w:rPr>
          <w:rFonts w:asciiTheme="majorBidi" w:hAnsiTheme="majorBidi" w:cstheme="majorBidi"/>
          <w:b/>
          <w:bCs/>
          <w:lang w:val="en-US"/>
        </w:rPr>
      </w:pPr>
      <w:r>
        <w:rPr>
          <w:rFonts w:asciiTheme="majorBidi" w:hAnsiTheme="majorBidi" w:cstheme="majorBidi"/>
          <w:b/>
          <w:bCs/>
          <w:lang w:val="en-US"/>
        </w:rPr>
        <w:t>ACKNOWLEDGEMENT</w:t>
      </w:r>
    </w:p>
    <w:p w:rsidR="00F11098" w:rsidRDefault="001D794D"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I express my gratitude to </w:t>
      </w:r>
      <w:r w:rsidR="00F11098">
        <w:rPr>
          <w:rFonts w:asciiTheme="majorBidi" w:hAnsiTheme="majorBidi" w:cstheme="majorBidi"/>
          <w:sz w:val="20"/>
          <w:szCs w:val="20"/>
          <w:lang w:val="en-US"/>
        </w:rPr>
        <w:t xml:space="preserve">my </w:t>
      </w:r>
      <w:r w:rsidR="009D5080">
        <w:rPr>
          <w:rFonts w:asciiTheme="majorBidi" w:hAnsiTheme="majorBidi" w:cstheme="majorBidi"/>
          <w:sz w:val="20"/>
          <w:szCs w:val="20"/>
          <w:lang w:val="en-US"/>
        </w:rPr>
        <w:t>former</w:t>
      </w:r>
      <w:r w:rsidR="00F11098">
        <w:rPr>
          <w:rFonts w:asciiTheme="majorBidi" w:hAnsiTheme="majorBidi" w:cstheme="majorBidi"/>
          <w:sz w:val="20"/>
          <w:szCs w:val="20"/>
          <w:lang w:val="en-US"/>
        </w:rPr>
        <w:t xml:space="preserve"> Head of the department of Nephrology Dr Anup Kr Barman, for encouragement for the study. Moreover I like to thank Mr Rama Krishna Prudhivi for helping me collecting the data.</w:t>
      </w:r>
    </w:p>
    <w:p w:rsidR="00605F9D" w:rsidRPr="009F0C82" w:rsidRDefault="00605F9D" w:rsidP="00635FA7">
      <w:pPr>
        <w:spacing w:line="240" w:lineRule="auto"/>
        <w:jc w:val="both"/>
        <w:rPr>
          <w:rFonts w:asciiTheme="majorBidi" w:hAnsiTheme="majorBidi" w:cstheme="majorBidi"/>
          <w:sz w:val="20"/>
          <w:szCs w:val="20"/>
          <w:lang w:val="en-US"/>
        </w:rPr>
      </w:pPr>
      <w:r w:rsidRPr="009F0C82">
        <w:rPr>
          <w:rFonts w:asciiTheme="majorBidi" w:hAnsiTheme="majorBidi" w:cstheme="majorBidi"/>
          <w:sz w:val="20"/>
          <w:szCs w:val="20"/>
          <w:lang w:val="en-US"/>
        </w:rPr>
        <w:t>CONFLICT OF INTEREST: NONE</w:t>
      </w:r>
    </w:p>
    <w:p w:rsidR="00605F9D" w:rsidRPr="009F0C82" w:rsidRDefault="00605F9D" w:rsidP="00635FA7">
      <w:pPr>
        <w:spacing w:line="240" w:lineRule="auto"/>
        <w:jc w:val="both"/>
        <w:rPr>
          <w:rFonts w:asciiTheme="majorBidi" w:hAnsiTheme="majorBidi" w:cstheme="majorBidi"/>
          <w:sz w:val="20"/>
          <w:szCs w:val="20"/>
          <w:lang w:val="en-US"/>
        </w:rPr>
      </w:pPr>
      <w:r w:rsidRPr="009F0C82">
        <w:rPr>
          <w:rFonts w:asciiTheme="majorBidi" w:hAnsiTheme="majorBidi" w:cstheme="majorBidi"/>
          <w:sz w:val="20"/>
          <w:szCs w:val="20"/>
          <w:lang w:val="en-US"/>
        </w:rPr>
        <w:t>ETHICAL CLEARENCE: NOT TAKEN</w:t>
      </w:r>
    </w:p>
    <w:p w:rsidR="00605F9D" w:rsidRDefault="00605F9D" w:rsidP="00635FA7">
      <w:pPr>
        <w:spacing w:line="240" w:lineRule="auto"/>
        <w:jc w:val="both"/>
        <w:rPr>
          <w:rFonts w:asciiTheme="majorBidi" w:hAnsiTheme="majorBidi" w:cstheme="majorBidi"/>
          <w:sz w:val="20"/>
          <w:szCs w:val="20"/>
          <w:lang w:val="en-US"/>
        </w:rPr>
      </w:pPr>
      <w:r w:rsidRPr="009F0C82">
        <w:rPr>
          <w:rFonts w:asciiTheme="majorBidi" w:hAnsiTheme="majorBidi" w:cstheme="majorBidi"/>
          <w:sz w:val="20"/>
          <w:szCs w:val="20"/>
          <w:lang w:val="en-US"/>
        </w:rPr>
        <w:t>SOURCE OF FUNDING: NONE.</w:t>
      </w:r>
    </w:p>
    <w:p w:rsidR="00360B84" w:rsidRPr="009F0C82" w:rsidRDefault="00360B84" w:rsidP="00635FA7">
      <w:pPr>
        <w:autoSpaceDE w:val="0"/>
        <w:autoSpaceDN w:val="0"/>
        <w:adjustRightInd w:val="0"/>
        <w:spacing w:after="0" w:line="240" w:lineRule="auto"/>
        <w:rPr>
          <w:rFonts w:asciiTheme="majorBidi" w:hAnsiTheme="majorBidi" w:cstheme="majorBidi"/>
          <w:sz w:val="20"/>
          <w:szCs w:val="20"/>
        </w:rPr>
      </w:pPr>
      <w:r w:rsidRPr="009F0C82">
        <w:rPr>
          <w:rFonts w:asciiTheme="majorBidi" w:hAnsiTheme="majorBidi" w:cstheme="majorBidi"/>
          <w:sz w:val="20"/>
          <w:szCs w:val="20"/>
        </w:rPr>
        <w:t>CONTRIBUTION OF AUTHORS</w:t>
      </w:r>
    </w:p>
    <w:p w:rsidR="00360B84" w:rsidRDefault="00360B84" w:rsidP="00635FA7">
      <w:pPr>
        <w:autoSpaceDE w:val="0"/>
        <w:autoSpaceDN w:val="0"/>
        <w:adjustRightInd w:val="0"/>
        <w:spacing w:after="0" w:line="240" w:lineRule="auto"/>
        <w:rPr>
          <w:rFonts w:asciiTheme="majorBidi" w:hAnsiTheme="majorBidi" w:cstheme="majorBidi"/>
          <w:sz w:val="20"/>
          <w:szCs w:val="20"/>
        </w:rPr>
      </w:pPr>
      <w:r w:rsidRPr="00360B84">
        <w:rPr>
          <w:rFonts w:asciiTheme="majorBidi" w:hAnsiTheme="majorBidi" w:cstheme="majorBidi"/>
          <w:sz w:val="20"/>
          <w:szCs w:val="20"/>
        </w:rPr>
        <w:t>We declare that this work was done by the author(s) named in this article and all</w:t>
      </w:r>
      <w:r>
        <w:rPr>
          <w:rFonts w:asciiTheme="majorBidi" w:hAnsiTheme="majorBidi" w:cstheme="majorBidi"/>
          <w:sz w:val="20"/>
          <w:szCs w:val="20"/>
        </w:rPr>
        <w:t xml:space="preserve"> </w:t>
      </w:r>
      <w:r w:rsidRPr="00360B84">
        <w:rPr>
          <w:rFonts w:asciiTheme="majorBidi" w:hAnsiTheme="majorBidi" w:cstheme="majorBidi"/>
          <w:sz w:val="20"/>
          <w:szCs w:val="20"/>
        </w:rPr>
        <w:t xml:space="preserve">liabilities pertaining to claims relating to the content of this article will be borne by the authors". </w:t>
      </w:r>
      <w:r>
        <w:rPr>
          <w:rFonts w:asciiTheme="majorBidi" w:hAnsiTheme="majorBidi" w:cstheme="majorBidi"/>
          <w:sz w:val="20"/>
          <w:szCs w:val="20"/>
        </w:rPr>
        <w:t xml:space="preserve">The first author </w:t>
      </w:r>
      <w:r w:rsidRPr="00360B84">
        <w:rPr>
          <w:rFonts w:asciiTheme="majorBidi" w:hAnsiTheme="majorBidi" w:cstheme="majorBidi"/>
          <w:sz w:val="20"/>
          <w:szCs w:val="20"/>
        </w:rPr>
        <w:t>conceived</w:t>
      </w:r>
      <w:r>
        <w:rPr>
          <w:rFonts w:asciiTheme="majorBidi" w:hAnsiTheme="majorBidi" w:cstheme="majorBidi"/>
          <w:sz w:val="20"/>
          <w:szCs w:val="20"/>
        </w:rPr>
        <w:t xml:space="preserve">, </w:t>
      </w:r>
      <w:r w:rsidRPr="00360B84">
        <w:rPr>
          <w:rFonts w:asciiTheme="majorBidi" w:hAnsiTheme="majorBidi" w:cstheme="majorBidi"/>
          <w:sz w:val="20"/>
          <w:szCs w:val="20"/>
        </w:rPr>
        <w:t xml:space="preserve">designed the study </w:t>
      </w:r>
      <w:r>
        <w:rPr>
          <w:rFonts w:asciiTheme="majorBidi" w:hAnsiTheme="majorBidi" w:cstheme="majorBidi"/>
          <w:sz w:val="20"/>
          <w:szCs w:val="20"/>
        </w:rPr>
        <w:t xml:space="preserve">and second author </w:t>
      </w:r>
      <w:r w:rsidRPr="00360B84">
        <w:rPr>
          <w:rFonts w:asciiTheme="majorBidi" w:hAnsiTheme="majorBidi" w:cstheme="majorBidi"/>
          <w:sz w:val="20"/>
          <w:szCs w:val="20"/>
        </w:rPr>
        <w:t>analyzed the data</w:t>
      </w:r>
      <w:r>
        <w:rPr>
          <w:rFonts w:asciiTheme="majorBidi" w:hAnsiTheme="majorBidi" w:cstheme="majorBidi"/>
          <w:sz w:val="20"/>
          <w:szCs w:val="20"/>
        </w:rPr>
        <w:t xml:space="preserve">. </w:t>
      </w:r>
    </w:p>
    <w:p w:rsidR="00360B84" w:rsidRPr="00360B84" w:rsidRDefault="00360B84" w:rsidP="00635FA7">
      <w:pPr>
        <w:autoSpaceDE w:val="0"/>
        <w:autoSpaceDN w:val="0"/>
        <w:adjustRightInd w:val="0"/>
        <w:spacing w:after="0" w:line="240" w:lineRule="auto"/>
        <w:rPr>
          <w:rFonts w:asciiTheme="majorBidi" w:hAnsiTheme="majorBidi" w:cstheme="majorBidi"/>
          <w:sz w:val="20"/>
          <w:szCs w:val="20"/>
          <w:lang w:val="en-US"/>
        </w:rPr>
      </w:pPr>
    </w:p>
    <w:p w:rsidR="00E46734" w:rsidRPr="00517D9E" w:rsidRDefault="00E46734" w:rsidP="00635FA7">
      <w:pPr>
        <w:spacing w:line="240" w:lineRule="auto"/>
        <w:jc w:val="both"/>
        <w:rPr>
          <w:rFonts w:asciiTheme="majorBidi" w:hAnsiTheme="majorBidi" w:cstheme="majorBidi"/>
          <w:lang w:val="en-US"/>
        </w:rPr>
      </w:pPr>
      <w:r w:rsidRPr="00517D9E">
        <w:rPr>
          <w:rFonts w:asciiTheme="majorBidi" w:hAnsiTheme="majorBidi" w:cstheme="majorBidi"/>
          <w:lang w:val="en-US"/>
        </w:rPr>
        <w:t>REFERRENCE:</w:t>
      </w:r>
    </w:p>
    <w:p w:rsidR="00E46734" w:rsidRPr="00517D9E" w:rsidRDefault="00025D76" w:rsidP="00635FA7">
      <w:pPr>
        <w:pStyle w:val="ListParagraph"/>
        <w:numPr>
          <w:ilvl w:val="0"/>
          <w:numId w:val="5"/>
        </w:numPr>
        <w:spacing w:line="240" w:lineRule="auto"/>
        <w:jc w:val="both"/>
        <w:rPr>
          <w:rFonts w:asciiTheme="majorBidi" w:hAnsiTheme="majorBidi" w:cstheme="majorBidi"/>
          <w:sz w:val="16"/>
          <w:szCs w:val="16"/>
          <w:lang w:val="en-US"/>
        </w:rPr>
      </w:pPr>
      <w:r w:rsidRPr="00517D9E">
        <w:rPr>
          <w:rFonts w:asciiTheme="majorBidi" w:hAnsiTheme="majorBidi" w:cstheme="majorBidi"/>
          <w:sz w:val="16"/>
          <w:szCs w:val="16"/>
          <w:lang w:val="en-US"/>
        </w:rPr>
        <w:t>Adverse drug reactions in Nephrology wa</w:t>
      </w:r>
      <w:r w:rsidR="00FC6FB8" w:rsidRPr="00517D9E">
        <w:rPr>
          <w:rFonts w:asciiTheme="majorBidi" w:hAnsiTheme="majorBidi" w:cstheme="majorBidi"/>
          <w:sz w:val="16"/>
          <w:szCs w:val="16"/>
          <w:lang w:val="en-US"/>
        </w:rPr>
        <w:t>rd</w:t>
      </w:r>
      <w:r w:rsidRPr="00517D9E">
        <w:rPr>
          <w:rFonts w:asciiTheme="majorBidi" w:hAnsiTheme="majorBidi" w:cstheme="majorBidi"/>
          <w:sz w:val="16"/>
          <w:szCs w:val="16"/>
          <w:lang w:val="en-US"/>
        </w:rPr>
        <w:t xml:space="preserve">s </w:t>
      </w:r>
      <w:r w:rsidR="00FC6FB8" w:rsidRPr="00517D9E">
        <w:rPr>
          <w:rFonts w:asciiTheme="majorBidi" w:hAnsiTheme="majorBidi" w:cstheme="majorBidi"/>
          <w:sz w:val="16"/>
          <w:szCs w:val="16"/>
          <w:lang w:val="en-US"/>
        </w:rPr>
        <w:t>in</w:t>
      </w:r>
      <w:r w:rsidRPr="00517D9E">
        <w:rPr>
          <w:rFonts w:asciiTheme="majorBidi" w:hAnsiTheme="majorBidi" w:cstheme="majorBidi"/>
          <w:sz w:val="16"/>
          <w:szCs w:val="16"/>
          <w:lang w:val="en-US"/>
        </w:rPr>
        <w:t xml:space="preserve">patient </w:t>
      </w:r>
      <w:r w:rsidR="00FC6FB8" w:rsidRPr="00517D9E">
        <w:rPr>
          <w:rFonts w:asciiTheme="majorBidi" w:hAnsiTheme="majorBidi" w:cstheme="majorBidi"/>
          <w:sz w:val="16"/>
          <w:szCs w:val="16"/>
          <w:lang w:val="en-US"/>
        </w:rPr>
        <w:t>of tertiay care hospital. Lisha Joshua, Deptt of Pharmacology, St John’s Hospital, Banglore, India.</w:t>
      </w:r>
    </w:p>
    <w:p w:rsidR="00FC6FB8" w:rsidRPr="00517D9E" w:rsidRDefault="00FC6FB8" w:rsidP="00635FA7">
      <w:pPr>
        <w:pStyle w:val="ListParagraph"/>
        <w:numPr>
          <w:ilvl w:val="0"/>
          <w:numId w:val="5"/>
        </w:numPr>
        <w:spacing w:line="240" w:lineRule="auto"/>
        <w:jc w:val="both"/>
        <w:rPr>
          <w:rFonts w:asciiTheme="majorBidi" w:hAnsiTheme="majorBidi" w:cstheme="majorBidi"/>
          <w:sz w:val="16"/>
          <w:szCs w:val="16"/>
          <w:lang w:val="en-US"/>
        </w:rPr>
      </w:pPr>
      <w:r w:rsidRPr="00517D9E">
        <w:rPr>
          <w:rFonts w:asciiTheme="majorBidi" w:hAnsiTheme="majorBidi" w:cstheme="majorBidi"/>
          <w:sz w:val="16"/>
          <w:szCs w:val="16"/>
          <w:lang w:val="en-US"/>
        </w:rPr>
        <w:t>Concealed renal insufficiency and adverse drug reactions in elderly hospitalized patient. Corsenelo etal.Italy.</w:t>
      </w:r>
    </w:p>
    <w:p w:rsidR="00FC6FB8" w:rsidRPr="00517D9E" w:rsidRDefault="00FC6FB8" w:rsidP="00635FA7">
      <w:pPr>
        <w:pStyle w:val="ListParagraph"/>
        <w:numPr>
          <w:ilvl w:val="0"/>
          <w:numId w:val="5"/>
        </w:numPr>
        <w:spacing w:line="240" w:lineRule="auto"/>
        <w:jc w:val="both"/>
        <w:rPr>
          <w:rFonts w:asciiTheme="majorBidi" w:hAnsiTheme="majorBidi" w:cstheme="majorBidi"/>
          <w:sz w:val="16"/>
          <w:szCs w:val="16"/>
          <w:lang w:val="en-US"/>
        </w:rPr>
      </w:pPr>
      <w:r w:rsidRPr="00517D9E">
        <w:rPr>
          <w:rFonts w:asciiTheme="majorBidi" w:hAnsiTheme="majorBidi" w:cstheme="majorBidi"/>
          <w:sz w:val="16"/>
          <w:szCs w:val="16"/>
          <w:lang w:val="en-US"/>
        </w:rPr>
        <w:t xml:space="preserve">A method for estimating the probability of adverse drug reaction. </w:t>
      </w:r>
      <w:r w:rsidR="00B12397" w:rsidRPr="00517D9E">
        <w:rPr>
          <w:rFonts w:asciiTheme="majorBidi" w:hAnsiTheme="majorBidi" w:cstheme="majorBidi"/>
          <w:sz w:val="16"/>
          <w:szCs w:val="16"/>
          <w:lang w:val="en-US"/>
        </w:rPr>
        <w:t xml:space="preserve">Naranjo CA et al. </w:t>
      </w:r>
      <w:r w:rsidRPr="00517D9E">
        <w:rPr>
          <w:rFonts w:asciiTheme="majorBidi" w:hAnsiTheme="majorBidi" w:cstheme="majorBidi"/>
          <w:sz w:val="16"/>
          <w:szCs w:val="16"/>
          <w:lang w:val="en-US"/>
        </w:rPr>
        <w:t>Clinical Pharmacol ther. 1981 Aug 30(2): 295-45</w:t>
      </w:r>
      <w:r w:rsidR="00106C9F" w:rsidRPr="00517D9E">
        <w:rPr>
          <w:rFonts w:asciiTheme="majorBidi" w:hAnsiTheme="majorBidi" w:cstheme="majorBidi"/>
          <w:sz w:val="16"/>
          <w:szCs w:val="16"/>
          <w:lang w:val="en-US"/>
        </w:rPr>
        <w:t xml:space="preserve">. </w:t>
      </w:r>
    </w:p>
    <w:p w:rsidR="00106C9F" w:rsidRPr="00517D9E" w:rsidRDefault="00E05BBA" w:rsidP="00635FA7">
      <w:pPr>
        <w:pStyle w:val="ListParagraph"/>
        <w:numPr>
          <w:ilvl w:val="0"/>
          <w:numId w:val="5"/>
        </w:numPr>
        <w:spacing w:line="240" w:lineRule="auto"/>
        <w:jc w:val="both"/>
        <w:rPr>
          <w:rFonts w:asciiTheme="majorBidi" w:hAnsiTheme="majorBidi" w:cstheme="majorBidi"/>
          <w:sz w:val="16"/>
          <w:szCs w:val="16"/>
          <w:lang w:val="en-US"/>
        </w:rPr>
      </w:pPr>
      <w:r w:rsidRPr="00517D9E">
        <w:rPr>
          <w:rFonts w:asciiTheme="majorBidi" w:hAnsiTheme="majorBidi" w:cstheme="majorBidi"/>
          <w:sz w:val="16"/>
          <w:szCs w:val="16"/>
          <w:lang w:val="en-US"/>
        </w:rPr>
        <w:t>Preventibility and severity assessment in reporting adverse drug reaction. Hartwig SC et al. American journal of Hospital Pharmacology. 1992;49;2291-31</w:t>
      </w:r>
    </w:p>
    <w:p w:rsidR="00B12397" w:rsidRPr="00517D9E" w:rsidRDefault="00E05BBA" w:rsidP="00635FA7">
      <w:pPr>
        <w:pStyle w:val="ListParagraph"/>
        <w:numPr>
          <w:ilvl w:val="0"/>
          <w:numId w:val="5"/>
        </w:numPr>
        <w:spacing w:line="240" w:lineRule="auto"/>
        <w:jc w:val="both"/>
        <w:rPr>
          <w:rFonts w:asciiTheme="majorBidi" w:hAnsiTheme="majorBidi" w:cstheme="majorBidi"/>
          <w:sz w:val="16"/>
          <w:szCs w:val="16"/>
          <w:lang w:val="en-US"/>
        </w:rPr>
      </w:pPr>
      <w:r w:rsidRPr="00517D9E">
        <w:rPr>
          <w:rFonts w:asciiTheme="majorBidi" w:hAnsiTheme="majorBidi" w:cstheme="majorBidi"/>
          <w:sz w:val="16"/>
          <w:szCs w:val="16"/>
          <w:lang w:val="en-US"/>
        </w:rPr>
        <w:lastRenderedPageBreak/>
        <w:t>A method for estimating the preventability of adverse drug reaction</w:t>
      </w:r>
      <w:r w:rsidR="00B12397" w:rsidRPr="00517D9E">
        <w:rPr>
          <w:rFonts w:asciiTheme="majorBidi" w:hAnsiTheme="majorBidi" w:cstheme="majorBidi"/>
          <w:sz w:val="16"/>
          <w:szCs w:val="16"/>
          <w:lang w:val="en-US"/>
        </w:rPr>
        <w:t xml:space="preserve">. Schumock and thorton. </w:t>
      </w:r>
      <w:r w:rsidRPr="00517D9E">
        <w:rPr>
          <w:rFonts w:asciiTheme="majorBidi" w:hAnsiTheme="majorBidi" w:cstheme="majorBidi"/>
          <w:sz w:val="16"/>
          <w:szCs w:val="16"/>
          <w:lang w:val="en-US"/>
        </w:rPr>
        <w:t xml:space="preserve"> </w:t>
      </w:r>
      <w:r w:rsidR="00B12397" w:rsidRPr="00517D9E">
        <w:rPr>
          <w:rFonts w:asciiTheme="majorBidi" w:hAnsiTheme="majorBidi" w:cstheme="majorBidi"/>
          <w:sz w:val="16"/>
          <w:szCs w:val="16"/>
          <w:lang w:val="en-US"/>
        </w:rPr>
        <w:t>Clinical Pharmacol ther. 1992 Aug 30(2): 239-45.</w:t>
      </w:r>
    </w:p>
    <w:p w:rsidR="00FC6FB8" w:rsidRPr="00517D9E" w:rsidRDefault="00FC6FB8" w:rsidP="00635FA7">
      <w:pPr>
        <w:pStyle w:val="ListParagraph"/>
        <w:spacing w:line="240" w:lineRule="auto"/>
        <w:jc w:val="both"/>
        <w:rPr>
          <w:rFonts w:asciiTheme="majorBidi" w:hAnsiTheme="majorBidi" w:cstheme="majorBidi"/>
          <w:sz w:val="16"/>
          <w:szCs w:val="16"/>
          <w:lang w:val="en-US"/>
        </w:rPr>
      </w:pPr>
    </w:p>
    <w:p w:rsidR="00605F9D" w:rsidRPr="00605F9D" w:rsidRDefault="00605F9D" w:rsidP="00635FA7">
      <w:pPr>
        <w:spacing w:line="240" w:lineRule="auto"/>
        <w:jc w:val="both"/>
        <w:rPr>
          <w:rFonts w:asciiTheme="majorBidi" w:hAnsiTheme="majorBidi" w:cstheme="majorBidi"/>
          <w:lang w:val="en-US"/>
        </w:rPr>
      </w:pPr>
    </w:p>
    <w:p w:rsidR="00F02783" w:rsidRPr="001D794D" w:rsidRDefault="00F11098" w:rsidP="00635FA7">
      <w:pPr>
        <w:spacing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p>
    <w:p w:rsidR="00F02783" w:rsidRPr="00F02783" w:rsidRDefault="00F02783" w:rsidP="00635FA7">
      <w:pPr>
        <w:spacing w:line="240" w:lineRule="auto"/>
        <w:jc w:val="both"/>
        <w:rPr>
          <w:rFonts w:asciiTheme="majorBidi" w:hAnsiTheme="majorBidi" w:cstheme="majorBidi"/>
          <w:b/>
          <w:bCs/>
          <w:lang w:val="en-US"/>
        </w:rPr>
      </w:pPr>
    </w:p>
    <w:p w:rsidR="00511924" w:rsidRPr="004E5D89" w:rsidRDefault="00511924" w:rsidP="00635FA7">
      <w:pPr>
        <w:spacing w:line="240" w:lineRule="auto"/>
        <w:jc w:val="both"/>
        <w:rPr>
          <w:rFonts w:asciiTheme="majorBidi" w:hAnsiTheme="majorBidi" w:cstheme="majorBidi"/>
          <w:sz w:val="20"/>
          <w:szCs w:val="20"/>
          <w:lang w:val="en-US"/>
        </w:rPr>
      </w:pPr>
    </w:p>
    <w:sectPr w:rsidR="00511924" w:rsidRPr="004E5D89" w:rsidSect="00FF44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5AF"/>
    <w:multiLevelType w:val="hybridMultilevel"/>
    <w:tmpl w:val="0142A20A"/>
    <w:lvl w:ilvl="0" w:tplc="0FA446CA">
      <w:start w:val="5"/>
      <w:numFmt w:val="bullet"/>
      <w:lvlText w:val=""/>
      <w:lvlJc w:val="left"/>
      <w:pPr>
        <w:ind w:left="1080" w:hanging="360"/>
      </w:pPr>
      <w:rPr>
        <w:rFonts w:ascii="Wingdings" w:eastAsiaTheme="minorEastAsia" w:hAnsi="Wingdings" w:cstheme="maj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22DB7236"/>
    <w:multiLevelType w:val="hybridMultilevel"/>
    <w:tmpl w:val="107CA2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A13FEB"/>
    <w:multiLevelType w:val="hybridMultilevel"/>
    <w:tmpl w:val="EE640664"/>
    <w:lvl w:ilvl="0" w:tplc="6B843C8A">
      <w:start w:val="5"/>
      <w:numFmt w:val="bullet"/>
      <w:lvlText w:val=""/>
      <w:lvlJc w:val="left"/>
      <w:pPr>
        <w:ind w:left="720" w:hanging="360"/>
      </w:pPr>
      <w:rPr>
        <w:rFonts w:ascii="Wingdings" w:eastAsiaTheme="minorEastAsia" w:hAnsi="Wingdings"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34F424C"/>
    <w:multiLevelType w:val="hybridMultilevel"/>
    <w:tmpl w:val="D30CE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BE05CB1"/>
    <w:multiLevelType w:val="hybridMultilevel"/>
    <w:tmpl w:val="504E3B42"/>
    <w:lvl w:ilvl="0" w:tplc="89CA8EDE">
      <w:start w:val="5"/>
      <w:numFmt w:val="bullet"/>
      <w:lvlText w:val=""/>
      <w:lvlJc w:val="left"/>
      <w:pPr>
        <w:ind w:left="720" w:hanging="360"/>
      </w:pPr>
      <w:rPr>
        <w:rFonts w:ascii="Wingdings" w:eastAsiaTheme="minorEastAsia" w:hAnsi="Wingdings"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F67390"/>
    <w:rsid w:val="00025D76"/>
    <w:rsid w:val="00036E68"/>
    <w:rsid w:val="000545D6"/>
    <w:rsid w:val="000C6C95"/>
    <w:rsid w:val="000D4965"/>
    <w:rsid w:val="000D7B7E"/>
    <w:rsid w:val="000E06CC"/>
    <w:rsid w:val="000E4859"/>
    <w:rsid w:val="00106C9F"/>
    <w:rsid w:val="001324C2"/>
    <w:rsid w:val="00162D0D"/>
    <w:rsid w:val="00194CB1"/>
    <w:rsid w:val="001A2B63"/>
    <w:rsid w:val="001B0CCA"/>
    <w:rsid w:val="001D794D"/>
    <w:rsid w:val="0021340E"/>
    <w:rsid w:val="00216BBC"/>
    <w:rsid w:val="00226A6F"/>
    <w:rsid w:val="00236991"/>
    <w:rsid w:val="00243C03"/>
    <w:rsid w:val="00246B62"/>
    <w:rsid w:val="002744CC"/>
    <w:rsid w:val="002779FD"/>
    <w:rsid w:val="002943C8"/>
    <w:rsid w:val="002D72CD"/>
    <w:rsid w:val="002E5F6B"/>
    <w:rsid w:val="002F5372"/>
    <w:rsid w:val="00300E6A"/>
    <w:rsid w:val="00335BF7"/>
    <w:rsid w:val="003459FE"/>
    <w:rsid w:val="00345A99"/>
    <w:rsid w:val="00360B84"/>
    <w:rsid w:val="00375039"/>
    <w:rsid w:val="00395935"/>
    <w:rsid w:val="003B769D"/>
    <w:rsid w:val="003D5D04"/>
    <w:rsid w:val="003F06AE"/>
    <w:rsid w:val="003F1E86"/>
    <w:rsid w:val="00403494"/>
    <w:rsid w:val="00416107"/>
    <w:rsid w:val="00430643"/>
    <w:rsid w:val="00451690"/>
    <w:rsid w:val="0048151F"/>
    <w:rsid w:val="00482513"/>
    <w:rsid w:val="004A4FA3"/>
    <w:rsid w:val="004A7EF3"/>
    <w:rsid w:val="004B160B"/>
    <w:rsid w:val="004D1429"/>
    <w:rsid w:val="004E5D89"/>
    <w:rsid w:val="00500934"/>
    <w:rsid w:val="00511924"/>
    <w:rsid w:val="00517D9E"/>
    <w:rsid w:val="00527130"/>
    <w:rsid w:val="005536F3"/>
    <w:rsid w:val="00560FC0"/>
    <w:rsid w:val="0056129A"/>
    <w:rsid w:val="0056268F"/>
    <w:rsid w:val="00564983"/>
    <w:rsid w:val="005955CC"/>
    <w:rsid w:val="0059670A"/>
    <w:rsid w:val="005A47CB"/>
    <w:rsid w:val="005B3756"/>
    <w:rsid w:val="005B5D9A"/>
    <w:rsid w:val="005C4ACB"/>
    <w:rsid w:val="005D2A88"/>
    <w:rsid w:val="005F2497"/>
    <w:rsid w:val="00603664"/>
    <w:rsid w:val="00605F9D"/>
    <w:rsid w:val="00635FA7"/>
    <w:rsid w:val="00642841"/>
    <w:rsid w:val="00692C56"/>
    <w:rsid w:val="00694174"/>
    <w:rsid w:val="00705697"/>
    <w:rsid w:val="00723335"/>
    <w:rsid w:val="00784F70"/>
    <w:rsid w:val="007A5F2C"/>
    <w:rsid w:val="007B3070"/>
    <w:rsid w:val="007C7419"/>
    <w:rsid w:val="00801FBA"/>
    <w:rsid w:val="00820413"/>
    <w:rsid w:val="00821CBC"/>
    <w:rsid w:val="00854075"/>
    <w:rsid w:val="00897058"/>
    <w:rsid w:val="00897FDB"/>
    <w:rsid w:val="008A2473"/>
    <w:rsid w:val="008C38A3"/>
    <w:rsid w:val="008D60A7"/>
    <w:rsid w:val="008F4AF5"/>
    <w:rsid w:val="0090086E"/>
    <w:rsid w:val="00915091"/>
    <w:rsid w:val="00917D73"/>
    <w:rsid w:val="00920139"/>
    <w:rsid w:val="00930150"/>
    <w:rsid w:val="00963C5B"/>
    <w:rsid w:val="009759E0"/>
    <w:rsid w:val="009844E4"/>
    <w:rsid w:val="00991602"/>
    <w:rsid w:val="0099195D"/>
    <w:rsid w:val="00991E00"/>
    <w:rsid w:val="009C1494"/>
    <w:rsid w:val="009C3012"/>
    <w:rsid w:val="009D5080"/>
    <w:rsid w:val="009F0C82"/>
    <w:rsid w:val="00A10C1F"/>
    <w:rsid w:val="00AE13DA"/>
    <w:rsid w:val="00AF229F"/>
    <w:rsid w:val="00AF249E"/>
    <w:rsid w:val="00B12397"/>
    <w:rsid w:val="00B2197A"/>
    <w:rsid w:val="00B53301"/>
    <w:rsid w:val="00B56D03"/>
    <w:rsid w:val="00B81471"/>
    <w:rsid w:val="00BB4FAD"/>
    <w:rsid w:val="00BC58D0"/>
    <w:rsid w:val="00BD1CBE"/>
    <w:rsid w:val="00BD69C2"/>
    <w:rsid w:val="00BE2DC3"/>
    <w:rsid w:val="00CA4714"/>
    <w:rsid w:val="00CC2F96"/>
    <w:rsid w:val="00CC49B4"/>
    <w:rsid w:val="00D05018"/>
    <w:rsid w:val="00D074C0"/>
    <w:rsid w:val="00D31BAE"/>
    <w:rsid w:val="00D56A1E"/>
    <w:rsid w:val="00D87870"/>
    <w:rsid w:val="00D9001F"/>
    <w:rsid w:val="00DD7610"/>
    <w:rsid w:val="00E02DB8"/>
    <w:rsid w:val="00E05BBA"/>
    <w:rsid w:val="00E11037"/>
    <w:rsid w:val="00E12C27"/>
    <w:rsid w:val="00E33FC4"/>
    <w:rsid w:val="00E46734"/>
    <w:rsid w:val="00E71D6D"/>
    <w:rsid w:val="00E73794"/>
    <w:rsid w:val="00E749DD"/>
    <w:rsid w:val="00EE2340"/>
    <w:rsid w:val="00EE3FEE"/>
    <w:rsid w:val="00F02783"/>
    <w:rsid w:val="00F10519"/>
    <w:rsid w:val="00F11098"/>
    <w:rsid w:val="00F65755"/>
    <w:rsid w:val="00F65CF1"/>
    <w:rsid w:val="00F67390"/>
    <w:rsid w:val="00F928BA"/>
    <w:rsid w:val="00F96C06"/>
    <w:rsid w:val="00FA3F12"/>
    <w:rsid w:val="00FB48FA"/>
    <w:rsid w:val="00FC429E"/>
    <w:rsid w:val="00FC6FB8"/>
    <w:rsid w:val="00FF4465"/>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4CC"/>
    <w:pPr>
      <w:ind w:left="720"/>
      <w:contextualSpacing/>
    </w:pPr>
  </w:style>
  <w:style w:type="table" w:styleId="TableGrid">
    <w:name w:val="Table Grid"/>
    <w:basedOn w:val="TableNormal"/>
    <w:uiPriority w:val="59"/>
    <w:rsid w:val="00B2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D05018"/>
  </w:style>
  <w:style w:type="character" w:styleId="Hyperlink">
    <w:name w:val="Hyperlink"/>
    <w:basedOn w:val="DefaultParagraphFont"/>
    <w:uiPriority w:val="99"/>
    <w:semiHidden/>
    <w:unhideWhenUsed/>
    <w:rsid w:val="00D050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Dru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3324-8EA0-4471-821B-F668E7D2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Aakhyan Mahanta</dc:creator>
  <cp:lastModifiedBy>Aakhyan Mahanta</cp:lastModifiedBy>
  <cp:revision>23</cp:revision>
  <dcterms:created xsi:type="dcterms:W3CDTF">2016-08-03T07:04:00Z</dcterms:created>
  <dcterms:modified xsi:type="dcterms:W3CDTF">2016-08-03T09:34:00Z</dcterms:modified>
</cp:coreProperties>
</file>