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2B" w:rsidRDefault="0029072B" w:rsidP="0029072B">
      <w:pPr>
        <w:jc w:val="both"/>
        <w:rPr>
          <w:rFonts w:ascii="Times New Roman" w:hAnsi="Times New Roman" w:cs="Times New Roman"/>
          <w:b/>
          <w:bCs/>
          <w:sz w:val="24"/>
          <w:szCs w:val="24"/>
        </w:rPr>
      </w:pPr>
    </w:p>
    <w:p w:rsidR="0029072B" w:rsidRDefault="0029072B" w:rsidP="0029072B">
      <w:pPr>
        <w:jc w:val="both"/>
        <w:rPr>
          <w:rFonts w:ascii="Times New Roman" w:hAnsi="Times New Roman" w:cs="Times New Roman"/>
          <w:b/>
          <w:bCs/>
          <w:sz w:val="24"/>
          <w:szCs w:val="24"/>
        </w:rPr>
      </w:pPr>
      <w:r w:rsidRPr="009E0134">
        <w:rPr>
          <w:rFonts w:ascii="Times New Roman" w:hAnsi="Times New Roman" w:cs="Times New Roman"/>
          <w:b/>
          <w:bCs/>
          <w:sz w:val="24"/>
          <w:szCs w:val="24"/>
        </w:rPr>
        <w:t>Title Page–</w:t>
      </w:r>
      <w:r>
        <w:rPr>
          <w:rFonts w:ascii="Times New Roman" w:hAnsi="Times New Roman" w:cs="Times New Roman"/>
          <w:b/>
          <w:bCs/>
          <w:sz w:val="24"/>
          <w:szCs w:val="24"/>
        </w:rPr>
        <w:t xml:space="preserve">        I</w:t>
      </w:r>
      <w:r w:rsidRPr="009E0134">
        <w:rPr>
          <w:rFonts w:ascii="Times New Roman" w:hAnsi="Times New Roman" w:cs="Times New Roman"/>
          <w:b/>
          <w:bCs/>
          <w:sz w:val="24"/>
          <w:szCs w:val="24"/>
        </w:rPr>
        <w:t xml:space="preserve">mmediate </w:t>
      </w:r>
      <w:r>
        <w:rPr>
          <w:rFonts w:ascii="Times New Roman" w:hAnsi="Times New Roman" w:cs="Times New Roman"/>
          <w:b/>
          <w:bCs/>
          <w:sz w:val="24"/>
          <w:szCs w:val="24"/>
        </w:rPr>
        <w:t xml:space="preserve">undreamed </w:t>
      </w:r>
      <w:r w:rsidRPr="009E0134">
        <w:rPr>
          <w:rFonts w:ascii="Times New Roman" w:hAnsi="Times New Roman" w:cs="Times New Roman"/>
          <w:b/>
          <w:bCs/>
          <w:sz w:val="24"/>
          <w:szCs w:val="24"/>
        </w:rPr>
        <w:t>nailing versus</w:t>
      </w:r>
      <w:r>
        <w:rPr>
          <w:rFonts w:ascii="Times New Roman" w:hAnsi="Times New Roman" w:cs="Times New Roman"/>
          <w:b/>
          <w:bCs/>
          <w:sz w:val="24"/>
          <w:szCs w:val="24"/>
        </w:rPr>
        <w:t xml:space="preserve"> delayed nailing in</w:t>
      </w:r>
    </w:p>
    <w:p w:rsidR="0029072B" w:rsidRDefault="0029072B" w:rsidP="0029072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compound</w:t>
      </w:r>
      <w:proofErr w:type="gramEnd"/>
      <w:r>
        <w:rPr>
          <w:rFonts w:ascii="Times New Roman" w:hAnsi="Times New Roman" w:cs="Times New Roman"/>
          <w:b/>
          <w:bCs/>
          <w:sz w:val="24"/>
          <w:szCs w:val="24"/>
        </w:rPr>
        <w:t xml:space="preserve"> T</w:t>
      </w:r>
      <w:r w:rsidRPr="009E0134">
        <w:rPr>
          <w:rFonts w:ascii="Times New Roman" w:hAnsi="Times New Roman" w:cs="Times New Roman"/>
          <w:b/>
          <w:bCs/>
          <w:sz w:val="24"/>
          <w:szCs w:val="24"/>
        </w:rPr>
        <w:t>ibial shaft fracture.</w:t>
      </w:r>
    </w:p>
    <w:p w:rsidR="0029072B" w:rsidRDefault="0029072B" w:rsidP="0029072B">
      <w:pPr>
        <w:jc w:val="both"/>
        <w:rPr>
          <w:rFonts w:ascii="Times New Roman" w:hAnsi="Times New Roman" w:cs="Times New Roman"/>
          <w:b/>
          <w:bCs/>
          <w:sz w:val="24"/>
          <w:szCs w:val="24"/>
        </w:rPr>
      </w:pPr>
    </w:p>
    <w:p w:rsidR="0029072B" w:rsidRPr="009E0134" w:rsidRDefault="0029072B" w:rsidP="0029072B">
      <w:pPr>
        <w:jc w:val="both"/>
        <w:rPr>
          <w:rFonts w:ascii="Times New Roman" w:hAnsi="Times New Roman" w:cs="Times New Roman"/>
          <w:b/>
          <w:bCs/>
          <w:sz w:val="24"/>
          <w:szCs w:val="24"/>
        </w:rPr>
      </w:pPr>
    </w:p>
    <w:p w:rsidR="0029072B" w:rsidRDefault="0029072B" w:rsidP="0029072B">
      <w:pPr>
        <w:spacing w:line="240" w:lineRule="auto"/>
        <w:jc w:val="both"/>
        <w:rPr>
          <w:rFonts w:ascii="Times New Roman" w:hAnsi="Times New Roman" w:cs="Times New Roman"/>
          <w:sz w:val="24"/>
          <w:szCs w:val="24"/>
        </w:rPr>
      </w:pPr>
      <w:r w:rsidRPr="008671B4">
        <w:rPr>
          <w:rFonts w:ascii="Times New Roman" w:hAnsi="Times New Roman" w:cs="Times New Roman"/>
          <w:b/>
          <w:sz w:val="24"/>
          <w:szCs w:val="24"/>
        </w:rPr>
        <w:t>Authors</w:t>
      </w:r>
      <w:r>
        <w:rPr>
          <w:rFonts w:ascii="Times New Roman" w:hAnsi="Times New Roman" w:cs="Times New Roman"/>
          <w:sz w:val="24"/>
          <w:szCs w:val="24"/>
        </w:rPr>
        <w:t>:</w:t>
      </w:r>
    </w:p>
    <w:p w:rsidR="0029072B"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4"/>
          <w:szCs w:val="24"/>
        </w:rPr>
        <w:t>Das</w:t>
      </w:r>
      <w:r w:rsidRPr="009E0134">
        <w:rPr>
          <w:rFonts w:ascii="Times New Roman" w:hAnsi="Times New Roman" w:cs="Times New Roman"/>
          <w:sz w:val="24"/>
          <w:szCs w:val="24"/>
        </w:rPr>
        <w:t xml:space="preserve"> </w:t>
      </w:r>
      <w:r>
        <w:rPr>
          <w:rFonts w:ascii="Times New Roman" w:hAnsi="Times New Roman" w:cs="Times New Roman"/>
          <w:sz w:val="24"/>
          <w:szCs w:val="24"/>
        </w:rPr>
        <w:t>Chinmoy Das</w:t>
      </w:r>
      <w:r>
        <w:rPr>
          <w:rFonts w:ascii="Times New Roman" w:hAnsi="Times New Roman" w:cs="Times New Roman"/>
          <w:sz w:val="24"/>
          <w:szCs w:val="24"/>
          <w:vertAlign w:val="superscript"/>
        </w:rPr>
        <w:t>1</w:t>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w:t>
      </w:r>
      <w:r w:rsidRPr="009E0134">
        <w:rPr>
          <w:rFonts w:ascii="Times New Roman" w:hAnsi="Times New Roman" w:cs="Times New Roman"/>
          <w:sz w:val="24"/>
          <w:szCs w:val="24"/>
        </w:rPr>
        <w:t>Prakash</w:t>
      </w:r>
      <w:r>
        <w:rPr>
          <w:rFonts w:ascii="Times New Roman" w:hAnsi="Times New Roman" w:cs="Times New Roman"/>
          <w:sz w:val="24"/>
          <w:szCs w:val="24"/>
          <w:vertAlign w:val="subscript"/>
        </w:rPr>
        <w:t xml:space="preserve"> </w:t>
      </w:r>
      <w:r w:rsidRPr="009E0134">
        <w:rPr>
          <w:rFonts w:ascii="Times New Roman" w:hAnsi="Times New Roman" w:cs="Times New Roman"/>
          <w:sz w:val="24"/>
          <w:szCs w:val="24"/>
        </w:rPr>
        <w:t>Jyoti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MS ( ortho )</w:t>
      </w:r>
      <w:r w:rsidRPr="009E0134">
        <w:rPr>
          <w:rFonts w:ascii="Times New Roman" w:hAnsi="Times New Roman" w:cs="Times New Roman"/>
          <w:sz w:val="24"/>
          <w:szCs w:val="24"/>
        </w:rPr>
        <w:t>,</w:t>
      </w:r>
    </w:p>
    <w:p w:rsidR="0029072B"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Associate Professor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Orthoaedics, Tejpur Medical College And Hosital, Tejpur. Ph: 9435043908</w:t>
      </w:r>
      <w:proofErr w:type="gramStart"/>
      <w:r>
        <w:rPr>
          <w:rFonts w:ascii="Times New Roman" w:hAnsi="Times New Roman" w:cs="Times New Roman"/>
          <w:sz w:val="24"/>
          <w:szCs w:val="24"/>
        </w:rPr>
        <w:t>,  e.mail</w:t>
      </w:r>
      <w:proofErr w:type="gramEnd"/>
      <w:r>
        <w:rPr>
          <w:rFonts w:ascii="Times New Roman" w:hAnsi="Times New Roman" w:cs="Times New Roman"/>
          <w:sz w:val="24"/>
          <w:szCs w:val="24"/>
        </w:rPr>
        <w:t xml:space="preserve"> : </w:t>
      </w:r>
      <w:hyperlink r:id="rId4" w:history="1">
        <w:r w:rsidRPr="00874869">
          <w:rPr>
            <w:rStyle w:val="Hyperlink"/>
            <w:rFonts w:ascii="Times New Roman" w:hAnsi="Times New Roman" w:cs="Times New Roman"/>
            <w:sz w:val="24"/>
            <w:szCs w:val="24"/>
          </w:rPr>
          <w:t>drchinmoydas@yahoo.com</w:t>
        </w:r>
      </w:hyperlink>
      <w:r>
        <w:rPr>
          <w:rFonts w:ascii="Times New Roman" w:hAnsi="Times New Roman" w:cs="Times New Roman"/>
          <w:sz w:val="24"/>
          <w:szCs w:val="24"/>
        </w:rPr>
        <w:t>.</w:t>
      </w:r>
    </w:p>
    <w:p w:rsidR="0029072B" w:rsidRPr="009E0134" w:rsidRDefault="0029072B" w:rsidP="0029072B">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SR, Dept.</w:t>
      </w:r>
      <w:proofErr w:type="gramEnd"/>
      <w:r>
        <w:rPr>
          <w:rFonts w:ascii="Times New Roman" w:hAnsi="Times New Roman" w:cs="Times New Roman"/>
          <w:sz w:val="24"/>
          <w:szCs w:val="24"/>
        </w:rPr>
        <w:t xml:space="preserve"> Of Orthopaedics, ESIPGIMSER, 54 Baghmari Road, Manicktala, Kolkata</w:t>
      </w:r>
      <w:proofErr w:type="gramStart"/>
      <w:r>
        <w:rPr>
          <w:rFonts w:ascii="Times New Roman" w:hAnsi="Times New Roman" w:cs="Times New Roman"/>
          <w:sz w:val="24"/>
          <w:szCs w:val="24"/>
        </w:rPr>
        <w:t>,54.Ph</w:t>
      </w:r>
      <w:proofErr w:type="gramEnd"/>
      <w:r>
        <w:rPr>
          <w:rFonts w:ascii="Times New Roman" w:hAnsi="Times New Roman" w:cs="Times New Roman"/>
          <w:sz w:val="24"/>
          <w:szCs w:val="24"/>
        </w:rPr>
        <w:t xml:space="preserve"> : 08697653161 e.mail – prakash_jyoti31@yahoo.com</w:t>
      </w:r>
    </w:p>
    <w:p w:rsidR="0029072B" w:rsidRDefault="0029072B" w:rsidP="0029072B">
      <w:pPr>
        <w:spacing w:line="240" w:lineRule="auto"/>
        <w:jc w:val="both"/>
        <w:rPr>
          <w:rFonts w:ascii="Times New Roman" w:hAnsi="Times New Roman" w:cs="Times New Roman"/>
          <w:b/>
          <w:sz w:val="24"/>
          <w:szCs w:val="24"/>
        </w:rPr>
      </w:pPr>
    </w:p>
    <w:p w:rsidR="0029072B" w:rsidRPr="009E0134" w:rsidRDefault="0029072B" w:rsidP="0029072B">
      <w:pPr>
        <w:spacing w:line="240" w:lineRule="auto"/>
        <w:jc w:val="both"/>
        <w:rPr>
          <w:rFonts w:ascii="Times New Roman" w:hAnsi="Times New Roman" w:cs="Times New Roman"/>
          <w:sz w:val="24"/>
          <w:szCs w:val="24"/>
        </w:rPr>
      </w:pPr>
      <w:r w:rsidRPr="008671B4">
        <w:rPr>
          <w:rFonts w:ascii="Times New Roman" w:hAnsi="Times New Roman" w:cs="Times New Roman"/>
          <w:b/>
          <w:sz w:val="24"/>
          <w:szCs w:val="24"/>
        </w:rPr>
        <w:t>Place of Work-</w:t>
      </w:r>
      <w:r w:rsidRPr="009E0134">
        <w:rPr>
          <w:rFonts w:ascii="Times New Roman" w:hAnsi="Times New Roman" w:cs="Times New Roman"/>
          <w:sz w:val="24"/>
          <w:szCs w:val="24"/>
        </w:rPr>
        <w:t xml:space="preserve"> Guwahati Medical College and </w:t>
      </w:r>
      <w:proofErr w:type="gramStart"/>
      <w:r w:rsidRPr="009E0134">
        <w:rPr>
          <w:rFonts w:ascii="Times New Roman" w:hAnsi="Times New Roman" w:cs="Times New Roman"/>
          <w:sz w:val="24"/>
          <w:szCs w:val="24"/>
        </w:rPr>
        <w:t>Hospital ,</w:t>
      </w:r>
      <w:proofErr w:type="gramEnd"/>
      <w:r w:rsidRPr="009E0134">
        <w:rPr>
          <w:rFonts w:ascii="Times New Roman" w:hAnsi="Times New Roman" w:cs="Times New Roman"/>
          <w:sz w:val="24"/>
          <w:szCs w:val="24"/>
        </w:rPr>
        <w:t xml:space="preserve"> Guwahati , 781032 .</w:t>
      </w:r>
    </w:p>
    <w:p w:rsidR="0029072B" w:rsidRDefault="0029072B" w:rsidP="0029072B">
      <w:pPr>
        <w:spacing w:line="240" w:lineRule="auto"/>
        <w:jc w:val="both"/>
        <w:rPr>
          <w:rFonts w:ascii="Times New Roman" w:hAnsi="Times New Roman" w:cs="Times New Roman"/>
          <w:sz w:val="24"/>
          <w:szCs w:val="24"/>
        </w:rPr>
      </w:pPr>
    </w:p>
    <w:p w:rsidR="0029072B"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9E0134">
        <w:rPr>
          <w:rFonts w:ascii="Times New Roman" w:hAnsi="Times New Roman" w:cs="Times New Roman"/>
          <w:sz w:val="24"/>
          <w:szCs w:val="24"/>
        </w:rPr>
        <w:t>or Correspondence –</w:t>
      </w:r>
    </w:p>
    <w:p w:rsidR="0029072B" w:rsidRDefault="0029072B" w:rsidP="0029072B">
      <w:pPr>
        <w:spacing w:line="240" w:lineRule="auto"/>
        <w:jc w:val="both"/>
        <w:rPr>
          <w:rFonts w:ascii="Times New Roman" w:hAnsi="Times New Roman" w:cs="Times New Roman"/>
          <w:sz w:val="24"/>
          <w:szCs w:val="24"/>
        </w:rPr>
      </w:pPr>
      <w:r w:rsidRPr="009E0134">
        <w:rPr>
          <w:rFonts w:ascii="Times New Roman" w:hAnsi="Times New Roman" w:cs="Times New Roman"/>
          <w:sz w:val="24"/>
          <w:szCs w:val="24"/>
        </w:rPr>
        <w:t xml:space="preserve"> Dr</w:t>
      </w:r>
      <w:r>
        <w:rPr>
          <w:rFonts w:ascii="Times New Roman" w:hAnsi="Times New Roman" w:cs="Times New Roman"/>
          <w:sz w:val="24"/>
          <w:szCs w:val="24"/>
        </w:rPr>
        <w:t xml:space="preserve">.Chinmoy </w:t>
      </w:r>
      <w:proofErr w:type="gramStart"/>
      <w:r>
        <w:rPr>
          <w:rFonts w:ascii="Times New Roman" w:hAnsi="Times New Roman" w:cs="Times New Roman"/>
          <w:sz w:val="24"/>
          <w:szCs w:val="24"/>
        </w:rPr>
        <w:t>Das  Associate</w:t>
      </w:r>
      <w:proofErr w:type="gramEnd"/>
      <w:r>
        <w:rPr>
          <w:rFonts w:ascii="Times New Roman" w:hAnsi="Times New Roman" w:cs="Times New Roman"/>
          <w:sz w:val="24"/>
          <w:szCs w:val="24"/>
        </w:rPr>
        <w:t xml:space="preserve"> Professor Of Orthoaedics, Tejpur Medical College And Hosital, Tejpur. Ph: 9435043908</w:t>
      </w:r>
      <w:proofErr w:type="gramStart"/>
      <w:r>
        <w:rPr>
          <w:rFonts w:ascii="Times New Roman" w:hAnsi="Times New Roman" w:cs="Times New Roman"/>
          <w:sz w:val="24"/>
          <w:szCs w:val="24"/>
        </w:rPr>
        <w:t>,  e.mail</w:t>
      </w:r>
      <w:proofErr w:type="gramEnd"/>
      <w:r>
        <w:rPr>
          <w:rFonts w:ascii="Times New Roman" w:hAnsi="Times New Roman" w:cs="Times New Roman"/>
          <w:sz w:val="24"/>
          <w:szCs w:val="24"/>
        </w:rPr>
        <w:t xml:space="preserve"> : </w:t>
      </w:r>
      <w:hyperlink r:id="rId5" w:history="1">
        <w:r w:rsidRPr="00874869">
          <w:rPr>
            <w:rStyle w:val="Hyperlink"/>
            <w:rFonts w:ascii="Times New Roman" w:hAnsi="Times New Roman" w:cs="Times New Roman"/>
            <w:sz w:val="24"/>
            <w:szCs w:val="24"/>
          </w:rPr>
          <w:t>drchinmoydas@yahoo.com</w:t>
        </w:r>
      </w:hyperlink>
      <w:r>
        <w:rPr>
          <w:rFonts w:ascii="Times New Roman" w:hAnsi="Times New Roman" w:cs="Times New Roman"/>
          <w:sz w:val="24"/>
          <w:szCs w:val="24"/>
        </w:rPr>
        <w:t>.</w:t>
      </w:r>
    </w:p>
    <w:p w:rsidR="0029072B" w:rsidRPr="009E0134"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0"/>
          <w:szCs w:val="24"/>
        </w:rPr>
        <w:t xml:space="preserve"> </w:t>
      </w:r>
      <w:r w:rsidRPr="009E0134">
        <w:rPr>
          <w:rFonts w:ascii="Times New Roman" w:hAnsi="Times New Roman" w:cs="Times New Roman"/>
          <w:sz w:val="24"/>
          <w:szCs w:val="24"/>
        </w:rPr>
        <w:t xml:space="preserve">Jyoti </w:t>
      </w:r>
      <w:proofErr w:type="gramStart"/>
      <w:r w:rsidRPr="009E0134">
        <w:rPr>
          <w:rFonts w:ascii="Times New Roman" w:hAnsi="Times New Roman" w:cs="Times New Roman"/>
          <w:sz w:val="24"/>
          <w:szCs w:val="24"/>
        </w:rPr>
        <w:t>Prakash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MS ( ortho )</w:t>
      </w:r>
      <w:r w:rsidRPr="009E0134">
        <w:rPr>
          <w:rFonts w:ascii="Times New Roman" w:hAnsi="Times New Roman" w:cs="Times New Roman"/>
          <w:sz w:val="24"/>
          <w:szCs w:val="24"/>
        </w:rPr>
        <w:t>,</w:t>
      </w:r>
      <w:r>
        <w:rPr>
          <w:rFonts w:ascii="Times New Roman" w:hAnsi="Times New Roman" w:cs="Times New Roman"/>
          <w:sz w:val="24"/>
          <w:szCs w:val="24"/>
        </w:rPr>
        <w:t xml:space="preserve"> SR, Dept. Of Orthopaedics, ESIPGIMSER, 54 Baghmari Road, Manicktala, Kolkata</w:t>
      </w:r>
      <w:proofErr w:type="gramStart"/>
      <w:r>
        <w:rPr>
          <w:rFonts w:ascii="Times New Roman" w:hAnsi="Times New Roman" w:cs="Times New Roman"/>
          <w:sz w:val="24"/>
          <w:szCs w:val="24"/>
        </w:rPr>
        <w:t>,54.Ph</w:t>
      </w:r>
      <w:proofErr w:type="gramEnd"/>
      <w:r>
        <w:rPr>
          <w:rFonts w:ascii="Times New Roman" w:hAnsi="Times New Roman" w:cs="Times New Roman"/>
          <w:sz w:val="24"/>
          <w:szCs w:val="24"/>
        </w:rPr>
        <w:t xml:space="preserve"> : 08697653161 e.mail – prakash_jyoti31@yahoo.com</w:t>
      </w:r>
    </w:p>
    <w:p w:rsidR="0029072B" w:rsidRDefault="0029072B" w:rsidP="0029072B">
      <w:pPr>
        <w:spacing w:line="240" w:lineRule="auto"/>
        <w:jc w:val="both"/>
        <w:rPr>
          <w:rFonts w:ascii="Times New Roman" w:hAnsi="Times New Roman" w:cs="Times New Roman"/>
          <w:sz w:val="24"/>
          <w:szCs w:val="24"/>
        </w:rPr>
      </w:pPr>
    </w:p>
    <w:p w:rsidR="0029072B" w:rsidRDefault="0029072B" w:rsidP="0029072B">
      <w:pPr>
        <w:spacing w:line="240" w:lineRule="auto"/>
        <w:jc w:val="both"/>
        <w:rPr>
          <w:rFonts w:ascii="Times New Roman" w:hAnsi="Times New Roman" w:cs="Times New Roman"/>
          <w:sz w:val="24"/>
          <w:szCs w:val="24"/>
        </w:rPr>
      </w:pPr>
    </w:p>
    <w:p w:rsidR="0029072B" w:rsidRDefault="0029072B" w:rsidP="0029072B">
      <w:pPr>
        <w:spacing w:line="240" w:lineRule="auto"/>
        <w:jc w:val="both"/>
        <w:rPr>
          <w:rFonts w:ascii="Times New Roman" w:hAnsi="Times New Roman" w:cs="Times New Roman"/>
          <w:sz w:val="24"/>
          <w:szCs w:val="24"/>
        </w:rPr>
      </w:pPr>
    </w:p>
    <w:p w:rsidR="0029072B" w:rsidRDefault="0029072B" w:rsidP="0029072B">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Conflict  Of</w:t>
      </w:r>
      <w:proofErr w:type="gramEnd"/>
      <w:r>
        <w:rPr>
          <w:rFonts w:ascii="Times New Roman" w:hAnsi="Times New Roman" w:cs="Times New Roman"/>
          <w:sz w:val="24"/>
          <w:szCs w:val="24"/>
        </w:rPr>
        <w:t xml:space="preserve"> Interest : None</w:t>
      </w:r>
    </w:p>
    <w:p w:rsidR="0029072B" w:rsidRPr="009E0134"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gramStart"/>
      <w:r>
        <w:rPr>
          <w:rFonts w:ascii="Times New Roman" w:hAnsi="Times New Roman" w:cs="Times New Roman"/>
          <w:sz w:val="24"/>
          <w:szCs w:val="24"/>
        </w:rPr>
        <w:t>Of  Funding</w:t>
      </w:r>
      <w:proofErr w:type="gramEnd"/>
      <w:r>
        <w:rPr>
          <w:rFonts w:ascii="Times New Roman" w:hAnsi="Times New Roman" w:cs="Times New Roman"/>
          <w:sz w:val="24"/>
          <w:szCs w:val="24"/>
        </w:rPr>
        <w:t xml:space="preserve"> : None</w:t>
      </w: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Default="0029072B" w:rsidP="0029072B">
      <w:pPr>
        <w:jc w:val="both"/>
        <w:rPr>
          <w:rFonts w:ascii="Times New Roman" w:hAnsi="Times New Roman" w:cs="Times New Roman"/>
          <w:sz w:val="24"/>
          <w:szCs w:val="24"/>
        </w:rPr>
      </w:pPr>
    </w:p>
    <w:p w:rsidR="0029072B" w:rsidRPr="009E0134" w:rsidRDefault="0029072B" w:rsidP="0029072B">
      <w:pPr>
        <w:jc w:val="both"/>
        <w:rPr>
          <w:rFonts w:ascii="Times New Roman" w:hAnsi="Times New Roman" w:cs="Times New Roman"/>
          <w:b/>
          <w:bCs/>
          <w:sz w:val="24"/>
          <w:szCs w:val="24"/>
        </w:rPr>
      </w:pPr>
      <w:proofErr w:type="gramStart"/>
      <w:r w:rsidRPr="009E0134">
        <w:rPr>
          <w:rFonts w:ascii="Times New Roman" w:hAnsi="Times New Roman" w:cs="Times New Roman"/>
          <w:b/>
          <w:bCs/>
          <w:sz w:val="24"/>
          <w:szCs w:val="24"/>
        </w:rPr>
        <w:t>Abstract :</w:t>
      </w:r>
      <w:proofErr w:type="gramEnd"/>
    </w:p>
    <w:p w:rsidR="0029072B" w:rsidRDefault="0029072B" w:rsidP="0029072B">
      <w:pPr>
        <w:spacing w:line="480" w:lineRule="auto"/>
        <w:jc w:val="both"/>
        <w:rPr>
          <w:rFonts w:ascii="Times New Roman" w:hAnsi="Times New Roman" w:cs="Times New Roman"/>
          <w:sz w:val="24"/>
          <w:szCs w:val="24"/>
        </w:rPr>
      </w:pPr>
      <w:r>
        <w:rPr>
          <w:rFonts w:ascii="Times New Roman" w:hAnsi="Times New Roman" w:cs="Times New Roman"/>
          <w:sz w:val="24"/>
          <w:szCs w:val="24"/>
        </w:rPr>
        <w:t>Tibia is largely covered</w:t>
      </w:r>
      <w:r w:rsidRPr="009E0134">
        <w:rPr>
          <w:rFonts w:ascii="Times New Roman" w:hAnsi="Times New Roman" w:cs="Times New Roman"/>
          <w:sz w:val="24"/>
          <w:szCs w:val="24"/>
        </w:rPr>
        <w:t xml:space="preserve"> with thin soft tissue envelope, </w:t>
      </w:r>
      <w:r>
        <w:rPr>
          <w:rFonts w:ascii="Times New Roman" w:hAnsi="Times New Roman" w:cs="Times New Roman"/>
          <w:sz w:val="24"/>
          <w:szCs w:val="24"/>
        </w:rPr>
        <w:t xml:space="preserve">hence high chance of open fracture and exposure of bone. </w:t>
      </w:r>
      <w:r w:rsidRPr="009E0134">
        <w:rPr>
          <w:rFonts w:ascii="Times New Roman" w:hAnsi="Times New Roman" w:cs="Times New Roman"/>
          <w:sz w:val="24"/>
          <w:szCs w:val="24"/>
        </w:rPr>
        <w:t>We</w:t>
      </w:r>
      <w:r>
        <w:rPr>
          <w:rFonts w:ascii="Times New Roman" w:hAnsi="Times New Roman" w:cs="Times New Roman"/>
          <w:sz w:val="24"/>
          <w:szCs w:val="24"/>
        </w:rPr>
        <w:t xml:space="preserve"> conducted a prospective,</w:t>
      </w:r>
      <w:r w:rsidRPr="009E0134">
        <w:rPr>
          <w:rFonts w:ascii="Times New Roman" w:hAnsi="Times New Roman" w:cs="Times New Roman"/>
          <w:sz w:val="24"/>
          <w:szCs w:val="24"/>
        </w:rPr>
        <w:t xml:space="preserve"> randomized control</w:t>
      </w:r>
      <w:r>
        <w:rPr>
          <w:rFonts w:ascii="Times New Roman" w:hAnsi="Times New Roman" w:cs="Times New Roman"/>
          <w:sz w:val="24"/>
          <w:szCs w:val="24"/>
        </w:rPr>
        <w:t xml:space="preserve"> trial study</w:t>
      </w:r>
      <w:r w:rsidRPr="009E0134">
        <w:rPr>
          <w:rFonts w:ascii="Times New Roman" w:hAnsi="Times New Roman" w:cs="Times New Roman"/>
          <w:sz w:val="24"/>
          <w:szCs w:val="24"/>
        </w:rPr>
        <w:t xml:space="preserve"> on 52 patients </w:t>
      </w:r>
      <w:r>
        <w:rPr>
          <w:rFonts w:ascii="Times New Roman" w:hAnsi="Times New Roman" w:cs="Times New Roman"/>
          <w:sz w:val="24"/>
          <w:szCs w:val="24"/>
        </w:rPr>
        <w:t>of open grade</w:t>
      </w:r>
      <w:r w:rsidRPr="009E0134">
        <w:rPr>
          <w:rFonts w:ascii="Times New Roman" w:hAnsi="Times New Roman" w:cs="Times New Roman"/>
          <w:sz w:val="24"/>
          <w:szCs w:val="24"/>
        </w:rPr>
        <w:t xml:space="preserve"> IIIA and IIIB</w:t>
      </w:r>
      <w:r>
        <w:rPr>
          <w:rFonts w:ascii="Times New Roman" w:hAnsi="Times New Roman" w:cs="Times New Roman"/>
          <w:sz w:val="24"/>
          <w:szCs w:val="24"/>
        </w:rPr>
        <w:t>( Gustilo and Anderson classification)</w:t>
      </w:r>
      <w:r w:rsidRPr="009E0134">
        <w:rPr>
          <w:rFonts w:ascii="Times New Roman" w:hAnsi="Times New Roman" w:cs="Times New Roman"/>
          <w:sz w:val="24"/>
          <w:szCs w:val="24"/>
        </w:rPr>
        <w:t xml:space="preserve"> fractures regarding </w:t>
      </w:r>
      <w:r>
        <w:rPr>
          <w:rFonts w:ascii="Times New Roman" w:hAnsi="Times New Roman" w:cs="Times New Roman"/>
          <w:sz w:val="24"/>
          <w:szCs w:val="24"/>
        </w:rPr>
        <w:t>immediate unreamed interlocking nail in 26 patients</w:t>
      </w:r>
      <w:r w:rsidRPr="009E0134">
        <w:rPr>
          <w:rFonts w:ascii="Times New Roman" w:hAnsi="Times New Roman" w:cs="Times New Roman"/>
          <w:sz w:val="24"/>
          <w:szCs w:val="24"/>
        </w:rPr>
        <w:t xml:space="preserve"> and </w:t>
      </w:r>
      <w:r>
        <w:rPr>
          <w:rFonts w:ascii="Times New Roman" w:hAnsi="Times New Roman" w:cs="Times New Roman"/>
          <w:sz w:val="24"/>
          <w:szCs w:val="24"/>
        </w:rPr>
        <w:t xml:space="preserve">external fixation followed by interlocking nail (delayed </w:t>
      </w:r>
      <w:r w:rsidRPr="009E0134">
        <w:rPr>
          <w:rFonts w:ascii="Times New Roman" w:hAnsi="Times New Roman" w:cs="Times New Roman"/>
          <w:sz w:val="24"/>
          <w:szCs w:val="24"/>
        </w:rPr>
        <w:t xml:space="preserve"> nail</w:t>
      </w:r>
      <w:r>
        <w:rPr>
          <w:rFonts w:ascii="Times New Roman" w:hAnsi="Times New Roman" w:cs="Times New Roman"/>
          <w:sz w:val="24"/>
          <w:szCs w:val="24"/>
        </w:rPr>
        <w:t>ing)  in remaining half of the</w:t>
      </w:r>
      <w:r w:rsidRPr="009E0134">
        <w:rPr>
          <w:rFonts w:ascii="Times New Roman" w:hAnsi="Times New Roman" w:cs="Times New Roman"/>
          <w:sz w:val="24"/>
          <w:szCs w:val="24"/>
        </w:rPr>
        <w:t xml:space="preserve"> patients</w:t>
      </w:r>
      <w:r>
        <w:rPr>
          <w:rFonts w:ascii="Times New Roman" w:hAnsi="Times New Roman" w:cs="Times New Roman"/>
          <w:sz w:val="24"/>
          <w:szCs w:val="24"/>
        </w:rPr>
        <w:t xml:space="preserve"> distributed as par randomisation plan and the outcome was</w:t>
      </w:r>
      <w:r w:rsidRPr="009E0134">
        <w:rPr>
          <w:rFonts w:ascii="Times New Roman" w:hAnsi="Times New Roman" w:cs="Times New Roman"/>
          <w:sz w:val="24"/>
          <w:szCs w:val="24"/>
        </w:rPr>
        <w:t xml:space="preserve"> measured.</w:t>
      </w:r>
      <w:r>
        <w:rPr>
          <w:rFonts w:ascii="Times New Roman" w:hAnsi="Times New Roman" w:cs="Times New Roman"/>
          <w:sz w:val="24"/>
          <w:szCs w:val="24"/>
        </w:rPr>
        <w:t xml:space="preserve"> In open Type </w:t>
      </w:r>
      <w:r w:rsidRPr="009E0134">
        <w:rPr>
          <w:rFonts w:ascii="Times New Roman" w:hAnsi="Times New Roman" w:cs="Times New Roman"/>
          <w:sz w:val="24"/>
          <w:szCs w:val="24"/>
        </w:rPr>
        <w:t>II</w:t>
      </w:r>
      <w:r>
        <w:rPr>
          <w:rFonts w:ascii="Times New Roman" w:hAnsi="Times New Roman" w:cs="Times New Roman"/>
          <w:sz w:val="24"/>
          <w:szCs w:val="24"/>
        </w:rPr>
        <w:t>IA</w:t>
      </w:r>
      <w:r w:rsidRPr="009E0134">
        <w:rPr>
          <w:rFonts w:ascii="Times New Roman" w:hAnsi="Times New Roman" w:cs="Times New Roman"/>
          <w:sz w:val="24"/>
          <w:szCs w:val="24"/>
        </w:rPr>
        <w:t xml:space="preserve"> fractures, union occurred after 18.09 and 26.5 weeks after immediate and delayed nailing group respectively</w:t>
      </w:r>
      <w:r>
        <w:rPr>
          <w:rFonts w:ascii="Times New Roman" w:hAnsi="Times New Roman" w:cs="Times New Roman"/>
          <w:sz w:val="24"/>
          <w:szCs w:val="24"/>
        </w:rPr>
        <w:t xml:space="preserve"> while in IIIB union was achieved at 24.7week and 47.2weeks respectively. </w:t>
      </w:r>
      <w:bookmarkStart w:id="0" w:name="_GoBack"/>
      <w:bookmarkEnd w:id="0"/>
      <w:r w:rsidRPr="009E0134">
        <w:rPr>
          <w:rFonts w:ascii="Times New Roman" w:hAnsi="Times New Roman" w:cs="Times New Roman"/>
          <w:sz w:val="24"/>
          <w:szCs w:val="24"/>
        </w:rPr>
        <w:t>We obtained excellent results in 73.07% p</w:t>
      </w:r>
      <w:r>
        <w:rPr>
          <w:rFonts w:ascii="Times New Roman" w:hAnsi="Times New Roman" w:cs="Times New Roman"/>
          <w:sz w:val="24"/>
          <w:szCs w:val="24"/>
        </w:rPr>
        <w:t>atients after immediate nailing</w:t>
      </w:r>
      <w:r w:rsidRPr="009E0134">
        <w:rPr>
          <w:rFonts w:ascii="Times New Roman" w:hAnsi="Times New Roman" w:cs="Times New Roman"/>
          <w:sz w:val="24"/>
          <w:szCs w:val="24"/>
        </w:rPr>
        <w:t xml:space="preserve"> and 53.84% after </w:t>
      </w:r>
      <w:proofErr w:type="gramStart"/>
      <w:r w:rsidRPr="009E0134">
        <w:rPr>
          <w:rFonts w:ascii="Times New Roman" w:hAnsi="Times New Roman" w:cs="Times New Roman"/>
          <w:sz w:val="24"/>
          <w:szCs w:val="24"/>
        </w:rPr>
        <w:t>delayed  nailing</w:t>
      </w:r>
      <w:proofErr w:type="gramEnd"/>
      <w:r w:rsidRPr="009E0134">
        <w:rPr>
          <w:rFonts w:ascii="Times New Roman" w:hAnsi="Times New Roman" w:cs="Times New Roman"/>
          <w:sz w:val="24"/>
          <w:szCs w:val="24"/>
        </w:rPr>
        <w:t>. Overall, the results were better</w:t>
      </w:r>
      <w:r>
        <w:rPr>
          <w:rFonts w:ascii="Times New Roman" w:hAnsi="Times New Roman" w:cs="Times New Roman"/>
          <w:sz w:val="24"/>
          <w:szCs w:val="24"/>
        </w:rPr>
        <w:t xml:space="preserve"> in the immediate nailing group.</w:t>
      </w:r>
    </w:p>
    <w:p w:rsidR="0029072B" w:rsidRDefault="0029072B" w:rsidP="0029072B">
      <w:pPr>
        <w:spacing w:line="480" w:lineRule="auto"/>
        <w:jc w:val="both"/>
        <w:rPr>
          <w:rFonts w:ascii="Times New Roman" w:hAnsi="Times New Roman" w:cs="Times New Roman"/>
          <w:sz w:val="24"/>
          <w:szCs w:val="24"/>
        </w:rPr>
      </w:pPr>
    </w:p>
    <w:p w:rsidR="0029072B" w:rsidRPr="009E0134" w:rsidRDefault="0029072B" w:rsidP="0029072B">
      <w:pPr>
        <w:spacing w:line="480" w:lineRule="auto"/>
        <w:jc w:val="both"/>
        <w:rPr>
          <w:rFonts w:ascii="Times New Roman" w:hAnsi="Times New Roman" w:cs="Times New Roman"/>
          <w:b/>
          <w:sz w:val="24"/>
          <w:szCs w:val="24"/>
        </w:rPr>
      </w:pPr>
      <w:proofErr w:type="gramStart"/>
      <w:r w:rsidRPr="00770480">
        <w:rPr>
          <w:rFonts w:ascii="Times New Roman" w:hAnsi="Times New Roman" w:cs="Times New Roman"/>
          <w:b/>
          <w:bCs/>
          <w:sz w:val="24"/>
          <w:szCs w:val="24"/>
        </w:rPr>
        <w:t>Keywords</w:t>
      </w:r>
      <w:r>
        <w:rPr>
          <w:rFonts w:ascii="Times New Roman" w:hAnsi="Times New Roman" w:cs="Times New Roman"/>
          <w:sz w:val="24"/>
          <w:szCs w:val="24"/>
        </w:rPr>
        <w:t xml:space="preserve"> :Unreamed</w:t>
      </w:r>
      <w:proofErr w:type="gramEnd"/>
      <w:r>
        <w:rPr>
          <w:rFonts w:ascii="Times New Roman" w:hAnsi="Times New Roman" w:cs="Times New Roman"/>
          <w:sz w:val="24"/>
          <w:szCs w:val="24"/>
        </w:rPr>
        <w:t xml:space="preserve"> nailing, External Fixation, Compound Fracture </w:t>
      </w:r>
      <w:r w:rsidRPr="009E0134">
        <w:rPr>
          <w:rFonts w:ascii="Times New Roman" w:hAnsi="Times New Roman" w:cs="Times New Roman"/>
          <w:sz w:val="24"/>
          <w:szCs w:val="24"/>
        </w:rPr>
        <w:t>.</w:t>
      </w:r>
    </w:p>
    <w:p w:rsidR="0029072B"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9E0134">
        <w:rPr>
          <w:rFonts w:ascii="Times New Roman" w:hAnsi="Times New Roman" w:cs="Times New Roman"/>
          <w:sz w:val="24"/>
          <w:szCs w:val="24"/>
        </w:rPr>
        <w:t>or Correspondence –</w:t>
      </w:r>
    </w:p>
    <w:p w:rsidR="0029072B" w:rsidRDefault="0029072B" w:rsidP="0029072B">
      <w:pPr>
        <w:spacing w:line="240" w:lineRule="auto"/>
        <w:jc w:val="both"/>
        <w:rPr>
          <w:rFonts w:ascii="Times New Roman" w:hAnsi="Times New Roman" w:cs="Times New Roman"/>
          <w:sz w:val="24"/>
          <w:szCs w:val="24"/>
        </w:rPr>
      </w:pPr>
      <w:r w:rsidRPr="009E0134">
        <w:rPr>
          <w:rFonts w:ascii="Times New Roman" w:hAnsi="Times New Roman" w:cs="Times New Roman"/>
          <w:sz w:val="24"/>
          <w:szCs w:val="24"/>
        </w:rPr>
        <w:t>Dr</w:t>
      </w:r>
      <w:r>
        <w:rPr>
          <w:rFonts w:ascii="Times New Roman" w:hAnsi="Times New Roman" w:cs="Times New Roman"/>
          <w:sz w:val="24"/>
          <w:szCs w:val="24"/>
        </w:rPr>
        <w:t xml:space="preserve">.Chinmoy </w:t>
      </w:r>
      <w:proofErr w:type="gramStart"/>
      <w:r>
        <w:rPr>
          <w:rFonts w:ascii="Times New Roman" w:hAnsi="Times New Roman" w:cs="Times New Roman"/>
          <w:sz w:val="24"/>
          <w:szCs w:val="24"/>
        </w:rPr>
        <w:t>Das  Associate</w:t>
      </w:r>
      <w:proofErr w:type="gramEnd"/>
      <w:r>
        <w:rPr>
          <w:rFonts w:ascii="Times New Roman" w:hAnsi="Times New Roman" w:cs="Times New Roman"/>
          <w:sz w:val="24"/>
          <w:szCs w:val="24"/>
        </w:rPr>
        <w:t xml:space="preserve"> Professor Of Orthoaedics, Tejpur Medical College And Hosital, Tejpur. Ph: 9435043908</w:t>
      </w:r>
      <w:proofErr w:type="gramStart"/>
      <w:r>
        <w:rPr>
          <w:rFonts w:ascii="Times New Roman" w:hAnsi="Times New Roman" w:cs="Times New Roman"/>
          <w:sz w:val="24"/>
          <w:szCs w:val="24"/>
        </w:rPr>
        <w:t>,  e.mail</w:t>
      </w:r>
      <w:proofErr w:type="gramEnd"/>
      <w:r>
        <w:rPr>
          <w:rFonts w:ascii="Times New Roman" w:hAnsi="Times New Roman" w:cs="Times New Roman"/>
          <w:sz w:val="24"/>
          <w:szCs w:val="24"/>
        </w:rPr>
        <w:t xml:space="preserve"> : </w:t>
      </w:r>
      <w:hyperlink r:id="rId6" w:history="1">
        <w:r w:rsidRPr="00874869">
          <w:rPr>
            <w:rStyle w:val="Hyperlink"/>
            <w:rFonts w:ascii="Times New Roman" w:hAnsi="Times New Roman" w:cs="Times New Roman"/>
            <w:sz w:val="24"/>
            <w:szCs w:val="24"/>
          </w:rPr>
          <w:t>drchinmoydas@yahoo.com</w:t>
        </w:r>
      </w:hyperlink>
      <w:r>
        <w:rPr>
          <w:rFonts w:ascii="Times New Roman" w:hAnsi="Times New Roman" w:cs="Times New Roman"/>
          <w:sz w:val="24"/>
          <w:szCs w:val="24"/>
        </w:rPr>
        <w:t>.</w:t>
      </w:r>
    </w:p>
    <w:p w:rsidR="0029072B" w:rsidRPr="009E0134" w:rsidRDefault="0029072B" w:rsidP="0029072B">
      <w:pPr>
        <w:spacing w:line="240" w:lineRule="auto"/>
        <w:jc w:val="both"/>
        <w:rPr>
          <w:rFonts w:ascii="Times New Roman" w:hAnsi="Times New Roman" w:cs="Times New Roman"/>
          <w:sz w:val="24"/>
          <w:szCs w:val="24"/>
        </w:rPr>
      </w:pPr>
      <w:r>
        <w:rPr>
          <w:rFonts w:ascii="Times New Roman" w:hAnsi="Times New Roman" w:cs="Times New Roman"/>
          <w:sz w:val="20"/>
          <w:szCs w:val="24"/>
        </w:rPr>
        <w:t>Dr.</w:t>
      </w:r>
      <w:r w:rsidRPr="009E0134">
        <w:rPr>
          <w:rFonts w:ascii="Times New Roman" w:hAnsi="Times New Roman" w:cs="Times New Roman"/>
          <w:sz w:val="24"/>
          <w:szCs w:val="24"/>
        </w:rPr>
        <w:t xml:space="preserve">Jyoti </w:t>
      </w:r>
      <w:proofErr w:type="gramStart"/>
      <w:r w:rsidRPr="009E0134">
        <w:rPr>
          <w:rFonts w:ascii="Times New Roman" w:hAnsi="Times New Roman" w:cs="Times New Roman"/>
          <w:sz w:val="24"/>
          <w:szCs w:val="24"/>
        </w:rPr>
        <w:t>Prakash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MS ( ortho )</w:t>
      </w:r>
      <w:r w:rsidRPr="009E0134">
        <w:rPr>
          <w:rFonts w:ascii="Times New Roman" w:hAnsi="Times New Roman" w:cs="Times New Roman"/>
          <w:sz w:val="24"/>
          <w:szCs w:val="24"/>
        </w:rPr>
        <w:t>,</w:t>
      </w:r>
      <w:r>
        <w:rPr>
          <w:rFonts w:ascii="Times New Roman" w:hAnsi="Times New Roman" w:cs="Times New Roman"/>
          <w:sz w:val="24"/>
          <w:szCs w:val="24"/>
        </w:rPr>
        <w:t xml:space="preserve"> SR, Dept. Of Orthopaedics, ESIPGIMSER, 54 Baghmari Road, Manicktala, Kolkata</w:t>
      </w:r>
      <w:proofErr w:type="gramStart"/>
      <w:r>
        <w:rPr>
          <w:rFonts w:ascii="Times New Roman" w:hAnsi="Times New Roman" w:cs="Times New Roman"/>
          <w:sz w:val="24"/>
          <w:szCs w:val="24"/>
        </w:rPr>
        <w:t>,54.Ph</w:t>
      </w:r>
      <w:proofErr w:type="gramEnd"/>
      <w:r>
        <w:rPr>
          <w:rFonts w:ascii="Times New Roman" w:hAnsi="Times New Roman" w:cs="Times New Roman"/>
          <w:sz w:val="24"/>
          <w:szCs w:val="24"/>
        </w:rPr>
        <w:t xml:space="preserve"> : 08697653161 e.mail – prakash_jyoti31@yahoo.com</w:t>
      </w:r>
    </w:p>
    <w:p w:rsidR="0029072B" w:rsidRDefault="0029072B" w:rsidP="0029072B">
      <w:pPr>
        <w:jc w:val="both"/>
        <w:rPr>
          <w:rFonts w:ascii="Times New Roman" w:hAnsi="Times New Roman" w:cs="Times New Roman"/>
          <w:b/>
          <w:bCs/>
          <w:sz w:val="24"/>
          <w:szCs w:val="24"/>
        </w:rPr>
      </w:pPr>
    </w:p>
    <w:p w:rsidR="0029072B" w:rsidRDefault="0029072B" w:rsidP="0029072B">
      <w:pPr>
        <w:jc w:val="both"/>
        <w:rPr>
          <w:rFonts w:ascii="Times New Roman" w:hAnsi="Times New Roman" w:cs="Times New Roman"/>
          <w:b/>
          <w:bCs/>
          <w:sz w:val="24"/>
          <w:szCs w:val="24"/>
        </w:rPr>
      </w:pPr>
    </w:p>
    <w:p w:rsidR="0029072B" w:rsidRDefault="0029072B" w:rsidP="0029072B">
      <w:pPr>
        <w:jc w:val="both"/>
        <w:rPr>
          <w:rFonts w:ascii="Times New Roman" w:hAnsi="Times New Roman" w:cs="Times New Roman"/>
          <w:b/>
          <w:bCs/>
          <w:sz w:val="24"/>
          <w:szCs w:val="24"/>
        </w:rPr>
      </w:pPr>
    </w:p>
    <w:p w:rsidR="0029072B" w:rsidRDefault="0029072B" w:rsidP="0029072B">
      <w:pPr>
        <w:jc w:val="both"/>
        <w:rPr>
          <w:rFonts w:ascii="Times New Roman" w:hAnsi="Times New Roman" w:cs="Times New Roman"/>
          <w:b/>
          <w:bCs/>
          <w:sz w:val="24"/>
          <w:szCs w:val="24"/>
        </w:rPr>
      </w:pPr>
    </w:p>
    <w:p w:rsidR="0029072B" w:rsidRPr="009E0134" w:rsidRDefault="0029072B" w:rsidP="0029072B">
      <w:pPr>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Introduction :</w:t>
      </w:r>
      <w:proofErr w:type="gramEnd"/>
    </w:p>
    <w:p w:rsidR="0029072B" w:rsidRPr="00662768" w:rsidRDefault="0029072B" w:rsidP="0029072B">
      <w:pPr>
        <w:spacing w:line="480" w:lineRule="auto"/>
        <w:jc w:val="both"/>
        <w:rPr>
          <w:rFonts w:ascii="Times New Roman" w:hAnsi="Times New Roman" w:cs="Times New Roman"/>
        </w:rPr>
      </w:pPr>
      <w:r w:rsidRPr="00662768">
        <w:rPr>
          <w:rFonts w:ascii="Times New Roman" w:hAnsi="Times New Roman" w:cs="Times New Roman"/>
        </w:rPr>
        <w:t>Evidence favours the use of interlocking nails in fixation of fractures of Tibia. Less duration of hospital stay, early mobilization and better functional outcome are the potential advantages of this technique which impart edges over others .However  subcutaneous location and poor soft tissue coverage leads to frequent occurrence of open fractures and  poor vascularity adds on delayed union, nonunion and infection.</w:t>
      </w:r>
      <w:r w:rsidRPr="00662768">
        <w:rPr>
          <w:rFonts w:ascii="Times New Roman" w:hAnsi="Times New Roman" w:cs="Times New Roman"/>
        </w:rPr>
        <w:tab/>
        <w:t>All these factors make the management of Tibial diaphyseal fractures not only difficult but also of particular interest to orthopaedic surgeons. Principle of management of these surgical emergencies imbibes the functional preservation with aggressive wound debridement, definitive fracture stabilization with internal or external fixation and delayed wound closure</w:t>
      </w:r>
      <w:r w:rsidRPr="00662768">
        <w:rPr>
          <w:rFonts w:ascii="Times New Roman" w:hAnsi="Times New Roman" w:cs="Times New Roman"/>
          <w:vertAlign w:val="superscript"/>
        </w:rPr>
        <w:t>1</w:t>
      </w:r>
      <w:proofErr w:type="gramStart"/>
      <w:r w:rsidRPr="00662768">
        <w:rPr>
          <w:rFonts w:ascii="Times New Roman" w:hAnsi="Times New Roman" w:cs="Times New Roman"/>
          <w:vertAlign w:val="superscript"/>
        </w:rPr>
        <w:t>.</w:t>
      </w:r>
      <w:r w:rsidRPr="00662768">
        <w:rPr>
          <w:rFonts w:ascii="Times New Roman" w:hAnsi="Times New Roman" w:cs="Times New Roman"/>
          <w:b/>
        </w:rPr>
        <w:t>.</w:t>
      </w:r>
      <w:proofErr w:type="gramEnd"/>
      <w:r>
        <w:rPr>
          <w:rFonts w:ascii="Times New Roman" w:hAnsi="Times New Roman" w:cs="Times New Roman"/>
          <w:b/>
        </w:rPr>
        <w:t xml:space="preserve"> </w:t>
      </w:r>
      <w:r w:rsidRPr="00662768">
        <w:rPr>
          <w:rFonts w:ascii="Times New Roman" w:hAnsi="Times New Roman" w:cs="Times New Roman"/>
        </w:rPr>
        <w:t>With this background, we undertook this Randomized control trial with Grade IIIA and IIIB open fractures of the diaphysis of the tibia, who were treated with either immediate un-reamed tibial interlocking nail(here after immediate nailing) or external fixator followed by un-reamed tibial interlocking nail (here after delayed nailing</w:t>
      </w:r>
      <w:r>
        <w:rPr>
          <w:rFonts w:ascii="Times New Roman" w:hAnsi="Times New Roman" w:cs="Times New Roman"/>
        </w:rPr>
        <w:t xml:space="preserve">). </w:t>
      </w:r>
      <w:r w:rsidRPr="00662768">
        <w:rPr>
          <w:rFonts w:ascii="Times New Roman" w:hAnsi="Times New Roman" w:cs="Times New Roman"/>
        </w:rPr>
        <w:t xml:space="preserve">Sincere efforts were made to evaluate the effect of these treatment modalities in tibial diaphyseal fractures with regards to treatment outcomes such as union </w:t>
      </w:r>
      <w:proofErr w:type="gramStart"/>
      <w:r w:rsidRPr="00662768">
        <w:rPr>
          <w:rFonts w:ascii="Times New Roman" w:hAnsi="Times New Roman" w:cs="Times New Roman"/>
        </w:rPr>
        <w:t>time ,</w:t>
      </w:r>
      <w:proofErr w:type="gramEnd"/>
      <w:r w:rsidRPr="00662768">
        <w:rPr>
          <w:rFonts w:ascii="Times New Roman" w:hAnsi="Times New Roman" w:cs="Times New Roman"/>
        </w:rPr>
        <w:t xml:space="preserve"> r</w:t>
      </w:r>
      <w:r>
        <w:rPr>
          <w:rFonts w:ascii="Times New Roman" w:hAnsi="Times New Roman" w:cs="Times New Roman"/>
        </w:rPr>
        <w:t>ate and functional results as pe</w:t>
      </w:r>
      <w:r w:rsidRPr="00662768">
        <w:rPr>
          <w:rFonts w:ascii="Times New Roman" w:hAnsi="Times New Roman" w:cs="Times New Roman"/>
        </w:rPr>
        <w:t>r defined outcome variables. We hope that this work would throw some light on this controversial and resource consuming problem as well as its management in our setup.</w:t>
      </w:r>
    </w:p>
    <w:p w:rsidR="0029072B" w:rsidRPr="009E0134" w:rsidRDefault="0029072B" w:rsidP="0029072B">
      <w:pPr>
        <w:jc w:val="both"/>
        <w:rPr>
          <w:rFonts w:ascii="Times New Roman" w:hAnsi="Times New Roman" w:cs="Times New Roman"/>
          <w:b/>
          <w:bCs/>
          <w:sz w:val="24"/>
          <w:szCs w:val="24"/>
        </w:rPr>
      </w:pPr>
      <w:r w:rsidRPr="009E0134">
        <w:rPr>
          <w:rFonts w:ascii="Times New Roman" w:hAnsi="Times New Roman" w:cs="Times New Roman"/>
          <w:b/>
          <w:bCs/>
          <w:sz w:val="24"/>
          <w:szCs w:val="24"/>
        </w:rPr>
        <w:t xml:space="preserve"> Method </w:t>
      </w:r>
    </w:p>
    <w:p w:rsidR="0029072B" w:rsidRDefault="0029072B" w:rsidP="0029072B">
      <w:pPr>
        <w:spacing w:line="480" w:lineRule="auto"/>
        <w:jc w:val="both"/>
        <w:rPr>
          <w:rFonts w:ascii="Times New Roman" w:hAnsi="Times New Roman" w:cs="Times New Roman"/>
        </w:rPr>
      </w:pPr>
      <w:r w:rsidRPr="00662768">
        <w:rPr>
          <w:rFonts w:ascii="Times New Roman" w:hAnsi="Times New Roman" w:cs="Times New Roman"/>
        </w:rPr>
        <w:t xml:space="preserve">Present study was conducted at department of Orthopaedics, Gauhati Medical College and Hospital, Guwahati from July 2012 to September 2013. 52 skeletally mature patients suffering from Tibial diaphyseal fractures were selected for the study and well informed written consent was taken. Only those patients who had valid consent, age &gt;18 years, open grade </w:t>
      </w:r>
      <w:r>
        <w:rPr>
          <w:rFonts w:ascii="Times New Roman" w:hAnsi="Times New Roman" w:cs="Times New Roman"/>
        </w:rPr>
        <w:t>IIIA&amp; IIIB open T</w:t>
      </w:r>
      <w:r w:rsidRPr="00662768">
        <w:rPr>
          <w:rFonts w:ascii="Times New Roman" w:hAnsi="Times New Roman" w:cs="Times New Roman"/>
        </w:rPr>
        <w:t>ibial diaphyseal</w:t>
      </w:r>
      <w:r>
        <w:rPr>
          <w:rFonts w:ascii="Times New Roman" w:hAnsi="Times New Roman" w:cs="Times New Roman"/>
        </w:rPr>
        <w:t xml:space="preserve"> </w:t>
      </w:r>
      <w:r w:rsidRPr="00662768">
        <w:rPr>
          <w:rFonts w:ascii="Times New Roman" w:hAnsi="Times New Roman" w:cs="Times New Roman"/>
        </w:rPr>
        <w:t>fractures (4 cm distal to tibial tuberosity and 4 cm proximal to ankle joint</w:t>
      </w:r>
      <w:proofErr w:type="gramStart"/>
      <w:r w:rsidRPr="00662768">
        <w:rPr>
          <w:rFonts w:ascii="Times New Roman" w:hAnsi="Times New Roman" w:cs="Times New Roman"/>
        </w:rPr>
        <w:t>) ,</w:t>
      </w:r>
      <w:proofErr w:type="gramEnd"/>
      <w:r w:rsidRPr="00662768">
        <w:rPr>
          <w:rFonts w:ascii="Times New Roman" w:hAnsi="Times New Roman" w:cs="Times New Roman"/>
        </w:rPr>
        <w:t xml:space="preserve"> duration of injury &lt;24 Hrs, competent neurological and vascular status of the affected limb, ipsilateral hip, knee, ankle and contralateral lower limb in functionally good enough so as not to exert a serious adverse effect on the rehabilitation process</w:t>
      </w:r>
      <w:r>
        <w:rPr>
          <w:rFonts w:ascii="Times New Roman" w:hAnsi="Times New Roman" w:cs="Times New Roman"/>
        </w:rPr>
        <w:t xml:space="preserve"> </w:t>
      </w:r>
      <w:r w:rsidRPr="00662768">
        <w:rPr>
          <w:rFonts w:ascii="Times New Roman" w:hAnsi="Times New Roman" w:cs="Times New Roman"/>
        </w:rPr>
        <w:t>were included in the study.</w:t>
      </w:r>
      <w:r>
        <w:rPr>
          <w:rFonts w:ascii="Times New Roman" w:hAnsi="Times New Roman" w:cs="Times New Roman"/>
        </w:rPr>
        <w:t xml:space="preserve"> </w:t>
      </w:r>
      <w:r w:rsidRPr="00662768">
        <w:rPr>
          <w:rFonts w:ascii="Times New Roman" w:hAnsi="Times New Roman" w:cs="Times New Roman"/>
        </w:rPr>
        <w:t>Initial care and work up of the patient was done regarding pre-operative preparation, antibiotic</w:t>
      </w:r>
      <w:r>
        <w:rPr>
          <w:rFonts w:ascii="Times New Roman" w:hAnsi="Times New Roman" w:cs="Times New Roman"/>
        </w:rPr>
        <w:t>s</w:t>
      </w:r>
      <w:r w:rsidRPr="00662768">
        <w:rPr>
          <w:rFonts w:ascii="Times New Roman" w:hAnsi="Times New Roman" w:cs="Times New Roman"/>
        </w:rPr>
        <w:t xml:space="preserve"> and anaesthesia.</w:t>
      </w:r>
      <w:r>
        <w:rPr>
          <w:rFonts w:ascii="Times New Roman" w:hAnsi="Times New Roman" w:cs="Times New Roman"/>
        </w:rPr>
        <w:t xml:space="preserve"> </w:t>
      </w:r>
      <w:r w:rsidRPr="00662768">
        <w:rPr>
          <w:rFonts w:ascii="Times New Roman" w:hAnsi="Times New Roman" w:cs="Times New Roman"/>
        </w:rPr>
        <w:t>A</w:t>
      </w:r>
      <w:r>
        <w:rPr>
          <w:rFonts w:ascii="Times New Roman" w:hAnsi="Times New Roman" w:cs="Times New Roman"/>
        </w:rPr>
        <w:t xml:space="preserve">ll </w:t>
      </w:r>
      <w:proofErr w:type="gramStart"/>
      <w:r>
        <w:rPr>
          <w:rFonts w:ascii="Times New Roman" w:hAnsi="Times New Roman" w:cs="Times New Roman"/>
        </w:rPr>
        <w:t>patient</w:t>
      </w:r>
      <w:proofErr w:type="gramEnd"/>
      <w:r>
        <w:rPr>
          <w:rFonts w:ascii="Times New Roman" w:hAnsi="Times New Roman" w:cs="Times New Roman"/>
        </w:rPr>
        <w:t xml:space="preserve"> received analgesic, T</w:t>
      </w:r>
      <w:r w:rsidRPr="00662768">
        <w:rPr>
          <w:rFonts w:ascii="Times New Roman" w:hAnsi="Times New Roman" w:cs="Times New Roman"/>
        </w:rPr>
        <w:t>etglob 500 I.U</w:t>
      </w:r>
      <w:r>
        <w:rPr>
          <w:rFonts w:ascii="Times New Roman" w:hAnsi="Times New Roman" w:cs="Times New Roman"/>
        </w:rPr>
        <w:t>.</w:t>
      </w:r>
      <w:r w:rsidRPr="00662768">
        <w:rPr>
          <w:rFonts w:ascii="Times New Roman" w:hAnsi="Times New Roman" w:cs="Times New Roman"/>
        </w:rPr>
        <w:t xml:space="preserve"> &amp; IV antibiotics. </w:t>
      </w:r>
      <w:r w:rsidRPr="00662768">
        <w:rPr>
          <w:rFonts w:ascii="Times New Roman" w:hAnsi="Times New Roman" w:cs="Times New Roman"/>
        </w:rPr>
        <w:lastRenderedPageBreak/>
        <w:t>Patients were taken into operation theatre for emergency irrigation with normal saline and debridement of open fracture. Swab was taken from wound and was sent for culture and sensitivity. Fracture stabilization was done as per randomization plan either as solid intramedullary locking nail or external fixator. 13 fractures of type IIIA &amp;13 of IIIB were fixed with immediate solid nail while</w:t>
      </w:r>
      <w:r>
        <w:rPr>
          <w:rFonts w:ascii="Times New Roman" w:hAnsi="Times New Roman" w:cs="Times New Roman"/>
        </w:rPr>
        <w:t>, 12</w:t>
      </w:r>
      <w:r w:rsidRPr="00662768">
        <w:rPr>
          <w:rFonts w:ascii="Times New Roman" w:hAnsi="Times New Roman" w:cs="Times New Roman"/>
        </w:rPr>
        <w:t>&amp; 14 no of cases were stabilized with external fixation which later on was converted to intramedullary lock nail after wound healing.</w:t>
      </w:r>
      <w:r>
        <w:rPr>
          <w:rFonts w:ascii="Times New Roman" w:hAnsi="Times New Roman" w:cs="Times New Roman"/>
        </w:rPr>
        <w:t xml:space="preserve"> </w:t>
      </w:r>
      <w:r w:rsidRPr="00662768">
        <w:rPr>
          <w:rFonts w:ascii="Times New Roman" w:hAnsi="Times New Roman" w:cs="Times New Roman"/>
        </w:rPr>
        <w:t>A severity of the open fractures determined the subsequent wound care and antibiotic treatment .Wounds were dealt with help of plastic surgeon.</w:t>
      </w:r>
      <w:r>
        <w:rPr>
          <w:rFonts w:ascii="Times New Roman" w:hAnsi="Times New Roman" w:cs="Times New Roman"/>
        </w:rPr>
        <w:t xml:space="preserve"> </w:t>
      </w:r>
      <w:r w:rsidRPr="00662768">
        <w:rPr>
          <w:rFonts w:ascii="Times New Roman" w:hAnsi="Times New Roman" w:cs="Times New Roman"/>
        </w:rPr>
        <w:t>If the wound was clean and we were satisfied with our debridement primary closure was done without putting skin under tension. If the viability was of doubtful</w:t>
      </w:r>
      <w:r>
        <w:rPr>
          <w:rFonts w:ascii="Times New Roman" w:hAnsi="Times New Roman" w:cs="Times New Roman"/>
        </w:rPr>
        <w:t>,</w:t>
      </w:r>
      <w:r w:rsidRPr="00662768">
        <w:rPr>
          <w:rFonts w:ascii="Times New Roman" w:hAnsi="Times New Roman" w:cs="Times New Roman"/>
        </w:rPr>
        <w:t xml:space="preserve"> second look after 24 hrs. </w:t>
      </w:r>
      <w:proofErr w:type="gramStart"/>
      <w:r w:rsidRPr="00662768">
        <w:rPr>
          <w:rFonts w:ascii="Times New Roman" w:hAnsi="Times New Roman" w:cs="Times New Roman"/>
        </w:rPr>
        <w:t>was</w:t>
      </w:r>
      <w:proofErr w:type="gramEnd"/>
      <w:r w:rsidRPr="00662768">
        <w:rPr>
          <w:rFonts w:ascii="Times New Roman" w:hAnsi="Times New Roman" w:cs="Times New Roman"/>
        </w:rPr>
        <w:t xml:space="preserve"> done. Patients were taken up for repeat debridement till satisfaction. Early closure (n= 5 &amp;5 in open grade IIIA, &amp; IIIB respectively) of wound was defined when performed within 72 hrs.</w:t>
      </w:r>
      <w:r>
        <w:rPr>
          <w:rFonts w:ascii="Times New Roman" w:hAnsi="Times New Roman" w:cs="Times New Roman"/>
        </w:rPr>
        <w:t xml:space="preserve"> </w:t>
      </w:r>
      <w:proofErr w:type="gramStart"/>
      <w:r w:rsidRPr="00662768">
        <w:rPr>
          <w:rFonts w:ascii="Times New Roman" w:hAnsi="Times New Roman" w:cs="Times New Roman"/>
        </w:rPr>
        <w:t>while</w:t>
      </w:r>
      <w:proofErr w:type="gramEnd"/>
      <w:r w:rsidRPr="00662768">
        <w:rPr>
          <w:rFonts w:ascii="Times New Roman" w:hAnsi="Times New Roman" w:cs="Times New Roman"/>
        </w:rPr>
        <w:t xml:space="preserve"> late (n= 10, 06</w:t>
      </w:r>
      <w:r>
        <w:rPr>
          <w:rFonts w:ascii="Times New Roman" w:hAnsi="Times New Roman" w:cs="Times New Roman"/>
        </w:rPr>
        <w:t xml:space="preserve"> each in</w:t>
      </w:r>
      <w:r w:rsidRPr="00662768">
        <w:rPr>
          <w:rFonts w:ascii="Times New Roman" w:hAnsi="Times New Roman" w:cs="Times New Roman"/>
        </w:rPr>
        <w:t xml:space="preserve"> open grade IIIA, &amp; IIIB) in immediate nailing group.</w:t>
      </w:r>
      <w:r>
        <w:rPr>
          <w:rFonts w:ascii="Times New Roman" w:hAnsi="Times New Roman" w:cs="Times New Roman"/>
        </w:rPr>
        <w:t xml:space="preserve"> </w:t>
      </w:r>
      <w:r w:rsidRPr="00662768">
        <w:rPr>
          <w:rFonts w:ascii="Times New Roman" w:hAnsi="Times New Roman" w:cs="Times New Roman"/>
        </w:rPr>
        <w:t>In delayed nailing group wound closure were done either primary closure</w:t>
      </w:r>
      <w:proofErr w:type="gramStart"/>
      <w:r w:rsidRPr="00662768">
        <w:rPr>
          <w:rFonts w:ascii="Times New Roman" w:hAnsi="Times New Roman" w:cs="Times New Roman"/>
        </w:rPr>
        <w:t>,  split</w:t>
      </w:r>
      <w:proofErr w:type="gramEnd"/>
      <w:r w:rsidRPr="00662768">
        <w:rPr>
          <w:rFonts w:ascii="Times New Roman" w:hAnsi="Times New Roman" w:cs="Times New Roman"/>
        </w:rPr>
        <w:t xml:space="preserve"> skin graft(SSG) ,  fasciocutaneous flap, free flap or delayed primary closure.. Standard post-operative protocol was done with early mobilization in bot</w:t>
      </w:r>
      <w:r>
        <w:rPr>
          <w:rFonts w:ascii="Times New Roman" w:hAnsi="Times New Roman" w:cs="Times New Roman"/>
        </w:rPr>
        <w:t xml:space="preserve">h group and follow up as </w:t>
      </w:r>
      <w:proofErr w:type="gramStart"/>
      <w:r>
        <w:rPr>
          <w:rFonts w:ascii="Times New Roman" w:hAnsi="Times New Roman" w:cs="Times New Roman"/>
        </w:rPr>
        <w:t xml:space="preserve">per </w:t>
      </w:r>
      <w:r w:rsidRPr="00662768">
        <w:rPr>
          <w:rFonts w:ascii="Times New Roman" w:hAnsi="Times New Roman" w:cs="Times New Roman"/>
        </w:rPr>
        <w:t xml:space="preserve"> protocol</w:t>
      </w:r>
      <w:proofErr w:type="gramEnd"/>
      <w:r w:rsidRPr="00662768">
        <w:rPr>
          <w:rFonts w:ascii="Times New Roman" w:hAnsi="Times New Roman" w:cs="Times New Roman"/>
        </w:rPr>
        <w:t>.</w:t>
      </w:r>
      <w:r>
        <w:rPr>
          <w:rFonts w:ascii="Times New Roman" w:hAnsi="Times New Roman" w:cs="Times New Roman"/>
        </w:rPr>
        <w:t xml:space="preserve"> </w:t>
      </w:r>
      <w:r w:rsidRPr="00662768">
        <w:rPr>
          <w:rFonts w:ascii="Times New Roman" w:hAnsi="Times New Roman" w:cs="Times New Roman"/>
          <w:bCs/>
        </w:rPr>
        <w:t xml:space="preserve">Criteria for </w:t>
      </w:r>
      <w:r w:rsidRPr="00662768">
        <w:rPr>
          <w:rFonts w:ascii="Times New Roman" w:hAnsi="Times New Roman" w:cs="Times New Roman"/>
        </w:rPr>
        <w:t>Union at fracture site was defined as bridging callus in a minimum of three cortices on anteroposterior and lateral radiographs combined with a lack of tenderness at the fracture site or unassisted weight bearing.</w:t>
      </w:r>
      <w:r>
        <w:rPr>
          <w:rFonts w:ascii="Times New Roman" w:hAnsi="Times New Roman" w:cs="Times New Roman"/>
        </w:rPr>
        <w:t xml:space="preserve"> </w:t>
      </w:r>
      <w:r w:rsidRPr="00662768">
        <w:rPr>
          <w:rFonts w:ascii="Times New Roman" w:hAnsi="Times New Roman" w:cs="Times New Roman"/>
        </w:rPr>
        <w:t>Delayed union was defined when the fracture did not show any signs of healing for 2 months even after dynamisation was performed along with clinical symptoms like pain and difficulty on bearing weight (Bhandari et al 2009)</w:t>
      </w:r>
      <w:r w:rsidRPr="00662768">
        <w:rPr>
          <w:rFonts w:ascii="Times New Roman" w:hAnsi="Times New Roman" w:cs="Times New Roman"/>
          <w:b/>
          <w:vertAlign w:val="superscript"/>
        </w:rPr>
        <w:t>1</w:t>
      </w:r>
      <w:r w:rsidRPr="00662768">
        <w:rPr>
          <w:rFonts w:ascii="Times New Roman" w:hAnsi="Times New Roman" w:cs="Times New Roman"/>
          <w:b/>
          <w:highlight w:val="yellow"/>
          <w:vertAlign w:val="superscript"/>
        </w:rPr>
        <w:t>2</w:t>
      </w:r>
      <w:r w:rsidRPr="00662768">
        <w:rPr>
          <w:rFonts w:ascii="Times New Roman" w:hAnsi="Times New Roman" w:cs="Times New Roman"/>
        </w:rPr>
        <w:t>.Nonunion was defined when 9 months had passed after the surgery and no progressive signs of union were seen for 3 consecutive months.</w:t>
      </w:r>
      <w:r>
        <w:rPr>
          <w:rFonts w:ascii="Times New Roman" w:hAnsi="Times New Roman" w:cs="Times New Roman"/>
        </w:rPr>
        <w:t xml:space="preserve"> </w:t>
      </w:r>
      <w:r w:rsidRPr="00662768">
        <w:rPr>
          <w:rFonts w:ascii="Times New Roman" w:hAnsi="Times New Roman" w:cs="Times New Roman"/>
        </w:rPr>
        <w:t>The functional results were evaluated using the Johner and Wruh criteria (1983). Statistical analysis was done using suitable bio-statistical technique on each variable in the same patient and between two treatment groups. Statistical screening of treatment effect was measured by relative risk reduction, absolute risk reduction with adjustment for a small sample size and confounders in the study. Paired t test and other appropriate tests were applied to check for presence of significant difference in outcome variable in two groups. The software Instat Graph pad was used in the analysis. P</w:t>
      </w:r>
      <w:r>
        <w:rPr>
          <w:rFonts w:ascii="Times New Roman" w:hAnsi="Times New Roman" w:cs="Times New Roman"/>
        </w:rPr>
        <w:t xml:space="preserve"> </w:t>
      </w:r>
      <w:r w:rsidRPr="00662768">
        <w:rPr>
          <w:rFonts w:ascii="Times New Roman" w:hAnsi="Times New Roman" w:cs="Times New Roman"/>
        </w:rPr>
        <w:t>value less than 0.5 was considered to be significant.</w:t>
      </w:r>
    </w:p>
    <w:p w:rsidR="0029072B" w:rsidRDefault="0029072B" w:rsidP="0029072B">
      <w:pPr>
        <w:spacing w:line="480" w:lineRule="auto"/>
        <w:jc w:val="both"/>
        <w:rPr>
          <w:rFonts w:ascii="Times New Roman" w:hAnsi="Times New Roman" w:cs="Times New Roman"/>
          <w:sz w:val="24"/>
          <w:szCs w:val="24"/>
        </w:rPr>
      </w:pPr>
      <w:r w:rsidRPr="009E0134">
        <w:rPr>
          <w:rFonts w:ascii="Times New Roman" w:hAnsi="Times New Roman" w:cs="Times New Roman"/>
          <w:b/>
          <w:bCs/>
          <w:sz w:val="24"/>
          <w:szCs w:val="24"/>
        </w:rPr>
        <w:lastRenderedPageBreak/>
        <w:t>Results</w:t>
      </w:r>
      <w:r w:rsidRPr="009E0134">
        <w:rPr>
          <w:rFonts w:ascii="Times New Roman" w:hAnsi="Times New Roman" w:cs="Times New Roman"/>
          <w:sz w:val="24"/>
          <w:szCs w:val="24"/>
        </w:rPr>
        <w:t>:</w:t>
      </w:r>
      <w:r>
        <w:rPr>
          <w:rFonts w:ascii="Times New Roman" w:hAnsi="Times New Roman" w:cs="Times New Roman"/>
          <w:sz w:val="24"/>
          <w:szCs w:val="24"/>
        </w:rPr>
        <w:t xml:space="preserve"> </w:t>
      </w:r>
      <w:r w:rsidRPr="00E401E2">
        <w:rPr>
          <w:rFonts w:ascii="Times New Roman" w:hAnsi="Times New Roman" w:cs="Times New Roman"/>
          <w:sz w:val="24"/>
          <w:szCs w:val="24"/>
        </w:rPr>
        <w:t xml:space="preserve">In our study the youngest patient was </w:t>
      </w:r>
      <w:r>
        <w:rPr>
          <w:rFonts w:ascii="Times New Roman" w:hAnsi="Times New Roman" w:cs="Times New Roman"/>
          <w:sz w:val="24"/>
          <w:szCs w:val="24"/>
        </w:rPr>
        <w:t xml:space="preserve">of </w:t>
      </w:r>
      <w:r w:rsidRPr="00E401E2">
        <w:rPr>
          <w:rFonts w:ascii="Times New Roman" w:hAnsi="Times New Roman" w:cs="Times New Roman"/>
          <w:sz w:val="24"/>
          <w:szCs w:val="24"/>
        </w:rPr>
        <w:t>18 years</w:t>
      </w:r>
      <w:r>
        <w:rPr>
          <w:rFonts w:ascii="Times New Roman" w:hAnsi="Times New Roman" w:cs="Times New Roman"/>
          <w:sz w:val="24"/>
          <w:szCs w:val="24"/>
        </w:rPr>
        <w:t xml:space="preserve"> old and the oldest 60 yrs. </w:t>
      </w:r>
      <w:proofErr w:type="gramStart"/>
      <w:r>
        <w:rPr>
          <w:rFonts w:ascii="Times New Roman" w:hAnsi="Times New Roman" w:cs="Times New Roman"/>
          <w:sz w:val="24"/>
          <w:szCs w:val="24"/>
        </w:rPr>
        <w:t>The mean age being 31.2 years.</w:t>
      </w:r>
      <w:proofErr w:type="gramEnd"/>
      <w:r>
        <w:rPr>
          <w:rFonts w:ascii="Times New Roman" w:hAnsi="Times New Roman" w:cs="Times New Roman"/>
          <w:sz w:val="24"/>
          <w:szCs w:val="24"/>
        </w:rPr>
        <w:t xml:space="preserve"> </w:t>
      </w:r>
    </w:p>
    <w:p w:rsidR="0029072B" w:rsidRPr="00A428F7" w:rsidRDefault="0029072B" w:rsidP="0029072B">
      <w:pPr>
        <w:spacing w:line="480" w:lineRule="auto"/>
        <w:rPr>
          <w:rFonts w:ascii="Times New Roman" w:hAnsi="Times New Roman" w:cs="Times New Roman"/>
          <w:sz w:val="28"/>
          <w:szCs w:val="28"/>
        </w:rPr>
      </w:pPr>
      <w:r>
        <w:rPr>
          <w:rFonts w:ascii="Times New Roman" w:hAnsi="Times New Roman" w:cs="Times New Roman"/>
          <w:b/>
          <w:sz w:val="28"/>
          <w:szCs w:val="28"/>
        </w:rPr>
        <w:t xml:space="preserve">   </w:t>
      </w:r>
      <w:r w:rsidRPr="00A428F7">
        <w:rPr>
          <w:rFonts w:ascii="Times New Roman" w:hAnsi="Times New Roman" w:cs="Times New Roman"/>
          <w:b/>
          <w:sz w:val="28"/>
          <w:szCs w:val="28"/>
        </w:rPr>
        <w:t xml:space="preserve">Pie diagram showing age distribution of </w:t>
      </w:r>
      <w:proofErr w:type="gramStart"/>
      <w:r w:rsidRPr="00A428F7">
        <w:rPr>
          <w:rFonts w:ascii="Times New Roman" w:hAnsi="Times New Roman" w:cs="Times New Roman"/>
          <w:b/>
          <w:sz w:val="28"/>
          <w:szCs w:val="28"/>
        </w:rPr>
        <w:t>patients</w:t>
      </w:r>
      <w:r>
        <w:rPr>
          <w:rFonts w:ascii="Times New Roman" w:hAnsi="Times New Roman" w:cs="Times New Roman"/>
          <w:sz w:val="24"/>
          <w:szCs w:val="24"/>
        </w:rPr>
        <w:t xml:space="preserve">  </w:t>
      </w:r>
      <w:r w:rsidRPr="00E401E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428F7">
        <w:rPr>
          <w:rFonts w:ascii="Times New Roman" w:hAnsi="Times New Roman" w:cs="Times New Roman"/>
          <w:noProof/>
          <w:sz w:val="28"/>
          <w:szCs w:val="28"/>
          <w:lang w:val="en-US"/>
        </w:rPr>
        <w:drawing>
          <wp:inline distT="0" distB="0" distL="0" distR="0">
            <wp:extent cx="4117522" cy="1937657"/>
            <wp:effectExtent l="19050" t="0" r="16328" b="5443"/>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sz w:val="24"/>
          <w:szCs w:val="24"/>
        </w:rPr>
        <w:t xml:space="preserve">                 </w:t>
      </w:r>
    </w:p>
    <w:p w:rsidR="0029072B" w:rsidRDefault="0029072B" w:rsidP="0029072B">
      <w:pPr>
        <w:spacing w:line="480" w:lineRule="auto"/>
        <w:jc w:val="both"/>
        <w:rPr>
          <w:rFonts w:ascii="Times New Roman" w:hAnsi="Times New Roman" w:cs="Times New Roman"/>
          <w:sz w:val="24"/>
          <w:szCs w:val="24"/>
        </w:rPr>
      </w:pPr>
      <w:r w:rsidRPr="00E401E2">
        <w:rPr>
          <w:rFonts w:ascii="Times New Roman" w:hAnsi="Times New Roman" w:cs="Times New Roman"/>
          <w:sz w:val="24"/>
          <w:szCs w:val="24"/>
        </w:rPr>
        <w:t>Most of the patient</w:t>
      </w:r>
      <w:r>
        <w:rPr>
          <w:rFonts w:ascii="Times New Roman" w:hAnsi="Times New Roman" w:cs="Times New Roman"/>
          <w:sz w:val="24"/>
          <w:szCs w:val="24"/>
        </w:rPr>
        <w:t xml:space="preserve">s were in age group 21 – 30 </w:t>
      </w:r>
      <w:proofErr w:type="gramStart"/>
      <w:r>
        <w:rPr>
          <w:rFonts w:ascii="Times New Roman" w:hAnsi="Times New Roman" w:cs="Times New Roman"/>
          <w:sz w:val="24"/>
          <w:szCs w:val="24"/>
        </w:rPr>
        <w:t>yrs</w:t>
      </w:r>
      <w:r w:rsidRPr="00E401E2">
        <w:rPr>
          <w:rFonts w:ascii="Times New Roman" w:hAnsi="Times New Roman" w:cs="Times New Roman"/>
          <w:sz w:val="24"/>
          <w:szCs w:val="24"/>
        </w:rPr>
        <w:t>(</w:t>
      </w:r>
      <w:proofErr w:type="gramEnd"/>
      <w:r w:rsidRPr="00E401E2">
        <w:rPr>
          <w:rFonts w:ascii="Times New Roman" w:hAnsi="Times New Roman" w:cs="Times New Roman"/>
          <w:sz w:val="24"/>
          <w:szCs w:val="24"/>
        </w:rPr>
        <w:t>40%). 41 cases were male whereas 11</w:t>
      </w:r>
      <w:r>
        <w:rPr>
          <w:rFonts w:ascii="Times New Roman" w:hAnsi="Times New Roman" w:cs="Times New Roman"/>
          <w:sz w:val="24"/>
          <w:szCs w:val="24"/>
        </w:rPr>
        <w:t xml:space="preserve"> </w:t>
      </w:r>
      <w:r w:rsidRPr="00E401E2">
        <w:rPr>
          <w:rFonts w:ascii="Times New Roman" w:hAnsi="Times New Roman" w:cs="Times New Roman"/>
          <w:sz w:val="24"/>
          <w:szCs w:val="24"/>
        </w:rPr>
        <w:t>femal</w:t>
      </w:r>
      <w:r>
        <w:rPr>
          <w:rFonts w:ascii="Times New Roman" w:hAnsi="Times New Roman" w:cs="Times New Roman"/>
          <w:sz w:val="24"/>
          <w:szCs w:val="24"/>
        </w:rPr>
        <w:t>e.(Table 1)</w:t>
      </w:r>
    </w:p>
    <w:p w:rsidR="0029072B" w:rsidRPr="006314CC" w:rsidRDefault="0029072B" w:rsidP="0029072B">
      <w:pPr>
        <w:spacing w:line="480" w:lineRule="auto"/>
        <w:rPr>
          <w:rFonts w:ascii="Times New Roman" w:hAnsi="Times New Roman" w:cs="Times New Roman"/>
          <w:b/>
        </w:rPr>
      </w:pPr>
      <w:r w:rsidRPr="006F5C59">
        <w:rPr>
          <w:rFonts w:ascii="Times New Roman" w:hAnsi="Times New Roman" w:cs="Times New Roman"/>
          <w:b/>
        </w:rPr>
        <w:t>Table</w:t>
      </w:r>
      <w:r>
        <w:rPr>
          <w:rFonts w:ascii="Times New Roman" w:hAnsi="Times New Roman" w:cs="Times New Roman"/>
          <w:b/>
        </w:rPr>
        <w:t xml:space="preserve"> </w:t>
      </w:r>
      <w:proofErr w:type="gramStart"/>
      <w:r>
        <w:rPr>
          <w:rFonts w:ascii="Times New Roman" w:hAnsi="Times New Roman" w:cs="Times New Roman"/>
          <w:b/>
        </w:rPr>
        <w:t xml:space="preserve">1 </w:t>
      </w:r>
      <w:r w:rsidRPr="006F5C59">
        <w:rPr>
          <w:rFonts w:ascii="Times New Roman" w:hAnsi="Times New Roman" w:cs="Times New Roman"/>
          <w:b/>
        </w:rPr>
        <w:t>:</w:t>
      </w:r>
      <w:proofErr w:type="gramEnd"/>
      <w:r w:rsidRPr="006F5C59">
        <w:rPr>
          <w:rFonts w:ascii="Times New Roman" w:hAnsi="Times New Roman" w:cs="Times New Roman"/>
          <w:b/>
        </w:rPr>
        <w:t xml:space="preserve"> Age and sex distribution of patients in the literature</w:t>
      </w:r>
      <w:r>
        <w:rPr>
          <w:rFonts w:ascii="Times New Roman" w:hAnsi="Times New Roman" w:cs="Times New Roman"/>
          <w:b/>
        </w:rPr>
        <w:t>s</w:t>
      </w:r>
    </w:p>
    <w:tbl>
      <w:tblPr>
        <w:tblStyle w:val="TableGrid"/>
        <w:tblpPr w:leftFromText="180" w:rightFromText="180" w:vertAnchor="text" w:horzAnchor="margin" w:tblpXSpec="center" w:tblpY="419"/>
        <w:tblOverlap w:val="never"/>
        <w:tblW w:w="6762" w:type="dxa"/>
        <w:tblLayout w:type="fixed"/>
        <w:tblLook w:val="04A0"/>
      </w:tblPr>
      <w:tblGrid>
        <w:gridCol w:w="2711"/>
        <w:gridCol w:w="1980"/>
        <w:gridCol w:w="2071"/>
      </w:tblGrid>
      <w:tr w:rsidR="0029072B" w:rsidRPr="006F5C59" w:rsidTr="009B4F06">
        <w:trPr>
          <w:trHeight w:val="556"/>
        </w:trPr>
        <w:tc>
          <w:tcPr>
            <w:tcW w:w="2711" w:type="dxa"/>
            <w:vAlign w:val="center"/>
          </w:tcPr>
          <w:p w:rsidR="0029072B" w:rsidRPr="006F5C59" w:rsidRDefault="0029072B" w:rsidP="009B4F06">
            <w:pPr>
              <w:tabs>
                <w:tab w:val="left" w:pos="720"/>
                <w:tab w:val="left" w:pos="1440"/>
              </w:tabs>
              <w:spacing w:line="480" w:lineRule="auto"/>
              <w:rPr>
                <w:rFonts w:ascii="Times New Roman" w:hAnsi="Times New Roman" w:cs="Times New Roman"/>
                <w:b/>
              </w:rPr>
            </w:pPr>
          </w:p>
          <w:p w:rsidR="0029072B" w:rsidRPr="006F5C59" w:rsidRDefault="0029072B" w:rsidP="009B4F06">
            <w:pPr>
              <w:tabs>
                <w:tab w:val="left" w:pos="720"/>
                <w:tab w:val="left" w:pos="1440"/>
              </w:tabs>
              <w:spacing w:line="480" w:lineRule="auto"/>
              <w:rPr>
                <w:rFonts w:ascii="Times New Roman" w:hAnsi="Times New Roman" w:cs="Times New Roman"/>
                <w:b/>
              </w:rPr>
            </w:pPr>
            <w:r w:rsidRPr="006F5C59">
              <w:rPr>
                <w:rFonts w:ascii="Times New Roman" w:hAnsi="Times New Roman" w:cs="Times New Roman"/>
                <w:b/>
              </w:rPr>
              <w:t>Authors</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b/>
              </w:rPr>
            </w:pPr>
            <w:r w:rsidRPr="006F5C59">
              <w:rPr>
                <w:rFonts w:ascii="Times New Roman" w:hAnsi="Times New Roman" w:cs="Times New Roman"/>
                <w:b/>
              </w:rPr>
              <w:t>Average age (yrs)</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b/>
              </w:rPr>
            </w:pPr>
            <w:r w:rsidRPr="006F5C59">
              <w:rPr>
                <w:rFonts w:ascii="Times New Roman" w:hAnsi="Times New Roman" w:cs="Times New Roman"/>
                <w:b/>
              </w:rPr>
              <w:t>Male:Female ratio</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Ali Akhtar et al(2013)</w:t>
            </w:r>
            <w:r w:rsidRPr="006314CC">
              <w:rPr>
                <w:rFonts w:ascii="Times New Roman" w:hAnsi="Times New Roman" w:cs="Times New Roman"/>
                <w:b/>
                <w:sz w:val="18"/>
                <w:szCs w:val="18"/>
                <w:vertAlign w:val="superscript"/>
              </w:rPr>
              <w:t>73</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35</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4(24/6)</w:t>
            </w:r>
          </w:p>
        </w:tc>
      </w:tr>
      <w:tr w:rsidR="0029072B" w:rsidRPr="006F5C59" w:rsidTr="009B4F06">
        <w:trPr>
          <w:trHeight w:val="269"/>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Wani et al(2012)</w:t>
            </w:r>
            <w:r w:rsidRPr="006314CC">
              <w:rPr>
                <w:rFonts w:ascii="Times New Roman" w:hAnsi="Times New Roman" w:cs="Times New Roman"/>
                <w:b/>
                <w:sz w:val="18"/>
                <w:szCs w:val="18"/>
                <w:vertAlign w:val="superscript"/>
              </w:rPr>
              <w:t>64</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32</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6.2(26/4)</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Singh et al (2010)</w:t>
            </w:r>
            <w:r w:rsidRPr="006314CC">
              <w:rPr>
                <w:rFonts w:ascii="Times New Roman" w:hAnsi="Times New Roman" w:cs="Times New Roman"/>
                <w:b/>
                <w:sz w:val="18"/>
                <w:szCs w:val="18"/>
                <w:vertAlign w:val="superscript"/>
              </w:rPr>
              <w:t>74</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32</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6.5 (26/4)</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Motten et al(2009)</w:t>
            </w:r>
            <w:r w:rsidRPr="006314CC">
              <w:rPr>
                <w:rFonts w:ascii="Times New Roman" w:hAnsi="Times New Roman" w:cs="Times New Roman"/>
                <w:b/>
                <w:sz w:val="18"/>
                <w:szCs w:val="18"/>
                <w:vertAlign w:val="superscript"/>
              </w:rPr>
              <w:t>75</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35</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6.6(26/4)</w:t>
            </w:r>
          </w:p>
        </w:tc>
      </w:tr>
      <w:tr w:rsidR="0029072B" w:rsidRPr="006F5C59" w:rsidTr="009B4F06">
        <w:trPr>
          <w:trHeight w:val="269"/>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K Yokoyama et al(2008)</w:t>
            </w:r>
            <w:r w:rsidRPr="006314CC">
              <w:rPr>
                <w:rFonts w:ascii="Times New Roman" w:hAnsi="Times New Roman" w:cs="Times New Roman"/>
                <w:b/>
                <w:sz w:val="18"/>
                <w:szCs w:val="18"/>
                <w:vertAlign w:val="superscript"/>
              </w:rPr>
              <w:t>85</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34.6</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7(84/14)</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Bhandari et al (2005)</w:t>
            </w:r>
            <w:r w:rsidRPr="006314CC">
              <w:rPr>
                <w:rFonts w:ascii="Times New Roman" w:hAnsi="Times New Roman" w:cs="Times New Roman"/>
                <w:b/>
                <w:sz w:val="18"/>
                <w:szCs w:val="18"/>
                <w:vertAlign w:val="superscript"/>
              </w:rPr>
              <w:t>58</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39</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2.8 (904/322)</w:t>
            </w:r>
          </w:p>
        </w:tc>
      </w:tr>
      <w:tr w:rsidR="0029072B" w:rsidRPr="006F5C59" w:rsidTr="009B4F06">
        <w:trPr>
          <w:trHeight w:val="269"/>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Jain et al (2005)</w:t>
            </w:r>
            <w:r w:rsidRPr="006314CC">
              <w:rPr>
                <w:rFonts w:ascii="Times New Roman" w:hAnsi="Times New Roman" w:cs="Times New Roman"/>
                <w:b/>
                <w:sz w:val="18"/>
                <w:szCs w:val="18"/>
                <w:vertAlign w:val="superscript"/>
              </w:rPr>
              <w:t>77</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40.3</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12.3 (37/3)</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lastRenderedPageBreak/>
              <w:t>Joshi et al(2004)</w:t>
            </w:r>
            <w:r w:rsidRPr="006314CC">
              <w:rPr>
                <w:rFonts w:ascii="Times New Roman" w:hAnsi="Times New Roman" w:cs="Times New Roman"/>
                <w:b/>
                <w:sz w:val="18"/>
                <w:szCs w:val="18"/>
                <w:vertAlign w:val="superscript"/>
              </w:rPr>
              <w:t>76</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38.5</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13(52/4)</w:t>
            </w:r>
          </w:p>
        </w:tc>
      </w:tr>
      <w:tr w:rsidR="0029072B" w:rsidRPr="006F5C59" w:rsidTr="009B4F06">
        <w:trPr>
          <w:trHeight w:val="269"/>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Saikia et al (2001)</w:t>
            </w:r>
            <w:r w:rsidRPr="006314CC">
              <w:rPr>
                <w:rFonts w:ascii="Times New Roman" w:hAnsi="Times New Roman" w:cs="Times New Roman"/>
                <w:b/>
                <w:sz w:val="18"/>
                <w:szCs w:val="18"/>
                <w:vertAlign w:val="superscript"/>
              </w:rPr>
              <w:t>53</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29.9</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2.4 (36/15)</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Keating et al (1997)</w:t>
            </w:r>
            <w:r w:rsidRPr="006314CC">
              <w:rPr>
                <w:rFonts w:ascii="Times New Roman" w:hAnsi="Times New Roman" w:cs="Times New Roman"/>
                <w:b/>
                <w:sz w:val="18"/>
                <w:szCs w:val="18"/>
                <w:vertAlign w:val="superscript"/>
              </w:rPr>
              <w:t>78</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37</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5.5 (77/14)</w:t>
            </w:r>
          </w:p>
        </w:tc>
      </w:tr>
      <w:tr w:rsidR="0029072B" w:rsidRPr="006F5C59" w:rsidTr="009B4F06">
        <w:trPr>
          <w:trHeight w:val="269"/>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Antich et al(1997)</w:t>
            </w:r>
            <w:r w:rsidRPr="006314CC">
              <w:rPr>
                <w:rFonts w:ascii="Times New Roman" w:hAnsi="Times New Roman" w:cs="Times New Roman"/>
                <w:b/>
                <w:sz w:val="18"/>
                <w:szCs w:val="18"/>
                <w:vertAlign w:val="superscript"/>
              </w:rPr>
              <w:t>44</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32</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1.7(11/7)</w:t>
            </w:r>
          </w:p>
        </w:tc>
      </w:tr>
      <w:tr w:rsidR="0029072B" w:rsidRPr="006F5C59" w:rsidTr="009B4F06">
        <w:trPr>
          <w:trHeight w:val="287"/>
        </w:trPr>
        <w:tc>
          <w:tcPr>
            <w:tcW w:w="2711" w:type="dxa"/>
            <w:vAlign w:val="center"/>
          </w:tcPr>
          <w:p w:rsidR="0029072B" w:rsidRPr="006314CC" w:rsidRDefault="0029072B" w:rsidP="009B4F06">
            <w:pPr>
              <w:tabs>
                <w:tab w:val="left" w:pos="720"/>
                <w:tab w:val="left" w:pos="1440"/>
              </w:tabs>
              <w:spacing w:line="480" w:lineRule="auto"/>
              <w:rPr>
                <w:rFonts w:ascii="Times New Roman" w:hAnsi="Times New Roman" w:cs="Times New Roman"/>
                <w:b/>
                <w:sz w:val="18"/>
                <w:szCs w:val="18"/>
                <w:vertAlign w:val="superscript"/>
              </w:rPr>
            </w:pPr>
            <w:r w:rsidRPr="006314CC">
              <w:rPr>
                <w:rFonts w:ascii="Times New Roman" w:hAnsi="Times New Roman" w:cs="Times New Roman"/>
                <w:b/>
                <w:sz w:val="18"/>
                <w:szCs w:val="18"/>
              </w:rPr>
              <w:t>Siebenrock et al(1997)</w:t>
            </w:r>
            <w:r w:rsidRPr="006314CC">
              <w:rPr>
                <w:rFonts w:ascii="Times New Roman" w:hAnsi="Times New Roman" w:cs="Times New Roman"/>
                <w:b/>
                <w:sz w:val="18"/>
                <w:szCs w:val="18"/>
                <w:vertAlign w:val="superscript"/>
              </w:rPr>
              <w:t>43</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33</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4(32/8)</w:t>
            </w:r>
          </w:p>
        </w:tc>
      </w:tr>
      <w:tr w:rsidR="0029072B" w:rsidRPr="006F5C59" w:rsidTr="009B4F06">
        <w:trPr>
          <w:trHeight w:val="269"/>
        </w:trPr>
        <w:tc>
          <w:tcPr>
            <w:tcW w:w="2711" w:type="dxa"/>
            <w:vAlign w:val="center"/>
          </w:tcPr>
          <w:p w:rsidR="0029072B" w:rsidRPr="006F5C59" w:rsidRDefault="0029072B" w:rsidP="009B4F06">
            <w:pPr>
              <w:tabs>
                <w:tab w:val="left" w:pos="720"/>
                <w:tab w:val="left" w:pos="1440"/>
              </w:tabs>
              <w:spacing w:line="480" w:lineRule="auto"/>
              <w:rPr>
                <w:rFonts w:ascii="Times New Roman" w:hAnsi="Times New Roman" w:cs="Times New Roman"/>
                <w:b/>
              </w:rPr>
            </w:pPr>
            <w:r w:rsidRPr="006F5C59">
              <w:rPr>
                <w:rFonts w:ascii="Times New Roman" w:hAnsi="Times New Roman" w:cs="Times New Roman"/>
                <w:b/>
              </w:rPr>
              <w:t>Present study(2013)</w:t>
            </w:r>
          </w:p>
        </w:tc>
        <w:tc>
          <w:tcPr>
            <w:tcW w:w="1980"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31</w:t>
            </w:r>
          </w:p>
        </w:tc>
        <w:tc>
          <w:tcPr>
            <w:tcW w:w="2071" w:type="dxa"/>
            <w:vAlign w:val="center"/>
          </w:tcPr>
          <w:p w:rsidR="0029072B" w:rsidRPr="006F5C59" w:rsidRDefault="0029072B" w:rsidP="009B4F06">
            <w:pPr>
              <w:tabs>
                <w:tab w:val="left" w:pos="720"/>
                <w:tab w:val="left" w:pos="1440"/>
              </w:tabs>
              <w:spacing w:line="480" w:lineRule="auto"/>
              <w:rPr>
                <w:rFonts w:ascii="Times New Roman" w:hAnsi="Times New Roman" w:cs="Times New Roman"/>
              </w:rPr>
            </w:pPr>
            <w:r w:rsidRPr="006F5C59">
              <w:rPr>
                <w:rFonts w:ascii="Times New Roman" w:hAnsi="Times New Roman" w:cs="Times New Roman"/>
              </w:rPr>
              <w:t>3.8(41/11)</w:t>
            </w:r>
          </w:p>
        </w:tc>
      </w:tr>
    </w:tbl>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sz w:val="24"/>
          <w:szCs w:val="24"/>
        </w:rPr>
      </w:pPr>
    </w:p>
    <w:p w:rsidR="0029072B" w:rsidRDefault="0029072B" w:rsidP="0029072B">
      <w:pPr>
        <w:spacing w:line="480" w:lineRule="auto"/>
        <w:jc w:val="both"/>
        <w:rPr>
          <w:rFonts w:ascii="Times New Roman" w:hAnsi="Times New Roman" w:cs="Times New Roman"/>
          <w:b/>
          <w:sz w:val="28"/>
          <w:szCs w:val="28"/>
        </w:rPr>
      </w:pPr>
      <w:r>
        <w:rPr>
          <w:rFonts w:ascii="Times New Roman" w:hAnsi="Times New Roman" w:cs="Times New Roman"/>
          <w:sz w:val="24"/>
          <w:szCs w:val="24"/>
        </w:rPr>
        <w:t xml:space="preserve"> Road traffic accident (RTA) </w:t>
      </w:r>
      <w:r w:rsidRPr="00E401E2">
        <w:rPr>
          <w:rFonts w:ascii="Times New Roman" w:hAnsi="Times New Roman" w:cs="Times New Roman"/>
          <w:sz w:val="24"/>
          <w:szCs w:val="24"/>
        </w:rPr>
        <w:t>was the cause of injury in 29 cases (56%)</w:t>
      </w:r>
      <w:r>
        <w:rPr>
          <w:rFonts w:ascii="Times New Roman" w:hAnsi="Times New Roman" w:cs="Times New Roman"/>
          <w:sz w:val="24"/>
          <w:szCs w:val="24"/>
        </w:rPr>
        <w:t xml:space="preserve">, followed by physical assault </w:t>
      </w:r>
      <w:r w:rsidRPr="00E401E2">
        <w:rPr>
          <w:rFonts w:ascii="Times New Roman" w:hAnsi="Times New Roman" w:cs="Times New Roman"/>
          <w:sz w:val="24"/>
          <w:szCs w:val="24"/>
        </w:rPr>
        <w:t>11(</w:t>
      </w:r>
      <w:r>
        <w:rPr>
          <w:rFonts w:ascii="Times New Roman" w:hAnsi="Times New Roman" w:cs="Times New Roman"/>
          <w:sz w:val="24"/>
          <w:szCs w:val="24"/>
        </w:rPr>
        <w:t>33%) and fall 07(14%).</w:t>
      </w:r>
      <w:r w:rsidRPr="0018620F">
        <w:rPr>
          <w:rFonts w:ascii="Times New Roman" w:hAnsi="Times New Roman" w:cs="Times New Roman"/>
          <w:b/>
          <w:sz w:val="28"/>
          <w:szCs w:val="28"/>
        </w:rPr>
        <w:t xml:space="preserve"> </w:t>
      </w:r>
    </w:p>
    <w:p w:rsidR="0029072B" w:rsidRPr="00A428F7" w:rsidRDefault="0029072B" w:rsidP="0029072B">
      <w:pPr>
        <w:spacing w:line="480" w:lineRule="auto"/>
        <w:rPr>
          <w:rFonts w:ascii="Times New Roman" w:hAnsi="Times New Roman" w:cs="Times New Roman"/>
          <w:b/>
          <w:sz w:val="28"/>
          <w:szCs w:val="28"/>
        </w:rPr>
      </w:pPr>
      <w:r w:rsidRPr="00A428F7">
        <w:rPr>
          <w:rFonts w:ascii="Times New Roman" w:hAnsi="Times New Roman" w:cs="Times New Roman"/>
          <w:b/>
          <w:sz w:val="28"/>
          <w:szCs w:val="28"/>
        </w:rPr>
        <w:t>Pie diagram showing mode of injury</w:t>
      </w:r>
    </w:p>
    <w:p w:rsidR="0029072B" w:rsidRPr="00A428F7" w:rsidRDefault="0029072B" w:rsidP="0029072B">
      <w:pPr>
        <w:spacing w:line="480" w:lineRule="auto"/>
        <w:rPr>
          <w:rFonts w:ascii="Times New Roman" w:hAnsi="Times New Roman" w:cs="Times New Roman"/>
          <w:b/>
          <w:sz w:val="28"/>
          <w:szCs w:val="28"/>
        </w:rPr>
      </w:pPr>
      <w:r w:rsidRPr="00A428F7">
        <w:rPr>
          <w:rFonts w:ascii="Times New Roman" w:hAnsi="Times New Roman" w:cs="Times New Roman"/>
          <w:b/>
          <w:noProof/>
          <w:sz w:val="28"/>
          <w:szCs w:val="28"/>
          <w:lang w:val="en-US"/>
        </w:rPr>
        <w:drawing>
          <wp:inline distT="0" distB="0" distL="0" distR="0">
            <wp:extent cx="5581815" cy="2798860"/>
            <wp:effectExtent l="0" t="0" r="0" b="190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072B" w:rsidRPr="00A428F7" w:rsidRDefault="0029072B" w:rsidP="0029072B">
      <w:pPr>
        <w:spacing w:line="480" w:lineRule="auto"/>
        <w:jc w:val="both"/>
        <w:rPr>
          <w:rFonts w:ascii="Times New Roman" w:hAnsi="Times New Roman" w:cs="Times New Roman"/>
          <w:b/>
          <w:sz w:val="28"/>
          <w:szCs w:val="28"/>
        </w:rPr>
      </w:pPr>
      <w:r w:rsidRPr="00E401E2">
        <w:rPr>
          <w:rFonts w:ascii="Times New Roman" w:hAnsi="Times New Roman" w:cs="Times New Roman"/>
          <w:sz w:val="24"/>
          <w:szCs w:val="24"/>
        </w:rPr>
        <w:lastRenderedPageBreak/>
        <w:t>The right side affected more (n=34) than t</w:t>
      </w:r>
      <w:r>
        <w:rPr>
          <w:rFonts w:ascii="Times New Roman" w:hAnsi="Times New Roman" w:cs="Times New Roman"/>
          <w:sz w:val="24"/>
          <w:szCs w:val="24"/>
        </w:rPr>
        <w:t>he left side (n=18). Most of the</w:t>
      </w:r>
      <w:r w:rsidRPr="00E401E2">
        <w:rPr>
          <w:rFonts w:ascii="Times New Roman" w:hAnsi="Times New Roman" w:cs="Times New Roman"/>
          <w:sz w:val="24"/>
          <w:szCs w:val="24"/>
        </w:rPr>
        <w:t xml:space="preserve"> fractures</w:t>
      </w:r>
      <w:r>
        <w:rPr>
          <w:rFonts w:ascii="Times New Roman" w:hAnsi="Times New Roman" w:cs="Times New Roman"/>
          <w:sz w:val="24"/>
          <w:szCs w:val="24"/>
        </w:rPr>
        <w:t xml:space="preserve"> were</w:t>
      </w:r>
      <w:r w:rsidRPr="00E401E2">
        <w:rPr>
          <w:rFonts w:ascii="Times New Roman" w:hAnsi="Times New Roman" w:cs="Times New Roman"/>
          <w:sz w:val="24"/>
          <w:szCs w:val="24"/>
        </w:rPr>
        <w:t xml:space="preserve"> of AO type 42B3 (n= 15). The mean operative time was 65 min</w:t>
      </w:r>
      <w:r>
        <w:rPr>
          <w:rFonts w:ascii="Times New Roman" w:hAnsi="Times New Roman" w:cs="Times New Roman"/>
          <w:sz w:val="24"/>
          <w:szCs w:val="24"/>
        </w:rPr>
        <w:t>ute</w:t>
      </w:r>
      <w:r w:rsidRPr="00E401E2">
        <w:rPr>
          <w:rFonts w:ascii="Times New Roman" w:hAnsi="Times New Roman" w:cs="Times New Roman"/>
          <w:sz w:val="24"/>
          <w:szCs w:val="24"/>
        </w:rPr>
        <w:t>s and average amount of blood loss was 130 ml. A fracture was designated as healed when there was obliteration of the fracture line in X-ray (Anderson et al 1975). All our fractures united by 28 weeks most of them by 12 weeks (n=24) followed by 16 weeks (n=14) &amp; 20 weeks (n=11). The average time of union was 16.27 weeks</w:t>
      </w:r>
      <w:r>
        <w:rPr>
          <w:rFonts w:ascii="Times New Roman" w:hAnsi="Times New Roman" w:cs="Times New Roman"/>
          <w:sz w:val="24"/>
          <w:szCs w:val="24"/>
        </w:rPr>
        <w:t xml:space="preserve"> in immediate nailing group</w:t>
      </w:r>
      <w:r w:rsidRPr="00E401E2">
        <w:rPr>
          <w:rFonts w:ascii="Times New Roman" w:hAnsi="Times New Roman" w:cs="Times New Roman"/>
          <w:sz w:val="24"/>
          <w:szCs w:val="24"/>
        </w:rPr>
        <w:t xml:space="preserve">. The mean duration of hospital stay was 16.4 days. Most of the patients got the range of </w:t>
      </w:r>
      <w:r>
        <w:rPr>
          <w:rFonts w:ascii="Times New Roman" w:hAnsi="Times New Roman" w:cs="Times New Roman"/>
          <w:sz w:val="24"/>
          <w:szCs w:val="24"/>
        </w:rPr>
        <w:t>motion between 100-134 degrees.</w:t>
      </w:r>
      <w:r w:rsidRPr="00E401E2">
        <w:rPr>
          <w:rFonts w:ascii="Times New Roman" w:hAnsi="Times New Roman" w:cs="Times New Roman"/>
          <w:sz w:val="24"/>
          <w:szCs w:val="24"/>
        </w:rPr>
        <w:t xml:space="preserve"> The results were classified by Neers criteria at the end of 6 months. Functional result was excellent in 46 .7 % (n =25), </w:t>
      </w:r>
      <w:proofErr w:type="gramStart"/>
      <w:r w:rsidRPr="00E401E2">
        <w:rPr>
          <w:rFonts w:ascii="Times New Roman" w:hAnsi="Times New Roman" w:cs="Times New Roman"/>
          <w:sz w:val="24"/>
          <w:szCs w:val="24"/>
        </w:rPr>
        <w:t>satisfactory</w:t>
      </w:r>
      <w:proofErr w:type="gramEnd"/>
      <w:r w:rsidRPr="00E401E2">
        <w:rPr>
          <w:rFonts w:ascii="Times New Roman" w:hAnsi="Times New Roman" w:cs="Times New Roman"/>
          <w:sz w:val="24"/>
          <w:szCs w:val="24"/>
        </w:rPr>
        <w:t xml:space="preserve"> in 43.3 % cases (n= 22) &amp; unsatisfactory in 10 % (n= 5) while </w:t>
      </w:r>
      <w:r>
        <w:rPr>
          <w:rFonts w:ascii="Times New Roman" w:hAnsi="Times New Roman" w:cs="Times New Roman"/>
          <w:sz w:val="24"/>
          <w:szCs w:val="24"/>
        </w:rPr>
        <w:t xml:space="preserve">there were no failure cases. An </w:t>
      </w:r>
      <w:r w:rsidRPr="00E401E2">
        <w:rPr>
          <w:rFonts w:ascii="Times New Roman" w:hAnsi="Times New Roman" w:cs="Times New Roman"/>
          <w:sz w:val="24"/>
          <w:szCs w:val="24"/>
        </w:rPr>
        <w:t>Intra operative complication like difficult reducti</w:t>
      </w:r>
      <w:r>
        <w:rPr>
          <w:rFonts w:ascii="Times New Roman" w:hAnsi="Times New Roman" w:cs="Times New Roman"/>
          <w:sz w:val="24"/>
          <w:szCs w:val="24"/>
        </w:rPr>
        <w:t>on was seen in 18 cases. 6 post</w:t>
      </w:r>
      <w:r w:rsidRPr="00E401E2">
        <w:rPr>
          <w:rFonts w:ascii="Times New Roman" w:hAnsi="Times New Roman" w:cs="Times New Roman"/>
          <w:sz w:val="24"/>
          <w:szCs w:val="24"/>
        </w:rPr>
        <w:t>operative complications were noted as 3 superficial and 3 deep infections.</w:t>
      </w:r>
      <w:r w:rsidRPr="00DA17C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8F7">
        <w:rPr>
          <w:rFonts w:ascii="Times New Roman" w:hAnsi="Times New Roman" w:cs="Times New Roman"/>
          <w:b/>
          <w:sz w:val="28"/>
          <w:szCs w:val="28"/>
        </w:rPr>
        <w:t>Bar diagram showing infection in Immediate and delayed nailing</w:t>
      </w:r>
    </w:p>
    <w:p w:rsidR="0029072B" w:rsidRPr="00B871E6" w:rsidRDefault="0029072B" w:rsidP="0029072B">
      <w:pPr>
        <w:spacing w:line="480" w:lineRule="auto"/>
        <w:rPr>
          <w:rFonts w:ascii="Times New Roman" w:hAnsi="Times New Roman" w:cs="Times New Roman"/>
          <w:sz w:val="28"/>
          <w:szCs w:val="28"/>
        </w:rPr>
      </w:pPr>
      <w:r w:rsidRPr="00A428F7">
        <w:rPr>
          <w:noProof/>
          <w:lang w:val="en-US"/>
        </w:rPr>
        <w:drawing>
          <wp:inline distT="0" distB="0" distL="0" distR="0">
            <wp:extent cx="5422789" cy="2934031"/>
            <wp:effectExtent l="0" t="0" r="6985"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072B" w:rsidRDefault="0029072B" w:rsidP="0029072B">
      <w:pPr>
        <w:spacing w:line="480" w:lineRule="auto"/>
        <w:jc w:val="both"/>
        <w:rPr>
          <w:rFonts w:ascii="Times New Roman" w:hAnsi="Times New Roman" w:cs="Times New Roman"/>
          <w:sz w:val="24"/>
          <w:szCs w:val="24"/>
        </w:rPr>
      </w:pPr>
      <w:r w:rsidRPr="00E401E2">
        <w:rPr>
          <w:rFonts w:ascii="Times New Roman" w:hAnsi="Times New Roman" w:cs="Times New Roman"/>
          <w:sz w:val="24"/>
          <w:szCs w:val="24"/>
        </w:rPr>
        <w:lastRenderedPageBreak/>
        <w:t xml:space="preserve"> In 2 cases the implant was removed (due to deep infection) after radiological union (28 weeks) at 5 months &amp; 6 month interval.18 patients had mild pain on knee movement. We didn’t get gross malunion to produce shortening or angular deformity. </w:t>
      </w:r>
    </w:p>
    <w:p w:rsidR="0029072B" w:rsidRPr="0018620F" w:rsidRDefault="0029072B" w:rsidP="0029072B">
      <w:pPr>
        <w:spacing w:line="480" w:lineRule="auto"/>
        <w:ind w:left="-90" w:right="-100"/>
        <w:rPr>
          <w:rFonts w:ascii="Times New Roman" w:hAnsi="Times New Roman" w:cs="Times New Roman"/>
          <w:sz w:val="24"/>
          <w:szCs w:val="24"/>
        </w:rPr>
      </w:pPr>
      <w:r>
        <w:rPr>
          <w:rFonts w:ascii="Times New Roman" w:hAnsi="Times New Roman" w:cs="Times New Roman"/>
          <w:sz w:val="24"/>
          <w:szCs w:val="24"/>
        </w:rPr>
        <w:t>Table 2:- Results of various Authors</w:t>
      </w:r>
    </w:p>
    <w:tbl>
      <w:tblPr>
        <w:tblStyle w:val="TableGrid"/>
        <w:tblpPr w:leftFromText="180" w:rightFromText="180" w:vertAnchor="text" w:horzAnchor="margin" w:tblpX="36" w:tblpY="523"/>
        <w:tblOverlap w:val="never"/>
        <w:tblW w:w="8622" w:type="dxa"/>
        <w:tblLayout w:type="fixed"/>
        <w:tblLook w:val="04A0"/>
      </w:tblPr>
      <w:tblGrid>
        <w:gridCol w:w="2284"/>
        <w:gridCol w:w="2025"/>
        <w:gridCol w:w="1107"/>
        <w:gridCol w:w="1631"/>
        <w:gridCol w:w="1575"/>
      </w:tblGrid>
      <w:tr w:rsidR="0029072B" w:rsidRPr="006F5C59" w:rsidTr="009B4F06">
        <w:trPr>
          <w:trHeight w:val="604"/>
        </w:trPr>
        <w:tc>
          <w:tcPr>
            <w:tcW w:w="2284" w:type="dxa"/>
          </w:tcPr>
          <w:p w:rsidR="0029072B" w:rsidRPr="00E20006" w:rsidRDefault="0029072B" w:rsidP="009B4F06">
            <w:pPr>
              <w:tabs>
                <w:tab w:val="left" w:pos="720"/>
                <w:tab w:val="left" w:pos="1440"/>
              </w:tabs>
              <w:spacing w:line="480" w:lineRule="auto"/>
              <w:jc w:val="both"/>
              <w:rPr>
                <w:rFonts w:ascii="Times New Roman" w:hAnsi="Times New Roman" w:cs="Times New Roman"/>
                <w:b/>
                <w:sz w:val="20"/>
              </w:rPr>
            </w:pPr>
            <w:r w:rsidRPr="00E20006">
              <w:rPr>
                <w:rFonts w:ascii="Times New Roman" w:hAnsi="Times New Roman" w:cs="Times New Roman"/>
                <w:b/>
                <w:sz w:val="20"/>
              </w:rPr>
              <w:t>Authors</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b/>
                <w:sz w:val="20"/>
              </w:rPr>
            </w:pPr>
            <w:r w:rsidRPr="00E20006">
              <w:rPr>
                <w:rFonts w:ascii="Times New Roman" w:hAnsi="Times New Roman" w:cs="Times New Roman"/>
                <w:b/>
                <w:sz w:val="20"/>
              </w:rPr>
              <w:t>Criterion used</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b/>
                <w:sz w:val="20"/>
              </w:rPr>
            </w:pPr>
            <w:r w:rsidRPr="00E20006">
              <w:rPr>
                <w:rFonts w:ascii="Times New Roman" w:hAnsi="Times New Roman" w:cs="Times New Roman"/>
                <w:b/>
                <w:sz w:val="20"/>
              </w:rPr>
              <w:t>procedure</w:t>
            </w: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b/>
                <w:sz w:val="20"/>
              </w:rPr>
            </w:pPr>
            <w:r w:rsidRPr="00E20006">
              <w:rPr>
                <w:rFonts w:ascii="Times New Roman" w:hAnsi="Times New Roman" w:cs="Times New Roman"/>
                <w:b/>
                <w:sz w:val="20"/>
              </w:rPr>
              <w:t>Result (in %)</w:t>
            </w:r>
          </w:p>
        </w:tc>
      </w:tr>
      <w:tr w:rsidR="0029072B" w:rsidRPr="006F5C59" w:rsidTr="009B4F06">
        <w:trPr>
          <w:trHeight w:val="635"/>
        </w:trPr>
        <w:tc>
          <w:tcPr>
            <w:tcW w:w="2284" w:type="dxa"/>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vertAlign w:val="superscript"/>
              </w:rPr>
            </w:pPr>
            <w:r w:rsidRPr="00E20006">
              <w:rPr>
                <w:rFonts w:ascii="Times New Roman" w:hAnsi="Times New Roman" w:cs="Times New Roman"/>
                <w:sz w:val="20"/>
              </w:rPr>
              <w:t>Atul et al(2013)</w:t>
            </w:r>
            <w:r w:rsidRPr="00E20006">
              <w:rPr>
                <w:rFonts w:ascii="Times New Roman" w:hAnsi="Times New Roman" w:cs="Times New Roman"/>
                <w:sz w:val="20"/>
                <w:vertAlign w:val="superscript"/>
              </w:rPr>
              <w:t>66</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modified Ketenjian’s</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Primary</w:t>
            </w: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E-60; G-23.4; F-10P- 6.6</w:t>
            </w:r>
          </w:p>
        </w:tc>
      </w:tr>
      <w:tr w:rsidR="0029072B" w:rsidRPr="006F5C59" w:rsidTr="009B4F06">
        <w:trPr>
          <w:trHeight w:val="680"/>
        </w:trPr>
        <w:tc>
          <w:tcPr>
            <w:tcW w:w="2284" w:type="dxa"/>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vertAlign w:val="superscript"/>
              </w:rPr>
            </w:pPr>
            <w:r w:rsidRPr="00E20006">
              <w:rPr>
                <w:rFonts w:ascii="Times New Roman" w:hAnsi="Times New Roman" w:cs="Times New Roman"/>
                <w:sz w:val="20"/>
              </w:rPr>
              <w:t>Wani et al(2012)</w:t>
            </w:r>
            <w:r w:rsidRPr="00E20006">
              <w:rPr>
                <w:rFonts w:ascii="Times New Roman" w:hAnsi="Times New Roman" w:cs="Times New Roman"/>
                <w:sz w:val="20"/>
                <w:vertAlign w:val="superscript"/>
              </w:rPr>
              <w:t>64</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Johner and Wruh</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Primary</w:t>
            </w: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E- 40. G- 50, F- 10</w:t>
            </w:r>
          </w:p>
        </w:tc>
      </w:tr>
      <w:tr w:rsidR="0029072B" w:rsidRPr="006F5C59" w:rsidTr="009B4F06">
        <w:trPr>
          <w:trHeight w:val="89"/>
        </w:trPr>
        <w:tc>
          <w:tcPr>
            <w:tcW w:w="2284" w:type="dxa"/>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Manas et al(2011)</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modified Ketenjian’s</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Primary</w:t>
            </w: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E- 68, G- 24, F- 4, P -4</w:t>
            </w:r>
          </w:p>
        </w:tc>
      </w:tr>
      <w:tr w:rsidR="0029072B" w:rsidRPr="006F5C59" w:rsidTr="009B4F06">
        <w:trPr>
          <w:trHeight w:val="275"/>
        </w:trPr>
        <w:tc>
          <w:tcPr>
            <w:tcW w:w="2284" w:type="dxa"/>
            <w:vAlign w:val="center"/>
          </w:tcPr>
          <w:p w:rsidR="0029072B" w:rsidRPr="00E20006" w:rsidRDefault="0029072B" w:rsidP="009B4F06">
            <w:pPr>
              <w:tabs>
                <w:tab w:val="left" w:pos="720"/>
                <w:tab w:val="left" w:pos="1440"/>
              </w:tabs>
              <w:spacing w:line="480" w:lineRule="auto"/>
              <w:rPr>
                <w:rFonts w:ascii="Times New Roman" w:hAnsi="Times New Roman" w:cs="Times New Roman"/>
                <w:sz w:val="20"/>
                <w:vertAlign w:val="superscript"/>
              </w:rPr>
            </w:pP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Johner and Wruh</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 xml:space="preserve">Primary </w:t>
            </w: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shd w:val="clear" w:color="auto" w:fill="FFFFFF"/>
              </w:rPr>
            </w:pPr>
            <w:r w:rsidRPr="00E20006">
              <w:rPr>
                <w:rFonts w:ascii="Times New Roman" w:hAnsi="Times New Roman" w:cs="Times New Roman"/>
                <w:sz w:val="20"/>
                <w:shd w:val="clear" w:color="auto" w:fill="FFFFFF"/>
              </w:rPr>
              <w:t>E - 40, G – 50 ,F - 10, P - 0</w:t>
            </w:r>
          </w:p>
          <w:p w:rsidR="0029072B" w:rsidRPr="00E20006" w:rsidRDefault="0029072B" w:rsidP="009B4F06">
            <w:pPr>
              <w:tabs>
                <w:tab w:val="left" w:pos="720"/>
                <w:tab w:val="left" w:pos="1440"/>
              </w:tabs>
              <w:spacing w:line="480" w:lineRule="auto"/>
              <w:jc w:val="both"/>
              <w:rPr>
                <w:rFonts w:ascii="Times New Roman" w:hAnsi="Times New Roman" w:cs="Times New Roman"/>
                <w:color w:val="666666"/>
                <w:sz w:val="20"/>
                <w:shd w:val="clear" w:color="auto" w:fill="FFFFFF"/>
              </w:rPr>
            </w:pPr>
          </w:p>
        </w:tc>
      </w:tr>
      <w:tr w:rsidR="0029072B" w:rsidRPr="006F5C59" w:rsidTr="009B4F06">
        <w:trPr>
          <w:trHeight w:val="410"/>
        </w:trPr>
        <w:tc>
          <w:tcPr>
            <w:tcW w:w="2284" w:type="dxa"/>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vertAlign w:val="superscript"/>
              </w:rPr>
            </w:pPr>
            <w:r w:rsidRPr="00E20006">
              <w:rPr>
                <w:rFonts w:ascii="Times New Roman" w:hAnsi="Times New Roman" w:cs="Times New Roman"/>
                <w:sz w:val="20"/>
              </w:rPr>
              <w:t>Jain et al (2005)</w:t>
            </w:r>
            <w:r w:rsidRPr="00E20006">
              <w:rPr>
                <w:rFonts w:ascii="Times New Roman" w:hAnsi="Times New Roman" w:cs="Times New Roman"/>
                <w:sz w:val="20"/>
                <w:vertAlign w:val="superscript"/>
              </w:rPr>
              <w:t>77</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Primary</w:t>
            </w:r>
          </w:p>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E–65, G – 25, F-10</w:t>
            </w:r>
          </w:p>
        </w:tc>
      </w:tr>
      <w:tr w:rsidR="0029072B" w:rsidRPr="006F5C59" w:rsidTr="009B4F06">
        <w:trPr>
          <w:trHeight w:val="1258"/>
        </w:trPr>
        <w:tc>
          <w:tcPr>
            <w:tcW w:w="2284" w:type="dxa"/>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vertAlign w:val="superscript"/>
              </w:rPr>
            </w:pPr>
            <w:r w:rsidRPr="00E20006">
              <w:rPr>
                <w:rFonts w:ascii="Times New Roman" w:hAnsi="Times New Roman" w:cs="Times New Roman"/>
                <w:sz w:val="20"/>
              </w:rPr>
              <w:t>Joshi et al(2004)</w:t>
            </w:r>
            <w:r w:rsidRPr="00E20006">
              <w:rPr>
                <w:rFonts w:ascii="Times New Roman" w:hAnsi="Times New Roman" w:cs="Times New Roman"/>
                <w:sz w:val="20"/>
                <w:vertAlign w:val="superscript"/>
              </w:rPr>
              <w:t>76</w:t>
            </w:r>
          </w:p>
        </w:tc>
        <w:tc>
          <w:tcPr>
            <w:tcW w:w="202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modified Ketenjian’s</w:t>
            </w:r>
          </w:p>
        </w:tc>
        <w:tc>
          <w:tcPr>
            <w:tcW w:w="1107"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Primary</w:t>
            </w:r>
          </w:p>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3206" w:type="dxa"/>
            <w:gridSpan w:val="2"/>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E+G- 86, F- 11, P- 3</w:t>
            </w:r>
          </w:p>
        </w:tc>
      </w:tr>
      <w:tr w:rsidR="0029072B" w:rsidRPr="006F5C59" w:rsidTr="009B4F06">
        <w:trPr>
          <w:trHeight w:val="377"/>
        </w:trPr>
        <w:tc>
          <w:tcPr>
            <w:tcW w:w="2284" w:type="dxa"/>
            <w:vMerge w:val="restart"/>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Present study(2013)</w:t>
            </w:r>
          </w:p>
        </w:tc>
        <w:tc>
          <w:tcPr>
            <w:tcW w:w="2025" w:type="dxa"/>
            <w:vMerge w:val="restart"/>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Johner and Wruh</w:t>
            </w:r>
          </w:p>
        </w:tc>
        <w:tc>
          <w:tcPr>
            <w:tcW w:w="1107" w:type="dxa"/>
            <w:vMerge w:val="restart"/>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Immediate</w:t>
            </w:r>
          </w:p>
        </w:tc>
        <w:tc>
          <w:tcPr>
            <w:tcW w:w="1631"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 -73</w:t>
            </w:r>
          </w:p>
        </w:tc>
        <w:tc>
          <w:tcPr>
            <w:tcW w:w="157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G- 8</w:t>
            </w:r>
          </w:p>
        </w:tc>
      </w:tr>
      <w:tr w:rsidR="0029072B" w:rsidRPr="006F5C59" w:rsidTr="009B4F06">
        <w:trPr>
          <w:trHeight w:val="377"/>
        </w:trPr>
        <w:tc>
          <w:tcPr>
            <w:tcW w:w="2284" w:type="dxa"/>
            <w:vMerge/>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2025" w:type="dxa"/>
            <w:vMerge/>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1107" w:type="dxa"/>
            <w:vMerge/>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1631"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F- 15</w:t>
            </w:r>
          </w:p>
        </w:tc>
        <w:tc>
          <w:tcPr>
            <w:tcW w:w="157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  4</w:t>
            </w:r>
          </w:p>
        </w:tc>
      </w:tr>
      <w:tr w:rsidR="0029072B" w:rsidRPr="006F5C59" w:rsidTr="009B4F06">
        <w:trPr>
          <w:trHeight w:val="377"/>
        </w:trPr>
        <w:tc>
          <w:tcPr>
            <w:tcW w:w="2284" w:type="dxa"/>
            <w:vMerge/>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2025" w:type="dxa"/>
            <w:vMerge/>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1107" w:type="dxa"/>
            <w:vMerge w:val="restart"/>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Delayed</w:t>
            </w:r>
          </w:p>
        </w:tc>
        <w:tc>
          <w:tcPr>
            <w:tcW w:w="1631"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E- 53</w:t>
            </w:r>
          </w:p>
        </w:tc>
        <w:tc>
          <w:tcPr>
            <w:tcW w:w="157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G- 38</w:t>
            </w:r>
          </w:p>
        </w:tc>
      </w:tr>
      <w:tr w:rsidR="0029072B" w:rsidRPr="006F5C59" w:rsidTr="009B4F06">
        <w:trPr>
          <w:trHeight w:val="317"/>
        </w:trPr>
        <w:tc>
          <w:tcPr>
            <w:tcW w:w="2284" w:type="dxa"/>
            <w:vMerge/>
            <w:vAlign w:val="center"/>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2025" w:type="dxa"/>
            <w:vMerge/>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1107" w:type="dxa"/>
            <w:vMerge/>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p>
        </w:tc>
        <w:tc>
          <w:tcPr>
            <w:tcW w:w="1631"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F- 0</w:t>
            </w:r>
          </w:p>
        </w:tc>
        <w:tc>
          <w:tcPr>
            <w:tcW w:w="1575" w:type="dxa"/>
          </w:tcPr>
          <w:p w:rsidR="0029072B" w:rsidRPr="00E20006" w:rsidRDefault="0029072B" w:rsidP="009B4F06">
            <w:pPr>
              <w:tabs>
                <w:tab w:val="left" w:pos="720"/>
                <w:tab w:val="left" w:pos="1440"/>
              </w:tabs>
              <w:spacing w:line="480" w:lineRule="auto"/>
              <w:jc w:val="both"/>
              <w:rPr>
                <w:rFonts w:ascii="Times New Roman" w:hAnsi="Times New Roman" w:cs="Times New Roman"/>
                <w:sz w:val="20"/>
              </w:rPr>
            </w:pPr>
            <w:r w:rsidRPr="00E20006">
              <w:rPr>
                <w:rFonts w:ascii="Times New Roman" w:hAnsi="Times New Roman" w:cs="Times New Roman"/>
                <w:sz w:val="20"/>
              </w:rPr>
              <w:t>P- 4</w:t>
            </w:r>
          </w:p>
        </w:tc>
      </w:tr>
    </w:tbl>
    <w:p w:rsidR="0029072B" w:rsidRDefault="0029072B" w:rsidP="0029072B">
      <w:pPr>
        <w:spacing w:after="120" w:line="480" w:lineRule="auto"/>
        <w:jc w:val="both"/>
        <w:rPr>
          <w:rFonts w:ascii="Times New Roman" w:hAnsi="Times New Roman" w:cs="Times New Roman"/>
          <w:b/>
          <w:sz w:val="24"/>
          <w:szCs w:val="24"/>
        </w:rPr>
      </w:pPr>
    </w:p>
    <w:p w:rsidR="0029072B" w:rsidRDefault="0029072B" w:rsidP="0029072B">
      <w:pPr>
        <w:spacing w:after="120" w:line="480" w:lineRule="auto"/>
        <w:jc w:val="both"/>
        <w:rPr>
          <w:rFonts w:ascii="Times New Roman" w:hAnsi="Times New Roman" w:cs="Times New Roman"/>
          <w:b/>
          <w:sz w:val="24"/>
          <w:szCs w:val="24"/>
        </w:rPr>
      </w:pPr>
      <w:r w:rsidRPr="009E0134">
        <w:rPr>
          <w:rFonts w:ascii="Times New Roman" w:hAnsi="Times New Roman" w:cs="Times New Roman"/>
          <w:b/>
          <w:sz w:val="24"/>
          <w:szCs w:val="24"/>
        </w:rPr>
        <w:t>Discussion:</w:t>
      </w:r>
    </w:p>
    <w:p w:rsidR="0029072B" w:rsidRPr="00EE6B22" w:rsidRDefault="0029072B" w:rsidP="0029072B">
      <w:pPr>
        <w:spacing w:after="120" w:line="480" w:lineRule="auto"/>
        <w:jc w:val="both"/>
        <w:rPr>
          <w:rFonts w:ascii="Times New Roman" w:hAnsi="Times New Roman" w:cs="Times New Roman"/>
          <w:b/>
          <w:sz w:val="24"/>
          <w:szCs w:val="24"/>
        </w:rPr>
      </w:pPr>
      <w:r>
        <w:rPr>
          <w:rFonts w:ascii="Times New Roman" w:hAnsi="Times New Roman" w:cs="Times New Roman"/>
          <w:sz w:val="24"/>
          <w:szCs w:val="24"/>
        </w:rPr>
        <w:t>Fracture of the shaft of tibia is</w:t>
      </w:r>
      <w:r w:rsidRPr="009E0134">
        <w:rPr>
          <w:rFonts w:ascii="Times New Roman" w:hAnsi="Times New Roman" w:cs="Times New Roman"/>
          <w:sz w:val="24"/>
          <w:szCs w:val="24"/>
        </w:rPr>
        <w:t xml:space="preserve"> common injury and </w:t>
      </w:r>
      <w:r>
        <w:rPr>
          <w:rFonts w:ascii="Times New Roman" w:hAnsi="Times New Roman" w:cs="Times New Roman"/>
          <w:sz w:val="24"/>
          <w:szCs w:val="24"/>
        </w:rPr>
        <w:t>it continues to pose challenge for the orthopaedic</w:t>
      </w:r>
      <w:r w:rsidRPr="009E0134">
        <w:rPr>
          <w:rFonts w:ascii="Times New Roman" w:hAnsi="Times New Roman" w:cs="Times New Roman"/>
          <w:sz w:val="24"/>
          <w:szCs w:val="24"/>
        </w:rPr>
        <w:t xml:space="preserve"> surgeon. With an eventful history of both non-operative and operative treatment, the current opinion is still controversial.</w:t>
      </w:r>
      <w:r w:rsidRPr="009E0134">
        <w:rPr>
          <w:rFonts w:ascii="Times New Roman" w:eastAsia="Times New Roman" w:hAnsi="Times New Roman" w:cs="Times New Roman"/>
          <w:sz w:val="24"/>
          <w:szCs w:val="24"/>
        </w:rPr>
        <w:t xml:space="preserve"> Davis</w:t>
      </w:r>
      <w:r w:rsidRPr="009E0134">
        <w:rPr>
          <w:rFonts w:ascii="Times New Roman" w:eastAsia="Times New Roman" w:hAnsi="Times New Roman" w:cs="Times New Roman"/>
          <w:sz w:val="24"/>
          <w:szCs w:val="24"/>
          <w:vertAlign w:val="superscript"/>
        </w:rPr>
        <w:t>3</w:t>
      </w:r>
      <w:r w:rsidRPr="009E0134">
        <w:rPr>
          <w:rFonts w:ascii="Times New Roman" w:eastAsia="Times New Roman" w:hAnsi="Times New Roman" w:cs="Times New Roman"/>
          <w:sz w:val="24"/>
          <w:szCs w:val="24"/>
        </w:rPr>
        <w:t xml:space="preserve"> performed the first immediate internal fixation following timely initial debridement of open fractures. </w:t>
      </w:r>
      <w:proofErr w:type="gramStart"/>
      <w:r w:rsidRPr="009E0134">
        <w:rPr>
          <w:rFonts w:ascii="Times New Roman" w:eastAsia="Times New Roman" w:hAnsi="Times New Roman" w:cs="Times New Roman"/>
          <w:sz w:val="24"/>
          <w:szCs w:val="24"/>
        </w:rPr>
        <w:t>McGraw</w:t>
      </w:r>
      <w:r w:rsidRPr="009E0134">
        <w:rPr>
          <w:rFonts w:ascii="Times New Roman" w:eastAsia="Times New Roman" w:hAnsi="Times New Roman" w:cs="Times New Roman"/>
          <w:i/>
          <w:iCs/>
          <w:sz w:val="24"/>
          <w:szCs w:val="24"/>
        </w:rPr>
        <w:t>etal(</w:t>
      </w:r>
      <w:proofErr w:type="gramEnd"/>
      <w:r w:rsidRPr="009E0134">
        <w:rPr>
          <w:rFonts w:ascii="Times New Roman" w:eastAsia="Times New Roman" w:hAnsi="Times New Roman" w:cs="Times New Roman"/>
          <w:i/>
          <w:iCs/>
          <w:sz w:val="24"/>
          <w:szCs w:val="24"/>
        </w:rPr>
        <w:t>1988)</w:t>
      </w:r>
      <w:r w:rsidRPr="009E0134">
        <w:rPr>
          <w:rFonts w:ascii="Times New Roman" w:eastAsia="Times New Roman" w:hAnsi="Times New Roman" w:cs="Times New Roman"/>
          <w:i/>
          <w:iCs/>
          <w:sz w:val="24"/>
          <w:szCs w:val="24"/>
          <w:vertAlign w:val="superscript"/>
        </w:rPr>
        <w:t>4</w:t>
      </w:r>
      <w:r w:rsidRPr="009E0134">
        <w:rPr>
          <w:rFonts w:ascii="Times New Roman" w:eastAsia="Times New Roman" w:hAnsi="Times New Roman" w:cs="Times New Roman"/>
          <w:sz w:val="24"/>
          <w:szCs w:val="24"/>
        </w:rPr>
        <w:t xml:space="preserve"> noted high rate of infection if nailing was done after removal of fixator. </w:t>
      </w:r>
      <w:proofErr w:type="gramStart"/>
      <w:r w:rsidRPr="009E0134">
        <w:rPr>
          <w:rFonts w:ascii="Times New Roman" w:eastAsia="Times New Roman" w:hAnsi="Times New Roman" w:cs="Times New Roman"/>
          <w:sz w:val="24"/>
          <w:szCs w:val="24"/>
        </w:rPr>
        <w:lastRenderedPageBreak/>
        <w:t>Katenzian(</w:t>
      </w:r>
      <w:proofErr w:type="gramEnd"/>
      <w:r w:rsidRPr="009E0134">
        <w:rPr>
          <w:rFonts w:ascii="Times New Roman" w:eastAsia="Times New Roman" w:hAnsi="Times New Roman" w:cs="Times New Roman"/>
          <w:sz w:val="24"/>
          <w:szCs w:val="24"/>
        </w:rPr>
        <w:t>1972)</w:t>
      </w:r>
      <w:r w:rsidRPr="009E0134">
        <w:rPr>
          <w:rFonts w:ascii="Times New Roman" w:eastAsia="Times New Roman" w:hAnsi="Times New Roman" w:cs="Times New Roman"/>
          <w:sz w:val="24"/>
          <w:szCs w:val="24"/>
          <w:vertAlign w:val="superscript"/>
        </w:rPr>
        <w:t>5</w:t>
      </w:r>
      <w:r w:rsidRPr="009E0134">
        <w:rPr>
          <w:rFonts w:ascii="Times New Roman" w:eastAsia="Times New Roman" w:hAnsi="Times New Roman" w:cs="Times New Roman"/>
          <w:sz w:val="24"/>
          <w:szCs w:val="24"/>
        </w:rPr>
        <w:t>, Riemer(1995)</w:t>
      </w:r>
      <w:r w:rsidRPr="009E0134">
        <w:rPr>
          <w:rFonts w:ascii="Times New Roman" w:eastAsia="Times New Roman" w:hAnsi="Times New Roman" w:cs="Times New Roman"/>
          <w:sz w:val="24"/>
          <w:szCs w:val="24"/>
          <w:vertAlign w:val="superscript"/>
        </w:rPr>
        <w:t>6</w:t>
      </w:r>
      <w:r w:rsidRPr="009E0134">
        <w:rPr>
          <w:rFonts w:ascii="Times New Roman" w:eastAsia="Times New Roman" w:hAnsi="Times New Roman" w:cs="Times New Roman"/>
          <w:sz w:val="24"/>
          <w:szCs w:val="24"/>
        </w:rPr>
        <w:t xml:space="preserve"> and Yokoyama </w:t>
      </w:r>
      <w:r w:rsidRPr="009E0134">
        <w:rPr>
          <w:rFonts w:ascii="Times New Roman" w:eastAsia="Times New Roman" w:hAnsi="Times New Roman" w:cs="Times New Roman"/>
          <w:i/>
          <w:iCs/>
          <w:sz w:val="24"/>
          <w:szCs w:val="24"/>
        </w:rPr>
        <w:t>et al(2006)</w:t>
      </w:r>
      <w:r w:rsidRPr="009E0134">
        <w:rPr>
          <w:rFonts w:ascii="Times New Roman" w:eastAsia="Times New Roman" w:hAnsi="Times New Roman" w:cs="Times New Roman"/>
          <w:i/>
          <w:iCs/>
          <w:sz w:val="24"/>
          <w:szCs w:val="24"/>
          <w:vertAlign w:val="superscript"/>
        </w:rPr>
        <w:t>7</w:t>
      </w:r>
      <w:r w:rsidRPr="009E0134">
        <w:rPr>
          <w:rFonts w:ascii="Times New Roman" w:eastAsia="Times New Roman" w:hAnsi="Times New Roman" w:cs="Times New Roman"/>
          <w:sz w:val="24"/>
          <w:szCs w:val="24"/>
        </w:rPr>
        <w:t>believed there are definitive advantages of primary internal fixation provided infection could be prevented by careful and radical debridement and use of antibiotics.</w:t>
      </w:r>
      <w:r w:rsidRPr="009E0134">
        <w:rPr>
          <w:rFonts w:ascii="Times New Roman" w:hAnsi="Times New Roman" w:cs="Times New Roman"/>
          <w:sz w:val="24"/>
          <w:szCs w:val="24"/>
        </w:rPr>
        <w:t xml:space="preserve"> All immediately closed cases went for uneventful healing </w:t>
      </w:r>
      <w:r>
        <w:rPr>
          <w:rFonts w:ascii="Times New Roman" w:hAnsi="Times New Roman" w:cs="Times New Roman"/>
          <w:sz w:val="24"/>
          <w:szCs w:val="24"/>
        </w:rPr>
        <w:t>in immediate nailing except one with</w:t>
      </w:r>
      <w:r w:rsidRPr="009E0134">
        <w:rPr>
          <w:rFonts w:ascii="Times New Roman" w:hAnsi="Times New Roman" w:cs="Times New Roman"/>
          <w:sz w:val="24"/>
          <w:szCs w:val="24"/>
        </w:rPr>
        <w:t xml:space="preserve"> superficial infection (8.33%) while 4 case</w:t>
      </w:r>
      <w:r>
        <w:rPr>
          <w:rFonts w:ascii="Times New Roman" w:hAnsi="Times New Roman" w:cs="Times New Roman"/>
          <w:sz w:val="24"/>
          <w:szCs w:val="24"/>
        </w:rPr>
        <w:t>s of deep infectetion</w:t>
      </w:r>
      <w:r w:rsidRPr="009E0134">
        <w:rPr>
          <w:rFonts w:ascii="Times New Roman" w:hAnsi="Times New Roman" w:cs="Times New Roman"/>
          <w:sz w:val="24"/>
          <w:szCs w:val="24"/>
        </w:rPr>
        <w:t xml:space="preserve"> (28.2%). This shows trend towards primary closure of compound wound. </w:t>
      </w:r>
      <w:r w:rsidRPr="009E0134">
        <w:rPr>
          <w:rFonts w:ascii="Times New Roman" w:hAnsi="Times New Roman" w:cs="Times New Roman"/>
          <w:color w:val="000000"/>
          <w:sz w:val="24"/>
          <w:szCs w:val="24"/>
          <w:shd w:val="clear" w:color="auto" w:fill="FFFFFF"/>
        </w:rPr>
        <w:t>K Yokoyama et al (2006)</w:t>
      </w:r>
      <w:r w:rsidRPr="009E0134">
        <w:rPr>
          <w:rFonts w:ascii="Times New Roman" w:hAnsi="Times New Roman" w:cs="Times New Roman"/>
          <w:color w:val="000000"/>
          <w:sz w:val="24"/>
          <w:szCs w:val="24"/>
          <w:shd w:val="clear" w:color="auto" w:fill="FFFFFF"/>
          <w:vertAlign w:val="superscript"/>
        </w:rPr>
        <w:t>8</w:t>
      </w:r>
      <w:r w:rsidRPr="009E0134">
        <w:rPr>
          <w:rFonts w:ascii="Times New Roman" w:hAnsi="Times New Roman" w:cs="Times New Roman"/>
          <w:color w:val="000000"/>
          <w:sz w:val="24"/>
          <w:szCs w:val="24"/>
          <w:shd w:val="clear" w:color="auto" w:fill="FFFFFF"/>
        </w:rPr>
        <w:t xml:space="preserve"> concluded that early skin closure within 1 week is the most important factor in preventing deep infections when treating open tibial fractures. Yaremchuk </w:t>
      </w:r>
      <w:proofErr w:type="gramStart"/>
      <w:r w:rsidRPr="009E0134">
        <w:rPr>
          <w:rFonts w:ascii="Times New Roman" w:hAnsi="Times New Roman" w:cs="Times New Roman"/>
          <w:color w:val="000000"/>
          <w:sz w:val="24"/>
          <w:szCs w:val="24"/>
          <w:shd w:val="clear" w:color="auto" w:fill="FFFFFF"/>
        </w:rPr>
        <w:t>M(</w:t>
      </w:r>
      <w:proofErr w:type="gramEnd"/>
      <w:r w:rsidRPr="009E0134">
        <w:rPr>
          <w:rFonts w:ascii="Times New Roman" w:hAnsi="Times New Roman" w:cs="Times New Roman"/>
          <w:color w:val="000000"/>
          <w:sz w:val="24"/>
          <w:szCs w:val="24"/>
          <w:shd w:val="clear" w:color="auto" w:fill="FFFFFF"/>
        </w:rPr>
        <w:t>1987)</w:t>
      </w:r>
      <w:r w:rsidRPr="009E0134">
        <w:rPr>
          <w:rFonts w:ascii="Times New Roman" w:hAnsi="Times New Roman" w:cs="Times New Roman"/>
          <w:color w:val="000000"/>
          <w:sz w:val="24"/>
          <w:szCs w:val="24"/>
          <w:shd w:val="clear" w:color="auto" w:fill="FFFFFF"/>
          <w:vertAlign w:val="superscript"/>
        </w:rPr>
        <w:t>10</w:t>
      </w:r>
      <w:r w:rsidRPr="009E0134">
        <w:rPr>
          <w:rFonts w:ascii="Times New Roman" w:hAnsi="Times New Roman" w:cs="Times New Roman"/>
          <w:color w:val="000000"/>
          <w:sz w:val="24"/>
          <w:szCs w:val="24"/>
          <w:shd w:val="clear" w:color="auto" w:fill="FFFFFF"/>
        </w:rPr>
        <w:t>, Fischer MD et al(1991)</w:t>
      </w:r>
      <w:r w:rsidRPr="009E0134">
        <w:rPr>
          <w:rFonts w:ascii="Times New Roman" w:hAnsi="Times New Roman" w:cs="Times New Roman"/>
          <w:color w:val="000000"/>
          <w:sz w:val="24"/>
          <w:szCs w:val="24"/>
          <w:shd w:val="clear" w:color="auto" w:fill="FFFFFF"/>
          <w:vertAlign w:val="superscript"/>
        </w:rPr>
        <w:t>9</w:t>
      </w:r>
      <w:r w:rsidRPr="009E0134">
        <w:rPr>
          <w:rFonts w:ascii="Times New Roman" w:hAnsi="Times New Roman" w:cs="Times New Roman"/>
          <w:color w:val="000000"/>
          <w:sz w:val="24"/>
          <w:szCs w:val="24"/>
          <w:shd w:val="clear" w:color="auto" w:fill="FFFFFF"/>
        </w:rPr>
        <w:t>, Osterman PA et al(1994 )</w:t>
      </w:r>
      <w:r w:rsidRPr="009E0134">
        <w:rPr>
          <w:rFonts w:ascii="Times New Roman" w:hAnsi="Times New Roman" w:cs="Times New Roman"/>
          <w:color w:val="000000"/>
          <w:sz w:val="24"/>
          <w:szCs w:val="24"/>
          <w:shd w:val="clear" w:color="auto" w:fill="FFFFFF"/>
          <w:vertAlign w:val="superscript"/>
        </w:rPr>
        <w:t>13</w:t>
      </w:r>
      <w:r w:rsidRPr="009E0134">
        <w:rPr>
          <w:rFonts w:ascii="Times New Roman" w:hAnsi="Times New Roman" w:cs="Times New Roman"/>
          <w:color w:val="000000"/>
          <w:sz w:val="24"/>
          <w:szCs w:val="24"/>
          <w:shd w:val="clear" w:color="auto" w:fill="FFFFFF"/>
        </w:rPr>
        <w:t>, Gopal S et al(2000)</w:t>
      </w:r>
      <w:r w:rsidRPr="009E0134">
        <w:rPr>
          <w:rFonts w:ascii="Times New Roman" w:hAnsi="Times New Roman" w:cs="Times New Roman"/>
          <w:color w:val="000000"/>
          <w:sz w:val="24"/>
          <w:szCs w:val="24"/>
          <w:shd w:val="clear" w:color="auto" w:fill="FFFFFF"/>
          <w:vertAlign w:val="superscript"/>
        </w:rPr>
        <w:t>14</w:t>
      </w:r>
      <w:r>
        <w:rPr>
          <w:rFonts w:ascii="Times New Roman" w:hAnsi="Times New Roman" w:cs="Times New Roman"/>
          <w:color w:val="000000"/>
          <w:sz w:val="24"/>
          <w:szCs w:val="24"/>
          <w:shd w:val="clear" w:color="auto" w:fill="FFFFFF"/>
          <w:vertAlign w:val="superscript"/>
        </w:rPr>
        <w:t xml:space="preserve"> </w:t>
      </w:r>
      <w:r>
        <w:rPr>
          <w:rFonts w:ascii="Times New Roman" w:hAnsi="Times New Roman" w:cs="Times New Roman"/>
          <w:color w:val="000000"/>
          <w:sz w:val="24"/>
          <w:szCs w:val="24"/>
          <w:shd w:val="clear" w:color="auto" w:fill="FFFFFF"/>
        </w:rPr>
        <w:t>,</w:t>
      </w:r>
      <w:r w:rsidRPr="009E0134">
        <w:rPr>
          <w:rFonts w:ascii="Times New Roman" w:hAnsi="Times New Roman" w:cs="Times New Roman"/>
          <w:color w:val="000000"/>
          <w:sz w:val="24"/>
          <w:szCs w:val="24"/>
          <w:shd w:val="clear" w:color="auto" w:fill="FFFFFF"/>
        </w:rPr>
        <w:t>Hohmann E et al(2007)</w:t>
      </w:r>
      <w:r w:rsidRPr="009E0134">
        <w:rPr>
          <w:rFonts w:ascii="Times New Roman" w:hAnsi="Times New Roman" w:cs="Times New Roman"/>
          <w:color w:val="000000"/>
          <w:sz w:val="24"/>
          <w:szCs w:val="24"/>
          <w:shd w:val="clear" w:color="auto" w:fill="FFFFFF"/>
          <w:vertAlign w:val="superscript"/>
        </w:rPr>
        <w:t>11</w:t>
      </w:r>
      <w:r w:rsidRPr="009E0134">
        <w:rPr>
          <w:rFonts w:ascii="Times New Roman" w:hAnsi="Times New Roman" w:cs="Times New Roman"/>
          <w:color w:val="000000"/>
          <w:sz w:val="24"/>
          <w:szCs w:val="24"/>
          <w:shd w:val="clear" w:color="auto" w:fill="FFFFFF"/>
        </w:rPr>
        <w:t>, Levin LS.</w:t>
      </w:r>
      <w:r w:rsidRPr="009E0134">
        <w:rPr>
          <w:rStyle w:val="apple-converted-space"/>
          <w:rFonts w:ascii="Times New Roman" w:hAnsi="Times New Roman" w:cs="Times New Roman"/>
          <w:color w:val="000000"/>
          <w:sz w:val="24"/>
          <w:szCs w:val="24"/>
          <w:shd w:val="clear" w:color="auto" w:fill="FFFFFF"/>
        </w:rPr>
        <w:t xml:space="preserve">  </w:t>
      </w:r>
      <w:proofErr w:type="gramStart"/>
      <w:r w:rsidRPr="009E0134">
        <w:rPr>
          <w:rStyle w:val="apple-converted-space"/>
          <w:rFonts w:ascii="Times New Roman" w:hAnsi="Times New Roman" w:cs="Times New Roman"/>
          <w:color w:val="000000"/>
          <w:sz w:val="24"/>
          <w:szCs w:val="24"/>
          <w:shd w:val="clear" w:color="auto" w:fill="FFFFFF"/>
        </w:rPr>
        <w:t>et</w:t>
      </w:r>
      <w:proofErr w:type="gramEnd"/>
      <w:r w:rsidRPr="009E0134">
        <w:rPr>
          <w:rStyle w:val="apple-converted-space"/>
          <w:rFonts w:ascii="Times New Roman" w:hAnsi="Times New Roman" w:cs="Times New Roman"/>
          <w:color w:val="000000"/>
          <w:sz w:val="24"/>
          <w:szCs w:val="24"/>
          <w:shd w:val="clear" w:color="auto" w:fill="FFFFFF"/>
        </w:rPr>
        <w:t xml:space="preserve"> al (2007)</w:t>
      </w:r>
      <w:r w:rsidRPr="009E0134">
        <w:rPr>
          <w:rStyle w:val="apple-converted-space"/>
          <w:rFonts w:ascii="Times New Roman" w:hAnsi="Times New Roman" w:cs="Times New Roman"/>
          <w:color w:val="000000"/>
          <w:sz w:val="24"/>
          <w:szCs w:val="24"/>
          <w:shd w:val="clear" w:color="auto" w:fill="FFFFFF"/>
          <w:vertAlign w:val="superscript"/>
        </w:rPr>
        <w:t>12</w:t>
      </w:r>
      <w:r w:rsidRPr="009E0134">
        <w:rPr>
          <w:rStyle w:val="apple-converted-space"/>
          <w:rFonts w:ascii="Times New Roman" w:hAnsi="Times New Roman" w:cs="Times New Roman"/>
          <w:color w:val="000000"/>
          <w:sz w:val="24"/>
          <w:szCs w:val="24"/>
          <w:shd w:val="clear" w:color="auto" w:fill="FFFFFF"/>
        </w:rPr>
        <w:t>,</w:t>
      </w:r>
      <w:r w:rsidRPr="009E0134">
        <w:rPr>
          <w:rFonts w:ascii="Times New Roman" w:hAnsi="Times New Roman" w:cs="Times New Roman"/>
          <w:color w:val="000000"/>
          <w:sz w:val="24"/>
          <w:szCs w:val="24"/>
          <w:shd w:val="clear" w:color="auto" w:fill="FFFFFF"/>
        </w:rPr>
        <w:t xml:space="preserve">  have also documented significantly better outcomes with early closure (within 7 days). </w:t>
      </w:r>
      <w:r w:rsidRPr="009E0134">
        <w:rPr>
          <w:rFonts w:ascii="Times New Roman" w:hAnsi="Times New Roman" w:cs="Times New Roman"/>
          <w:sz w:val="24"/>
          <w:szCs w:val="24"/>
        </w:rPr>
        <w:t>Siebenrock et al(1997)</w:t>
      </w:r>
      <w:r w:rsidRPr="009E0134">
        <w:rPr>
          <w:rFonts w:ascii="Times New Roman" w:hAnsi="Times New Roman" w:cs="Times New Roman"/>
          <w:sz w:val="24"/>
          <w:szCs w:val="24"/>
          <w:vertAlign w:val="superscript"/>
        </w:rPr>
        <w:t>15</w:t>
      </w:r>
      <w:r w:rsidRPr="009E0134">
        <w:rPr>
          <w:rFonts w:ascii="Times New Roman" w:hAnsi="Times New Roman" w:cs="Times New Roman"/>
          <w:sz w:val="24"/>
          <w:szCs w:val="24"/>
        </w:rPr>
        <w:t xml:space="preserve">  reported average full weight bearing time in delayed nailing group to be 27 , 27, and 41 weeks respectively in open type II, IIIA, IIIB fractures ,which is comparable to our study. Our study showed that immediate nailing led to faster union compared to delayed </w:t>
      </w:r>
      <w:proofErr w:type="gramStart"/>
      <w:r w:rsidRPr="009E0134">
        <w:rPr>
          <w:rFonts w:ascii="Times New Roman" w:hAnsi="Times New Roman" w:cs="Times New Roman"/>
          <w:sz w:val="24"/>
          <w:szCs w:val="24"/>
        </w:rPr>
        <w:t>nailing .</w:t>
      </w:r>
      <w:proofErr w:type="gramEnd"/>
      <w:r w:rsidRPr="009E0134">
        <w:rPr>
          <w:rFonts w:ascii="Times New Roman" w:hAnsi="Times New Roman" w:cs="Times New Roman"/>
          <w:sz w:val="24"/>
          <w:szCs w:val="24"/>
        </w:rPr>
        <w:t xml:space="preserve"> Results of  Reimer et al </w:t>
      </w:r>
      <w:r w:rsidRPr="009E0134">
        <w:rPr>
          <w:rFonts w:ascii="Times New Roman" w:hAnsi="Times New Roman" w:cs="Times New Roman"/>
          <w:sz w:val="24"/>
          <w:szCs w:val="24"/>
          <w:vertAlign w:val="superscript"/>
        </w:rPr>
        <w:t>16</w:t>
      </w:r>
      <w:r w:rsidRPr="009E0134">
        <w:rPr>
          <w:rFonts w:ascii="Times New Roman" w:hAnsi="Times New Roman" w:cs="Times New Roman"/>
          <w:sz w:val="24"/>
          <w:szCs w:val="24"/>
        </w:rPr>
        <w:t xml:space="preserve"> union rate 7.6 months, Singer and Kellam</w:t>
      </w:r>
      <w:r w:rsidRPr="009E0134">
        <w:rPr>
          <w:rFonts w:ascii="Times New Roman" w:hAnsi="Times New Roman" w:cs="Times New Roman"/>
          <w:sz w:val="24"/>
          <w:szCs w:val="24"/>
          <w:vertAlign w:val="superscript"/>
        </w:rPr>
        <w:t>17</w:t>
      </w:r>
      <w:r w:rsidRPr="009E0134">
        <w:rPr>
          <w:rFonts w:ascii="Times New Roman" w:hAnsi="Times New Roman" w:cs="Times New Roman"/>
          <w:sz w:val="24"/>
          <w:szCs w:val="24"/>
        </w:rPr>
        <w:t xml:space="preserve"> union rate 6.1 months, Schandelmaier et al </w:t>
      </w:r>
      <w:r w:rsidRPr="009E0134">
        <w:rPr>
          <w:rFonts w:ascii="Times New Roman" w:hAnsi="Times New Roman" w:cs="Times New Roman"/>
          <w:sz w:val="24"/>
          <w:szCs w:val="24"/>
          <w:vertAlign w:val="superscript"/>
        </w:rPr>
        <w:t>18</w:t>
      </w:r>
      <w:r w:rsidRPr="009E0134">
        <w:rPr>
          <w:rFonts w:ascii="Times New Roman" w:hAnsi="Times New Roman" w:cs="Times New Roman"/>
          <w:sz w:val="24"/>
          <w:szCs w:val="24"/>
        </w:rPr>
        <w:t xml:space="preserve">union rate 25.8±14 weeks, Hasse et al </w:t>
      </w:r>
      <w:r w:rsidRPr="009E0134">
        <w:rPr>
          <w:rFonts w:ascii="Times New Roman" w:hAnsi="Times New Roman" w:cs="Times New Roman"/>
          <w:sz w:val="24"/>
          <w:szCs w:val="24"/>
          <w:vertAlign w:val="superscript"/>
        </w:rPr>
        <w:t>19</w:t>
      </w:r>
      <w:r w:rsidRPr="009E0134">
        <w:rPr>
          <w:rFonts w:ascii="Times New Roman" w:hAnsi="Times New Roman" w:cs="Times New Roman"/>
          <w:sz w:val="24"/>
          <w:szCs w:val="24"/>
        </w:rPr>
        <w:t xml:space="preserve"> 6 months and</w:t>
      </w:r>
      <w:r>
        <w:rPr>
          <w:rFonts w:ascii="Times New Roman" w:hAnsi="Times New Roman" w:cs="Times New Roman"/>
          <w:sz w:val="24"/>
          <w:szCs w:val="24"/>
        </w:rPr>
        <w:t xml:space="preserve"> </w:t>
      </w:r>
      <w:r w:rsidRPr="009E0134">
        <w:rPr>
          <w:rFonts w:ascii="Times New Roman" w:hAnsi="Times New Roman" w:cs="Times New Roman"/>
          <w:sz w:val="24"/>
          <w:szCs w:val="24"/>
        </w:rPr>
        <w:t xml:space="preserve">Osterman PA et al </w:t>
      </w:r>
      <w:r w:rsidRPr="009E0134">
        <w:rPr>
          <w:rFonts w:ascii="Times New Roman" w:hAnsi="Times New Roman" w:cs="Times New Roman"/>
          <w:sz w:val="24"/>
          <w:szCs w:val="24"/>
          <w:vertAlign w:val="superscript"/>
        </w:rPr>
        <w:t>20</w:t>
      </w:r>
      <w:r w:rsidRPr="009E0134">
        <w:rPr>
          <w:rFonts w:ascii="Times New Roman" w:hAnsi="Times New Roman" w:cs="Times New Roman"/>
          <w:sz w:val="24"/>
          <w:szCs w:val="24"/>
        </w:rPr>
        <w:t xml:space="preserve"> - 23.5weeks were also comparable to our study.</w:t>
      </w:r>
      <w:r>
        <w:rPr>
          <w:rFonts w:ascii="Times New Roman" w:hAnsi="Times New Roman" w:cs="Times New Roman"/>
          <w:sz w:val="24"/>
          <w:szCs w:val="24"/>
        </w:rPr>
        <w:t xml:space="preserve"> </w:t>
      </w:r>
      <w:r w:rsidRPr="009E0134">
        <w:rPr>
          <w:rFonts w:ascii="Times New Roman" w:hAnsi="Times New Roman" w:cs="Times New Roman"/>
          <w:sz w:val="24"/>
          <w:szCs w:val="24"/>
        </w:rPr>
        <w:t xml:space="preserve">Singh et </w:t>
      </w:r>
      <w:proofErr w:type="gramStart"/>
      <w:r w:rsidRPr="009E0134">
        <w:rPr>
          <w:rFonts w:ascii="Times New Roman" w:hAnsi="Times New Roman" w:cs="Times New Roman"/>
          <w:sz w:val="24"/>
          <w:szCs w:val="24"/>
        </w:rPr>
        <w:t>al(</w:t>
      </w:r>
      <w:proofErr w:type="gramEnd"/>
      <w:r w:rsidRPr="009E0134">
        <w:rPr>
          <w:rFonts w:ascii="Times New Roman" w:hAnsi="Times New Roman" w:cs="Times New Roman"/>
          <w:sz w:val="24"/>
          <w:szCs w:val="24"/>
        </w:rPr>
        <w:t>2010)</w:t>
      </w:r>
      <w:r w:rsidRPr="009E0134">
        <w:rPr>
          <w:rFonts w:ascii="Times New Roman" w:hAnsi="Times New Roman" w:cs="Times New Roman"/>
          <w:sz w:val="24"/>
          <w:szCs w:val="24"/>
          <w:vertAlign w:val="superscript"/>
        </w:rPr>
        <w:t>21</w:t>
      </w:r>
      <w:r w:rsidRPr="009E0134">
        <w:rPr>
          <w:rFonts w:ascii="Times New Roman" w:hAnsi="Times New Roman" w:cs="Times New Roman"/>
          <w:sz w:val="24"/>
          <w:szCs w:val="24"/>
        </w:rPr>
        <w:t>found delayed union rate of 26.6%</w:t>
      </w:r>
      <w:r>
        <w:rPr>
          <w:rFonts w:ascii="Times New Roman" w:hAnsi="Times New Roman" w:cs="Times New Roman"/>
          <w:sz w:val="24"/>
          <w:szCs w:val="24"/>
        </w:rPr>
        <w:t>.  I</w:t>
      </w:r>
      <w:r w:rsidRPr="009E0134">
        <w:rPr>
          <w:rFonts w:ascii="Times New Roman" w:hAnsi="Times New Roman" w:cs="Times New Roman"/>
          <w:sz w:val="24"/>
          <w:szCs w:val="24"/>
        </w:rPr>
        <w:t xml:space="preserve">n their study </w:t>
      </w:r>
      <w:r w:rsidRPr="009E0134">
        <w:rPr>
          <w:rFonts w:ascii="Times New Roman" w:hAnsi="Times New Roman" w:cs="Times New Roman"/>
          <w:sz w:val="24"/>
          <w:szCs w:val="24"/>
          <w:shd w:val="clear" w:color="auto" w:fill="FFFFFF"/>
        </w:rPr>
        <w:t>concluded that un</w:t>
      </w:r>
      <w:r>
        <w:rPr>
          <w:rFonts w:ascii="Times New Roman" w:hAnsi="Times New Roman" w:cs="Times New Roman"/>
          <w:sz w:val="24"/>
          <w:szCs w:val="24"/>
          <w:shd w:val="clear" w:color="auto" w:fill="FFFFFF"/>
        </w:rPr>
        <w:t>-</w:t>
      </w:r>
      <w:r w:rsidRPr="009E0134">
        <w:rPr>
          <w:rFonts w:ascii="Times New Roman" w:hAnsi="Times New Roman" w:cs="Times New Roman"/>
          <w:sz w:val="24"/>
          <w:szCs w:val="24"/>
          <w:shd w:val="clear" w:color="auto" w:fill="FFFFFF"/>
        </w:rPr>
        <w:t xml:space="preserve">reamed interlocking with solid nail is a good mode of immediate internal fixation of compound fractures of tibia (grade I - IIIB) as it allows early weight bearing, minimizes the chances of infection and delayed union and has led to union in almost all the </w:t>
      </w:r>
      <w:proofErr w:type="gramStart"/>
      <w:r w:rsidRPr="009E0134">
        <w:rPr>
          <w:rFonts w:ascii="Times New Roman" w:hAnsi="Times New Roman" w:cs="Times New Roman"/>
          <w:sz w:val="24"/>
          <w:szCs w:val="24"/>
          <w:shd w:val="clear" w:color="auto" w:fill="FFFFFF"/>
        </w:rPr>
        <w:t xml:space="preserve">cases </w:t>
      </w:r>
      <w:r w:rsidRPr="009E0134">
        <w:rPr>
          <w:rFonts w:ascii="Times New Roman" w:hAnsi="Times New Roman" w:cs="Times New Roman"/>
          <w:sz w:val="24"/>
          <w:szCs w:val="24"/>
        </w:rPr>
        <w:t>.</w:t>
      </w:r>
      <w:proofErr w:type="gramEnd"/>
      <w:r w:rsidRPr="009E0134">
        <w:rPr>
          <w:rFonts w:ascii="Times New Roman" w:hAnsi="Times New Roman" w:cs="Times New Roman"/>
          <w:sz w:val="24"/>
          <w:szCs w:val="24"/>
        </w:rPr>
        <w:t xml:space="preserve"> We believe that the un-reamed smaller diameter nails failed to provide sufficient rotational stability. We agree with Blachut et al (1997)</w:t>
      </w:r>
      <w:r w:rsidRPr="009E0134">
        <w:rPr>
          <w:rFonts w:ascii="Times New Roman" w:hAnsi="Times New Roman" w:cs="Times New Roman"/>
          <w:sz w:val="24"/>
          <w:szCs w:val="24"/>
          <w:vertAlign w:val="superscript"/>
        </w:rPr>
        <w:t>22</w:t>
      </w:r>
      <w:r w:rsidRPr="009E0134">
        <w:rPr>
          <w:rFonts w:ascii="Times New Roman" w:hAnsi="Times New Roman" w:cs="Times New Roman"/>
          <w:sz w:val="24"/>
          <w:szCs w:val="24"/>
        </w:rPr>
        <w:t xml:space="preserve"> that the nails inserted without reaming are usually smaller diameter nails which provide less stability. The weak link are the locking screws, that too the distal ones. Other authors have also reported similar problems in patients who were not allowed early weight-bearing.</w:t>
      </w:r>
    </w:p>
    <w:p w:rsidR="0029072B" w:rsidRDefault="0029072B" w:rsidP="0029072B">
      <w:pPr>
        <w:spacing w:line="480" w:lineRule="auto"/>
        <w:jc w:val="both"/>
        <w:rPr>
          <w:rFonts w:ascii="Times New Roman" w:hAnsi="Times New Roman" w:cs="Times New Roman"/>
        </w:rPr>
      </w:pPr>
      <w:r w:rsidRPr="009E0134">
        <w:rPr>
          <w:rFonts w:ascii="Times New Roman" w:hAnsi="Times New Roman" w:cs="Times New Roman"/>
          <w:b/>
          <w:bCs/>
          <w:sz w:val="24"/>
          <w:szCs w:val="24"/>
        </w:rPr>
        <w:lastRenderedPageBreak/>
        <w:t xml:space="preserve">Conclusion </w:t>
      </w:r>
    </w:p>
    <w:p w:rsidR="0029072B" w:rsidRDefault="0029072B" w:rsidP="0029072B">
      <w:pPr>
        <w:spacing w:line="480" w:lineRule="auto"/>
        <w:jc w:val="both"/>
        <w:rPr>
          <w:rFonts w:ascii="Times New Roman" w:hAnsi="Times New Roman" w:cs="Times New Roman"/>
          <w:sz w:val="24"/>
          <w:szCs w:val="24"/>
        </w:rPr>
      </w:pPr>
      <w:r w:rsidRPr="009E0134">
        <w:rPr>
          <w:rFonts w:ascii="Times New Roman" w:hAnsi="Times New Roman" w:cs="Times New Roman"/>
          <w:sz w:val="24"/>
          <w:szCs w:val="24"/>
        </w:rPr>
        <w:t xml:space="preserve">Achievement of length, apposition, axial and rotational alignment provides excellent functional results following fractures of tibial diaphysis. A proper pre-operative planning as well as intra-operative observance of basic surgical principles is essential for treating these </w:t>
      </w:r>
      <w:proofErr w:type="gramStart"/>
      <w:r w:rsidRPr="009E0134">
        <w:rPr>
          <w:rFonts w:ascii="Times New Roman" w:hAnsi="Times New Roman" w:cs="Times New Roman"/>
          <w:sz w:val="24"/>
          <w:szCs w:val="24"/>
        </w:rPr>
        <w:t>fractures .</w:t>
      </w:r>
      <w:proofErr w:type="gramEnd"/>
      <w:r w:rsidRPr="009E0134">
        <w:rPr>
          <w:rFonts w:ascii="Times New Roman" w:hAnsi="Times New Roman" w:cs="Times New Roman"/>
          <w:sz w:val="24"/>
          <w:szCs w:val="24"/>
        </w:rPr>
        <w:t xml:space="preserve"> A thorough knowledge of the concept features and procedure of intra-medullary interlocking nails as well as soft tissue coverage is required. Un-reamed solid </w:t>
      </w:r>
      <w:proofErr w:type="gramStart"/>
      <w:r w:rsidRPr="009E0134">
        <w:rPr>
          <w:rFonts w:ascii="Times New Roman" w:hAnsi="Times New Roman" w:cs="Times New Roman"/>
          <w:sz w:val="24"/>
          <w:szCs w:val="24"/>
        </w:rPr>
        <w:t>Intramedullary</w:t>
      </w:r>
      <w:proofErr w:type="gramEnd"/>
      <w:r w:rsidRPr="009E0134">
        <w:rPr>
          <w:rFonts w:ascii="Times New Roman" w:hAnsi="Times New Roman" w:cs="Times New Roman"/>
          <w:sz w:val="24"/>
          <w:szCs w:val="24"/>
        </w:rPr>
        <w:t xml:space="preserve"> interlocked naili</w:t>
      </w:r>
      <w:r>
        <w:rPr>
          <w:rFonts w:ascii="Times New Roman" w:hAnsi="Times New Roman" w:cs="Times New Roman"/>
          <w:sz w:val="24"/>
          <w:szCs w:val="24"/>
        </w:rPr>
        <w:t>ng provides excellent results in function as well as union, especially in GA Type II fracture</w:t>
      </w:r>
      <w:r w:rsidRPr="009E0134">
        <w:rPr>
          <w:rFonts w:ascii="Times New Roman" w:hAnsi="Times New Roman" w:cs="Times New Roman"/>
          <w:sz w:val="24"/>
          <w:szCs w:val="24"/>
        </w:rPr>
        <w:t>. Immediate nailing led to earlier union in this study. Statistically significant differences were found in case of union rate and full weight bearing in favour of immediate nailing.</w:t>
      </w:r>
      <w:r>
        <w:rPr>
          <w:rFonts w:ascii="Times New Roman" w:hAnsi="Times New Roman" w:cs="Times New Roman"/>
          <w:sz w:val="24"/>
          <w:szCs w:val="24"/>
        </w:rPr>
        <w:t xml:space="preserve"> </w:t>
      </w:r>
    </w:p>
    <w:p w:rsidR="0029072B" w:rsidRPr="00B94AFF" w:rsidRDefault="0029072B" w:rsidP="0029072B">
      <w:pPr>
        <w:spacing w:line="480" w:lineRule="auto"/>
        <w:jc w:val="both"/>
        <w:rPr>
          <w:rFonts w:ascii="Times New Roman" w:hAnsi="Times New Roman" w:cs="Times New Roman"/>
        </w:rPr>
      </w:pPr>
      <w:proofErr w:type="gramStart"/>
      <w:r w:rsidRPr="007A2DE9">
        <w:rPr>
          <w:rFonts w:ascii="Times New Roman" w:hAnsi="Times New Roman" w:cs="Times New Roman"/>
          <w:b/>
          <w:sz w:val="24"/>
          <w:szCs w:val="24"/>
        </w:rPr>
        <w:t>Limitations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E0134">
        <w:rPr>
          <w:rFonts w:ascii="Times New Roman" w:hAnsi="Times New Roman" w:cs="Times New Roman"/>
          <w:sz w:val="24"/>
          <w:szCs w:val="24"/>
        </w:rPr>
        <w:t>A multi-centric randomized control trial , possibly triple blinded or at least double blinded in nature, involving a large number of patients with long term follow-up is clearly needed to bring the differences between the two techniques and making the study more significant.</w:t>
      </w:r>
    </w:p>
    <w:p w:rsidR="0029072B" w:rsidRPr="009E0134" w:rsidRDefault="0029072B" w:rsidP="0029072B">
      <w:pPr>
        <w:tabs>
          <w:tab w:val="left" w:pos="720"/>
          <w:tab w:val="left" w:pos="1440"/>
        </w:tabs>
        <w:spacing w:line="480" w:lineRule="auto"/>
        <w:jc w:val="both"/>
        <w:rPr>
          <w:rFonts w:ascii="Times New Roman" w:hAnsi="Times New Roman" w:cs="Times New Roman"/>
          <w:b/>
          <w:bCs/>
          <w:sz w:val="24"/>
          <w:szCs w:val="24"/>
        </w:rPr>
      </w:pPr>
      <w:r w:rsidRPr="009E0134">
        <w:rPr>
          <w:rFonts w:ascii="Times New Roman" w:hAnsi="Times New Roman" w:cs="Times New Roman"/>
          <w:b/>
          <w:bCs/>
          <w:sz w:val="24"/>
          <w:szCs w:val="24"/>
        </w:rPr>
        <w:t xml:space="preserve">References </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Bhandari M, TornettaP,SwiontkowskiM,Schemitsch E, SandersD,  Walter GuyattGRandomized Trial of Reamed and Unreamed Intramedullary Nailing of Tibial Shaft Fractures 2009;91:1274-1275</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 xml:space="preserve">2. </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Johner R, Wruhs O: Classification of tibial shaft fractures and correlation with results after rigid fixation, ClinOrthop 1983</w:t>
      </w:r>
      <w:proofErr w:type="gramStart"/>
      <w:r w:rsidRPr="00A01326">
        <w:rPr>
          <w:rFonts w:ascii="Times New Roman" w:hAnsi="Times New Roman" w:cs="Times New Roman"/>
          <w:iCs/>
          <w:color w:val="000000" w:themeColor="text1"/>
        </w:rPr>
        <w:t>;178:7</w:t>
      </w:r>
      <w:proofErr w:type="gramEnd"/>
      <w:r w:rsidRPr="00A01326">
        <w:rPr>
          <w:rFonts w:ascii="Times New Roman" w:hAnsi="Times New Roman" w:cs="Times New Roman"/>
          <w:iCs/>
          <w:color w:val="000000" w:themeColor="text1"/>
        </w:rPr>
        <w:t>-25</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4.</w:t>
      </w:r>
      <w:r>
        <w:rPr>
          <w:rFonts w:ascii="Times New Roman" w:hAnsi="Times New Roman" w:cs="Times New Roman"/>
          <w:iCs/>
          <w:color w:val="000000" w:themeColor="text1"/>
        </w:rPr>
        <w:t xml:space="preserve">  </w:t>
      </w:r>
      <w:r w:rsidRPr="00A01326">
        <w:rPr>
          <w:rFonts w:ascii="Times New Roman" w:eastAsia="Times New Roman" w:hAnsi="Times New Roman" w:cs="Times New Roman"/>
          <w:iCs/>
          <w:color w:val="000000" w:themeColor="text1"/>
        </w:rPr>
        <w:t xml:space="preserve"> McGraw JM, Lim EV.Treatment of open tibial-shaft fracture. J Bone Joint Surg Br. 1988</w:t>
      </w:r>
      <w:proofErr w:type="gramStart"/>
      <w:r w:rsidRPr="00A01326">
        <w:rPr>
          <w:rFonts w:ascii="Times New Roman" w:eastAsia="Times New Roman" w:hAnsi="Times New Roman" w:cs="Times New Roman"/>
          <w:iCs/>
          <w:color w:val="000000" w:themeColor="text1"/>
        </w:rPr>
        <w:t>;70:900</w:t>
      </w:r>
      <w:proofErr w:type="gramEnd"/>
      <w:r w:rsidRPr="00A01326">
        <w:rPr>
          <w:rFonts w:ascii="Times New Roman" w:eastAsia="Times New Roman" w:hAnsi="Times New Roman" w:cs="Times New Roman"/>
          <w:iCs/>
          <w:color w:val="000000" w:themeColor="text1"/>
        </w:rPr>
        <w:t>–11</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lastRenderedPageBreak/>
        <w:t>5.</w:t>
      </w:r>
      <w:r>
        <w:rPr>
          <w:rFonts w:ascii="Times New Roman" w:hAnsi="Times New Roman" w:cs="Times New Roman"/>
          <w:iCs/>
          <w:color w:val="000000" w:themeColor="text1"/>
        </w:rPr>
        <w:t xml:space="preserve">   </w:t>
      </w:r>
      <w:r w:rsidRPr="00A01326">
        <w:rPr>
          <w:rFonts w:ascii="Times New Roman" w:eastAsia="Times New Roman" w:hAnsi="Times New Roman" w:cs="Times New Roman"/>
          <w:iCs/>
          <w:color w:val="000000" w:themeColor="text1"/>
        </w:rPr>
        <w:t xml:space="preserve">Katenjian AY, Shelton ML. Primary internal fixation open fractures: A retrospective study of the use of metallic internal fixation in fresh open fractures. </w:t>
      </w:r>
      <w:proofErr w:type="gramStart"/>
      <w:r w:rsidRPr="00A01326">
        <w:rPr>
          <w:rFonts w:ascii="Times New Roman" w:eastAsia="Times New Roman" w:hAnsi="Times New Roman" w:cs="Times New Roman"/>
          <w:iCs/>
          <w:color w:val="000000" w:themeColor="text1"/>
        </w:rPr>
        <w:t>J Trauma.</w:t>
      </w:r>
      <w:proofErr w:type="gramEnd"/>
      <w:r w:rsidRPr="00A01326">
        <w:rPr>
          <w:rFonts w:ascii="Times New Roman" w:eastAsia="Times New Roman" w:hAnsi="Times New Roman" w:cs="Times New Roman"/>
          <w:iCs/>
          <w:color w:val="000000" w:themeColor="text1"/>
        </w:rPr>
        <w:t xml:space="preserve"> 1972</w:t>
      </w:r>
      <w:proofErr w:type="gramStart"/>
      <w:r w:rsidRPr="00A01326">
        <w:rPr>
          <w:rFonts w:ascii="Times New Roman" w:eastAsia="Times New Roman" w:hAnsi="Times New Roman" w:cs="Times New Roman"/>
          <w:iCs/>
          <w:color w:val="000000" w:themeColor="text1"/>
        </w:rPr>
        <w:t>;12:756</w:t>
      </w:r>
      <w:proofErr w:type="gramEnd"/>
      <w:r w:rsidRPr="00A01326">
        <w:rPr>
          <w:rFonts w:ascii="Times New Roman" w:eastAsia="Times New Roman" w:hAnsi="Times New Roman" w:cs="Times New Roman"/>
          <w:iCs/>
          <w:color w:val="000000" w:themeColor="text1"/>
        </w:rPr>
        <w:t>–63</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 xml:space="preserve">6. </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Riemer BL, DiChristina DG, Cooper A, et al. Nonreamed nailing of tibialdiaphyseal fractures in blunt polytrauma patients. J Orthop Trauma 1995</w:t>
      </w:r>
      <w:proofErr w:type="gramStart"/>
      <w:r w:rsidRPr="00A01326">
        <w:rPr>
          <w:rFonts w:ascii="Times New Roman" w:hAnsi="Times New Roman" w:cs="Times New Roman"/>
          <w:iCs/>
          <w:color w:val="000000" w:themeColor="text1"/>
        </w:rPr>
        <w:t>;9:66</w:t>
      </w:r>
      <w:proofErr w:type="gramEnd"/>
      <w:r w:rsidRPr="00A01326">
        <w:rPr>
          <w:rFonts w:ascii="Times New Roman" w:hAnsi="Times New Roman" w:cs="Times New Roman"/>
          <w:iCs/>
          <w:color w:val="000000" w:themeColor="text1"/>
        </w:rPr>
        <w:t>-67</w:t>
      </w:r>
    </w:p>
    <w:p w:rsidR="0029072B" w:rsidRDefault="0029072B" w:rsidP="0029072B">
      <w:pPr>
        <w:autoSpaceDE w:val="0"/>
        <w:autoSpaceDN w:val="0"/>
        <w:adjustRightInd w:val="0"/>
        <w:spacing w:after="0" w:line="480" w:lineRule="auto"/>
        <w:jc w:val="both"/>
        <w:rPr>
          <w:rStyle w:val="Emphasis"/>
          <w:rFonts w:ascii="Times New Roman" w:hAnsi="Times New Roman" w:cs="Times New Roman"/>
          <w:bCs/>
          <w:i w:val="0"/>
          <w:color w:val="000000" w:themeColor="text1"/>
          <w:shd w:val="clear" w:color="auto" w:fill="FFFFFF"/>
        </w:rPr>
      </w:pPr>
      <w:r>
        <w:rPr>
          <w:rFonts w:ascii="Times New Roman" w:hAnsi="Times New Roman" w:cs="Times New Roman"/>
          <w:iCs/>
          <w:color w:val="000000" w:themeColor="text1"/>
        </w:rPr>
        <w:t xml:space="preserve">     7.    </w:t>
      </w:r>
      <w:r w:rsidRPr="00A01326">
        <w:rPr>
          <w:rFonts w:ascii="Times New Roman" w:hAnsi="Times New Roman" w:cs="Times New Roman"/>
          <w:iCs/>
          <w:color w:val="000000" w:themeColor="text1"/>
          <w:shd w:val="clear" w:color="auto" w:fill="FFFFFF"/>
        </w:rPr>
        <w:t>K Yokoyama et al.</w:t>
      </w:r>
      <w:r w:rsidRPr="00A01326">
        <w:rPr>
          <w:rStyle w:val="apple-converted-space"/>
          <w:rFonts w:ascii="Times New Roman" w:hAnsi="Times New Roman" w:cs="Times New Roman"/>
          <w:iCs/>
          <w:color w:val="000000" w:themeColor="text1"/>
          <w:shd w:val="clear" w:color="auto" w:fill="FFFFFF"/>
        </w:rPr>
        <w:t> </w:t>
      </w:r>
      <w:r w:rsidRPr="00A01326">
        <w:rPr>
          <w:rFonts w:ascii="Times New Roman" w:hAnsi="Times New Roman" w:cs="Times New Roman"/>
          <w:iCs/>
          <w:color w:val="000000" w:themeColor="text1"/>
          <w:shd w:val="clear" w:color="auto" w:fill="FFFFFF"/>
        </w:rPr>
        <w:t>"</w:t>
      </w:r>
      <w:r w:rsidRPr="00A01326">
        <w:rPr>
          <w:rStyle w:val="Emphasis"/>
          <w:rFonts w:ascii="Times New Roman" w:hAnsi="Times New Roman" w:cs="Times New Roman"/>
          <w:bCs/>
          <w:color w:val="000000" w:themeColor="text1"/>
          <w:shd w:val="clear" w:color="auto" w:fill="FFFFFF"/>
        </w:rPr>
        <w:t>Intramedullary nailing following external fixation</w:t>
      </w:r>
      <w:r w:rsidRPr="00A01326">
        <w:rPr>
          <w:rStyle w:val="apple-converted-space"/>
          <w:rFonts w:ascii="Times New Roman" w:hAnsi="Times New Roman" w:cs="Times New Roman"/>
          <w:iCs/>
          <w:color w:val="000000" w:themeColor="text1"/>
          <w:shd w:val="clear" w:color="auto" w:fill="FFFFFF"/>
        </w:rPr>
        <w:t> </w:t>
      </w:r>
      <w:r w:rsidRPr="00A01326">
        <w:rPr>
          <w:rFonts w:ascii="Times New Roman" w:hAnsi="Times New Roman" w:cs="Times New Roman"/>
          <w:iCs/>
          <w:color w:val="000000" w:themeColor="text1"/>
          <w:shd w:val="clear" w:color="auto" w:fill="FFFFFF"/>
        </w:rPr>
        <w:t>in open</w:t>
      </w:r>
      <w:r w:rsidRPr="00A01326">
        <w:rPr>
          <w:rStyle w:val="Emphasis"/>
          <w:rFonts w:ascii="Times New Roman" w:hAnsi="Times New Roman" w:cs="Times New Roman"/>
          <w:bCs/>
          <w:color w:val="000000" w:themeColor="text1"/>
          <w:shd w:val="clear" w:color="auto" w:fill="FFFFFF"/>
        </w:rPr>
        <w:t xml:space="preserve">tibial </w:t>
      </w:r>
      <w:r>
        <w:rPr>
          <w:rStyle w:val="Emphasis"/>
          <w:rFonts w:ascii="Times New Roman" w:hAnsi="Times New Roman" w:cs="Times New Roman"/>
          <w:bCs/>
          <w:color w:val="000000" w:themeColor="text1"/>
          <w:shd w:val="clear" w:color="auto" w:fill="FFFFFF"/>
        </w:rPr>
        <w:t xml:space="preserve">      </w:t>
      </w:r>
    </w:p>
    <w:p w:rsidR="0029072B" w:rsidRPr="00A01326" w:rsidRDefault="0029072B" w:rsidP="0029072B">
      <w:pPr>
        <w:autoSpaceDE w:val="0"/>
        <w:autoSpaceDN w:val="0"/>
        <w:adjustRightInd w:val="0"/>
        <w:spacing w:after="0" w:line="480" w:lineRule="auto"/>
        <w:jc w:val="both"/>
        <w:rPr>
          <w:rFonts w:ascii="Times New Roman" w:hAnsi="Times New Roman" w:cs="Times New Roman"/>
          <w:iCs/>
          <w:color w:val="000000" w:themeColor="text1"/>
        </w:rPr>
      </w:pPr>
      <w:r>
        <w:rPr>
          <w:rStyle w:val="Emphasis"/>
          <w:rFonts w:ascii="Times New Roman" w:hAnsi="Times New Roman" w:cs="Times New Roman"/>
          <w:bCs/>
          <w:color w:val="000000" w:themeColor="text1"/>
          <w:shd w:val="clear" w:color="auto" w:fill="FFFFFF"/>
        </w:rPr>
        <w:t xml:space="preserve">            </w:t>
      </w:r>
      <w:proofErr w:type="gramStart"/>
      <w:r w:rsidRPr="00A01326">
        <w:rPr>
          <w:rStyle w:val="Emphasis"/>
          <w:rFonts w:ascii="Times New Roman" w:hAnsi="Times New Roman" w:cs="Times New Roman"/>
          <w:bCs/>
          <w:color w:val="000000" w:themeColor="text1"/>
          <w:shd w:val="clear" w:color="auto" w:fill="FFFFFF"/>
        </w:rPr>
        <w:t>shaft</w:t>
      </w:r>
      <w:proofErr w:type="gramEnd"/>
      <w:r w:rsidRPr="00A01326">
        <w:rPr>
          <w:rStyle w:val="Emphasis"/>
          <w:rFonts w:ascii="Times New Roman" w:hAnsi="Times New Roman" w:cs="Times New Roman"/>
          <w:bCs/>
          <w:color w:val="000000" w:themeColor="text1"/>
          <w:shd w:val="clear" w:color="auto" w:fill="FFFFFF"/>
        </w:rPr>
        <w:t xml:space="preserve"> fractures ,</w:t>
      </w:r>
      <w:r w:rsidRPr="00A01326">
        <w:rPr>
          <w:rFonts w:ascii="Times New Roman" w:hAnsi="Times New Roman" w:cs="Times New Roman"/>
          <w:iCs/>
          <w:color w:val="000000" w:themeColor="text1"/>
          <w:shd w:val="clear" w:color="auto" w:fill="FFFFFF"/>
        </w:rPr>
        <w:t>injury 2006-37-6554-560</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8.</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 xml:space="preserve"> K Yokoyama et al. "</w:t>
      </w:r>
      <w:r w:rsidRPr="00A01326">
        <w:rPr>
          <w:rFonts w:ascii="Times New Roman" w:hAnsi="Times New Roman" w:cs="Times New Roman"/>
          <w:bCs/>
          <w:iCs/>
          <w:color w:val="000000" w:themeColor="text1"/>
        </w:rPr>
        <w:t>Intramedullary nailing following external fixation</w:t>
      </w:r>
      <w:r w:rsidRPr="00A01326">
        <w:rPr>
          <w:rFonts w:ascii="Times New Roman" w:hAnsi="Times New Roman" w:cs="Times New Roman"/>
          <w:iCs/>
          <w:color w:val="000000" w:themeColor="text1"/>
        </w:rPr>
        <w:t> in open</w:t>
      </w:r>
      <w:r w:rsidRPr="00A01326">
        <w:rPr>
          <w:rFonts w:ascii="Times New Roman" w:hAnsi="Times New Roman" w:cs="Times New Roman"/>
          <w:bCs/>
          <w:iCs/>
          <w:color w:val="000000" w:themeColor="text1"/>
        </w:rPr>
        <w:t xml:space="preserve">tibial shaft </w:t>
      </w:r>
      <w:proofErr w:type="gramStart"/>
      <w:r w:rsidRPr="00A01326">
        <w:rPr>
          <w:rFonts w:ascii="Times New Roman" w:hAnsi="Times New Roman" w:cs="Times New Roman"/>
          <w:bCs/>
          <w:iCs/>
          <w:color w:val="000000" w:themeColor="text1"/>
        </w:rPr>
        <w:t>fractures ,</w:t>
      </w:r>
      <w:r w:rsidRPr="00A01326">
        <w:rPr>
          <w:rFonts w:ascii="Times New Roman" w:hAnsi="Times New Roman" w:cs="Times New Roman"/>
          <w:iCs/>
          <w:color w:val="000000" w:themeColor="text1"/>
        </w:rPr>
        <w:t>injury</w:t>
      </w:r>
      <w:proofErr w:type="gramEnd"/>
      <w:r w:rsidRPr="00A01326">
        <w:rPr>
          <w:rFonts w:ascii="Times New Roman" w:hAnsi="Times New Roman" w:cs="Times New Roman"/>
          <w:iCs/>
          <w:color w:val="000000" w:themeColor="text1"/>
        </w:rPr>
        <w:t xml:space="preserve"> 2006-37-6554-560</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shd w:val="clear" w:color="auto" w:fill="FFFFFF"/>
        </w:rPr>
      </w:pPr>
      <w:r w:rsidRPr="00A01326">
        <w:rPr>
          <w:rFonts w:ascii="Times New Roman" w:hAnsi="Times New Roman" w:cs="Times New Roman"/>
          <w:iCs/>
          <w:color w:val="000000" w:themeColor="text1"/>
        </w:rPr>
        <w:t>9.</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shd w:val="clear" w:color="auto" w:fill="FFFFFF"/>
        </w:rPr>
        <w:t xml:space="preserve"> Fischer MD, Gustilo RB, Varecke TF. The timing of flap coverage, bone grafting and intramedullary nailing in patients who have </w:t>
      </w:r>
      <w:proofErr w:type="gramStart"/>
      <w:r w:rsidRPr="00A01326">
        <w:rPr>
          <w:rFonts w:ascii="Times New Roman" w:hAnsi="Times New Roman" w:cs="Times New Roman"/>
          <w:iCs/>
          <w:color w:val="000000" w:themeColor="text1"/>
          <w:shd w:val="clear" w:color="auto" w:fill="FFFFFF"/>
        </w:rPr>
        <w:t>a fractures</w:t>
      </w:r>
      <w:proofErr w:type="gramEnd"/>
      <w:r w:rsidRPr="00A01326">
        <w:rPr>
          <w:rFonts w:ascii="Times New Roman" w:hAnsi="Times New Roman" w:cs="Times New Roman"/>
          <w:iCs/>
          <w:color w:val="000000" w:themeColor="text1"/>
          <w:shd w:val="clear" w:color="auto" w:fill="FFFFFF"/>
        </w:rPr>
        <w:t xml:space="preserve"> of tibial shaft with extensive soft tissue injury. J Bone Joint Surg Am. 1991</w:t>
      </w:r>
      <w:proofErr w:type="gramStart"/>
      <w:r w:rsidRPr="00A01326">
        <w:rPr>
          <w:rFonts w:ascii="Times New Roman" w:hAnsi="Times New Roman" w:cs="Times New Roman"/>
          <w:iCs/>
          <w:color w:val="000000" w:themeColor="text1"/>
          <w:shd w:val="clear" w:color="auto" w:fill="FFFFFF"/>
        </w:rPr>
        <w:t>;73:1316</w:t>
      </w:r>
      <w:proofErr w:type="gramEnd"/>
      <w:r w:rsidRPr="00A01326">
        <w:rPr>
          <w:rFonts w:ascii="Times New Roman" w:hAnsi="Times New Roman" w:cs="Times New Roman"/>
          <w:iCs/>
          <w:color w:val="000000" w:themeColor="text1"/>
          <w:shd w:val="clear" w:color="auto" w:fill="FFFFFF"/>
        </w:rPr>
        <w:t>–22</w:t>
      </w:r>
    </w:p>
    <w:p w:rsidR="0029072B" w:rsidRPr="00A01326" w:rsidRDefault="0029072B" w:rsidP="0029072B">
      <w:pPr>
        <w:autoSpaceDE w:val="0"/>
        <w:autoSpaceDN w:val="0"/>
        <w:adjustRightInd w:val="0"/>
        <w:spacing w:after="0" w:line="480" w:lineRule="auto"/>
        <w:jc w:val="both"/>
        <w:rPr>
          <w:rFonts w:ascii="Times New Roman" w:hAnsi="Times New Roman" w:cs="Times New Roman"/>
          <w:bCs/>
          <w:iCs/>
          <w:color w:val="000000" w:themeColor="text1"/>
        </w:rPr>
      </w:pP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10.</w:t>
      </w:r>
      <w:r w:rsidRPr="00A01326">
        <w:rPr>
          <w:rFonts w:ascii="Times New Roman" w:hAnsi="Times New Roman" w:cs="Times New Roman"/>
          <w:bCs/>
          <w:iCs/>
          <w:color w:val="000000" w:themeColor="text1"/>
        </w:rPr>
        <w:tab/>
        <w:t xml:space="preserve">Yaremchuk M, Brumback R, Manson PN, Burgess AR, Poka A, Weiland AJ. Acute </w:t>
      </w:r>
    </w:p>
    <w:p w:rsidR="0029072B" w:rsidRPr="00A01326" w:rsidRDefault="0029072B" w:rsidP="0029072B">
      <w:pPr>
        <w:autoSpaceDE w:val="0"/>
        <w:autoSpaceDN w:val="0"/>
        <w:adjustRightInd w:val="0"/>
        <w:spacing w:after="0" w:line="480" w:lineRule="auto"/>
        <w:jc w:val="both"/>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             </w:t>
      </w:r>
      <w:proofErr w:type="gramStart"/>
      <w:r w:rsidRPr="00A01326">
        <w:rPr>
          <w:rFonts w:ascii="Times New Roman" w:hAnsi="Times New Roman" w:cs="Times New Roman"/>
          <w:bCs/>
          <w:iCs/>
          <w:color w:val="000000" w:themeColor="text1"/>
        </w:rPr>
        <w:t>and</w:t>
      </w:r>
      <w:proofErr w:type="gramEnd"/>
      <w:r w:rsidRPr="00A01326">
        <w:rPr>
          <w:rFonts w:ascii="Times New Roman" w:hAnsi="Times New Roman" w:cs="Times New Roman"/>
          <w:bCs/>
          <w:iCs/>
          <w:color w:val="000000" w:themeColor="text1"/>
        </w:rPr>
        <w:t xml:space="preserve"> definitive management of traumatic osteocutaneous defects of the lower </w:t>
      </w:r>
    </w:p>
    <w:p w:rsidR="0029072B" w:rsidRPr="00A01326" w:rsidRDefault="0029072B" w:rsidP="0029072B">
      <w:pPr>
        <w:autoSpaceDE w:val="0"/>
        <w:autoSpaceDN w:val="0"/>
        <w:adjustRightInd w:val="0"/>
        <w:spacing w:after="0" w:line="480" w:lineRule="auto"/>
        <w:jc w:val="both"/>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             </w:t>
      </w:r>
      <w:proofErr w:type="gramStart"/>
      <w:r w:rsidRPr="00A01326">
        <w:rPr>
          <w:rFonts w:ascii="Times New Roman" w:hAnsi="Times New Roman" w:cs="Times New Roman"/>
          <w:bCs/>
          <w:iCs/>
          <w:color w:val="000000" w:themeColor="text1"/>
        </w:rPr>
        <w:t>extremity</w:t>
      </w:r>
      <w:proofErr w:type="gramEnd"/>
      <w:r w:rsidRPr="00A01326">
        <w:rPr>
          <w:rFonts w:ascii="Times New Roman" w:hAnsi="Times New Roman" w:cs="Times New Roman"/>
          <w:bCs/>
          <w:iCs/>
          <w:color w:val="000000" w:themeColor="text1"/>
        </w:rPr>
        <w:t>. PlastReconstrSurg 1987</w:t>
      </w:r>
      <w:proofErr w:type="gramStart"/>
      <w:r w:rsidRPr="00A01326">
        <w:rPr>
          <w:rFonts w:ascii="Times New Roman" w:hAnsi="Times New Roman" w:cs="Times New Roman"/>
          <w:bCs/>
          <w:iCs/>
          <w:color w:val="000000" w:themeColor="text1"/>
        </w:rPr>
        <w:t>;80:1</w:t>
      </w:r>
      <w:proofErr w:type="gramEnd"/>
      <w:r w:rsidRPr="00A01326">
        <w:rPr>
          <w:rFonts w:ascii="Times New Roman" w:hAnsi="Times New Roman" w:cs="Times New Roman"/>
          <w:bCs/>
          <w:iCs/>
          <w:color w:val="000000" w:themeColor="text1"/>
        </w:rPr>
        <w:t>-14. </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11. .</w:t>
      </w:r>
      <w:r w:rsidRPr="00A01326">
        <w:rPr>
          <w:rFonts w:ascii="Times New Roman" w:hAnsi="Times New Roman" w:cs="Times New Roman"/>
          <w:iCs/>
          <w:caps/>
          <w:color w:val="000000" w:themeColor="text1"/>
        </w:rPr>
        <w:t>h</w:t>
      </w:r>
      <w:r w:rsidRPr="00A01326">
        <w:rPr>
          <w:rFonts w:ascii="Times New Roman" w:hAnsi="Times New Roman" w:cs="Times New Roman"/>
          <w:iCs/>
          <w:color w:val="000000" w:themeColor="text1"/>
        </w:rPr>
        <w:t xml:space="preserve">ohman E, </w:t>
      </w:r>
      <w:r w:rsidRPr="00A01326">
        <w:rPr>
          <w:rFonts w:ascii="Times New Roman" w:hAnsi="Times New Roman" w:cs="Times New Roman"/>
          <w:iCs/>
          <w:caps/>
          <w:color w:val="000000" w:themeColor="text1"/>
        </w:rPr>
        <w:t>t</w:t>
      </w:r>
      <w:r w:rsidRPr="00A01326">
        <w:rPr>
          <w:rFonts w:ascii="Times New Roman" w:hAnsi="Times New Roman" w:cs="Times New Roman"/>
          <w:iCs/>
          <w:color w:val="000000" w:themeColor="text1"/>
        </w:rPr>
        <w:t>etsworthK</w:t>
      </w:r>
      <w:proofErr w:type="gramStart"/>
      <w:r w:rsidRPr="00A01326">
        <w:rPr>
          <w:rFonts w:ascii="Times New Roman" w:hAnsi="Times New Roman" w:cs="Times New Roman"/>
          <w:iCs/>
          <w:color w:val="000000" w:themeColor="text1"/>
        </w:rPr>
        <w:t>,</w:t>
      </w:r>
      <w:r w:rsidRPr="00A01326">
        <w:rPr>
          <w:rFonts w:ascii="Times New Roman" w:hAnsi="Times New Roman" w:cs="Times New Roman"/>
          <w:iCs/>
          <w:caps/>
          <w:color w:val="000000" w:themeColor="text1"/>
        </w:rPr>
        <w:t>r</w:t>
      </w:r>
      <w:r w:rsidRPr="00A01326">
        <w:rPr>
          <w:rFonts w:ascii="Times New Roman" w:hAnsi="Times New Roman" w:cs="Times New Roman"/>
          <w:iCs/>
          <w:color w:val="000000" w:themeColor="text1"/>
        </w:rPr>
        <w:t>adziejowski,wiesniewski</w:t>
      </w:r>
      <w:proofErr w:type="gramEnd"/>
      <w:r w:rsidRPr="00A01326">
        <w:rPr>
          <w:rFonts w:ascii="Times New Roman" w:hAnsi="Times New Roman" w:cs="Times New Roman"/>
          <w:iCs/>
          <w:color w:val="000000" w:themeColor="text1"/>
        </w:rPr>
        <w:t xml:space="preserve"> TF. </w:t>
      </w:r>
      <w:r w:rsidRPr="00A01326">
        <w:rPr>
          <w:rFonts w:ascii="Times New Roman" w:hAnsi="Times New Roman" w:cs="Times New Roman"/>
          <w:iCs/>
          <w:caps/>
          <w:color w:val="000000" w:themeColor="text1"/>
        </w:rPr>
        <w:t>c</w:t>
      </w:r>
      <w:r w:rsidRPr="00A01326">
        <w:rPr>
          <w:rFonts w:ascii="Times New Roman" w:hAnsi="Times New Roman" w:cs="Times New Roman"/>
          <w:iCs/>
          <w:color w:val="000000" w:themeColor="text1"/>
        </w:rPr>
        <w:t>omparision of delayed   and primary wound closure in treatment of open fracture tibia.Archorthop trauma surgery 2007; 127:131-13</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12.</w:t>
      </w:r>
      <w:r w:rsidRPr="00A01326">
        <w:rPr>
          <w:rFonts w:ascii="Times New Roman" w:hAnsi="Times New Roman" w:cs="Times New Roman"/>
          <w:bCs/>
          <w:iCs/>
          <w:color w:val="000000" w:themeColor="text1"/>
        </w:rPr>
        <w:tab/>
        <w:t>Levin LS. Early versus delayed closure of open fractures. Injury 2007</w:t>
      </w:r>
      <w:proofErr w:type="gramStart"/>
      <w:r w:rsidRPr="00A01326">
        <w:rPr>
          <w:rFonts w:ascii="Times New Roman" w:hAnsi="Times New Roman" w:cs="Times New Roman"/>
          <w:bCs/>
          <w:iCs/>
          <w:color w:val="000000" w:themeColor="text1"/>
        </w:rPr>
        <w:t>;38:896</w:t>
      </w:r>
      <w:proofErr w:type="gramEnd"/>
      <w:r w:rsidRPr="00A01326">
        <w:rPr>
          <w:rFonts w:ascii="Times New Roman" w:hAnsi="Times New Roman" w:cs="Times New Roman"/>
          <w:bCs/>
          <w:iCs/>
          <w:color w:val="000000" w:themeColor="text1"/>
        </w:rPr>
        <w:t>-899</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shd w:val="clear" w:color="auto" w:fill="FFFFFF"/>
        </w:rPr>
      </w:pPr>
      <w:r w:rsidRPr="00A01326">
        <w:rPr>
          <w:rFonts w:ascii="Times New Roman" w:hAnsi="Times New Roman" w:cs="Times New Roman"/>
          <w:iCs/>
          <w:color w:val="000000" w:themeColor="text1"/>
        </w:rPr>
        <w:t xml:space="preserve">13. </w:t>
      </w:r>
      <w:r w:rsidRPr="00A01326">
        <w:rPr>
          <w:rFonts w:ascii="Times New Roman" w:hAnsi="Times New Roman" w:cs="Times New Roman"/>
          <w:iCs/>
          <w:color w:val="000000" w:themeColor="text1"/>
        </w:rPr>
        <w:tab/>
      </w:r>
      <w:hyperlink r:id="rId10" w:history="1">
        <w:r w:rsidRPr="00A01326">
          <w:rPr>
            <w:rStyle w:val="Hyperlink"/>
            <w:rFonts w:ascii="Times New Roman" w:hAnsi="Times New Roman" w:cs="Times New Roman"/>
            <w:iCs/>
            <w:color w:val="000000" w:themeColor="text1"/>
            <w:u w:val="none"/>
            <w:shd w:val="clear" w:color="auto" w:fill="FFFFFF"/>
          </w:rPr>
          <w:t>Ostermann PA</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1" w:history="1">
        <w:r w:rsidRPr="00A01326">
          <w:rPr>
            <w:rStyle w:val="Hyperlink"/>
            <w:rFonts w:ascii="Times New Roman" w:hAnsi="Times New Roman" w:cs="Times New Roman"/>
            <w:iCs/>
            <w:color w:val="000000" w:themeColor="text1"/>
            <w:u w:val="none"/>
            <w:shd w:val="clear" w:color="auto" w:fill="FFFFFF"/>
          </w:rPr>
          <w:t>Knopp W</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2" w:history="1">
        <w:r w:rsidRPr="00A01326">
          <w:rPr>
            <w:rStyle w:val="Hyperlink"/>
            <w:rFonts w:ascii="Times New Roman" w:hAnsi="Times New Roman" w:cs="Times New Roman"/>
            <w:iCs/>
            <w:color w:val="000000" w:themeColor="text1"/>
            <w:u w:val="none"/>
            <w:shd w:val="clear" w:color="auto" w:fill="FFFFFF"/>
          </w:rPr>
          <w:t>Josten C</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3" w:history="1">
        <w:r w:rsidRPr="00A01326">
          <w:rPr>
            <w:rStyle w:val="Hyperlink"/>
            <w:rFonts w:ascii="Times New Roman" w:hAnsi="Times New Roman" w:cs="Times New Roman"/>
            <w:iCs/>
            <w:color w:val="000000" w:themeColor="text1"/>
            <w:u w:val="none"/>
            <w:shd w:val="clear" w:color="auto" w:fill="FFFFFF"/>
          </w:rPr>
          <w:t>Muhr G</w:t>
        </w:r>
      </w:hyperlink>
      <w:r w:rsidRPr="00A01326">
        <w:rPr>
          <w:rFonts w:ascii="Times New Roman" w:hAnsi="Times New Roman" w:cs="Times New Roman"/>
          <w:iCs/>
          <w:color w:val="000000" w:themeColor="text1"/>
        </w:rPr>
        <w:t xml:space="preserve">, </w:t>
      </w:r>
      <w:r w:rsidRPr="00A01326">
        <w:rPr>
          <w:rFonts w:ascii="Times New Roman" w:hAnsi="Times New Roman" w:cs="Times New Roman"/>
          <w:bCs/>
          <w:iCs/>
          <w:color w:val="000000" w:themeColor="text1"/>
        </w:rPr>
        <w:t xml:space="preserve">Unreamed intramedullary nail or external fixator in complicated tibial fracture? A comparative analysis: </w:t>
      </w:r>
      <w:r w:rsidRPr="00A01326">
        <w:rPr>
          <w:rStyle w:val="apple-converted-space"/>
          <w:rFonts w:ascii="Times New Roman" w:hAnsi="Times New Roman" w:cs="Times New Roman"/>
          <w:iCs/>
          <w:color w:val="000000" w:themeColor="text1"/>
          <w:shd w:val="clear" w:color="auto" w:fill="FFFFFF"/>
        </w:rPr>
        <w:t> </w:t>
      </w:r>
      <w:r w:rsidRPr="00A01326">
        <w:rPr>
          <w:rFonts w:ascii="Times New Roman" w:hAnsi="Times New Roman" w:cs="Times New Roman"/>
          <w:iCs/>
          <w:color w:val="000000" w:themeColor="text1"/>
          <w:shd w:val="clear" w:color="auto" w:fill="FFFFFF"/>
        </w:rPr>
        <w:t>1993 Nov</w:t>
      </w:r>
      <w:proofErr w:type="gramStart"/>
      <w:r w:rsidRPr="00A01326">
        <w:rPr>
          <w:rFonts w:ascii="Times New Roman" w:hAnsi="Times New Roman" w:cs="Times New Roman"/>
          <w:iCs/>
          <w:color w:val="000000" w:themeColor="text1"/>
          <w:shd w:val="clear" w:color="auto" w:fill="FFFFFF"/>
        </w:rPr>
        <w:t>;64</w:t>
      </w:r>
      <w:proofErr w:type="gramEnd"/>
      <w:r w:rsidRPr="00A01326">
        <w:rPr>
          <w:rFonts w:ascii="Times New Roman" w:hAnsi="Times New Roman" w:cs="Times New Roman"/>
          <w:iCs/>
          <w:color w:val="000000" w:themeColor="text1"/>
          <w:shd w:val="clear" w:color="auto" w:fill="FFFFFF"/>
        </w:rPr>
        <w:t>(11):913-7</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14.</w:t>
      </w:r>
      <w:r>
        <w:rPr>
          <w:rFonts w:ascii="Times New Roman" w:hAnsi="Times New Roman" w:cs="Times New Roman"/>
          <w:iCs/>
          <w:color w:val="000000" w:themeColor="text1"/>
        </w:rPr>
        <w:t xml:space="preserve">  </w:t>
      </w:r>
      <w:r w:rsidRPr="00A01326">
        <w:rPr>
          <w:rFonts w:ascii="Times New Roman" w:hAnsi="Times New Roman" w:cs="Times New Roman"/>
          <w:iCs/>
          <w:caps/>
          <w:color w:val="000000" w:themeColor="text1"/>
        </w:rPr>
        <w:t>g</w:t>
      </w:r>
      <w:r w:rsidRPr="00A01326">
        <w:rPr>
          <w:rFonts w:ascii="Times New Roman" w:hAnsi="Times New Roman" w:cs="Times New Roman"/>
          <w:iCs/>
          <w:color w:val="000000" w:themeColor="text1"/>
        </w:rPr>
        <w:t>opal  S, Majumder S, Batchelor A G B, Knight,  De Boer P,Smith RM. Fix and flap the radical orthopaedic and plastic treatment of severe open  fractures of the tibia.J Bone  Joint surg Br 2000</w:t>
      </w:r>
      <w:proofErr w:type="gramStart"/>
      <w:r w:rsidRPr="00A01326">
        <w:rPr>
          <w:rFonts w:ascii="Times New Roman" w:hAnsi="Times New Roman" w:cs="Times New Roman"/>
          <w:iCs/>
          <w:color w:val="000000" w:themeColor="text1"/>
        </w:rPr>
        <w:t>;82B:959</w:t>
      </w:r>
      <w:proofErr w:type="gramEnd"/>
      <w:r w:rsidRPr="00A01326">
        <w:rPr>
          <w:rFonts w:ascii="Times New Roman" w:hAnsi="Times New Roman" w:cs="Times New Roman"/>
          <w:iCs/>
          <w:color w:val="000000" w:themeColor="text1"/>
        </w:rPr>
        <w:t xml:space="preserve"> -66.</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15.</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rPr>
        <w:t>Siebenrock KA, Gerich T, Jakob RP. Sequential intramedullary nailing of open tibial shaft fractures after external fixation. Arch Orthop Trauma Surg 1997</w:t>
      </w:r>
      <w:proofErr w:type="gramStart"/>
      <w:r w:rsidRPr="00A01326">
        <w:rPr>
          <w:rFonts w:ascii="Times New Roman" w:hAnsi="Times New Roman" w:cs="Times New Roman"/>
          <w:iCs/>
          <w:color w:val="000000" w:themeColor="text1"/>
        </w:rPr>
        <w:t>;116:32</w:t>
      </w:r>
      <w:proofErr w:type="gramEnd"/>
      <w:r w:rsidRPr="00A01326">
        <w:rPr>
          <w:rFonts w:ascii="Times New Roman" w:hAnsi="Times New Roman" w:cs="Times New Roman"/>
          <w:iCs/>
          <w:color w:val="000000" w:themeColor="text1"/>
        </w:rPr>
        <w:t>–6.</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bCs/>
          <w:iCs/>
          <w:color w:val="000000" w:themeColor="text1"/>
        </w:rPr>
      </w:pPr>
      <w:proofErr w:type="gramStart"/>
      <w:r w:rsidRPr="00A01326">
        <w:rPr>
          <w:rFonts w:ascii="Times New Roman" w:hAnsi="Times New Roman" w:cs="Times New Roman"/>
          <w:iCs/>
          <w:color w:val="000000" w:themeColor="text1"/>
        </w:rPr>
        <w:lastRenderedPageBreak/>
        <w:t>16.</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shd w:val="clear" w:color="auto" w:fill="FFFFFF"/>
        </w:rPr>
        <w:t>Riemer BL, Miranda MA, Butterfield SL, Burke CJ., 3rd Nonreamed nailing of closed and minor open tibial fractures in patients with blunt polytrauma.</w:t>
      </w:r>
      <w:proofErr w:type="gramEnd"/>
      <w:r w:rsidRPr="00A01326">
        <w:rPr>
          <w:rStyle w:val="apple-converted-space"/>
          <w:rFonts w:ascii="Times New Roman" w:hAnsi="Times New Roman" w:cs="Times New Roman"/>
          <w:iCs/>
          <w:color w:val="000000" w:themeColor="text1"/>
          <w:shd w:val="clear" w:color="auto" w:fill="FFFFFF"/>
        </w:rPr>
        <w:t> </w:t>
      </w:r>
      <w:r w:rsidRPr="00A01326">
        <w:rPr>
          <w:rStyle w:val="ref-journal"/>
          <w:rFonts w:ascii="Times New Roman" w:hAnsi="Times New Roman" w:cs="Times New Roman"/>
          <w:iCs/>
          <w:color w:val="000000" w:themeColor="text1"/>
          <w:shd w:val="clear" w:color="auto" w:fill="FFFFFF"/>
        </w:rPr>
        <w:t>ClinOrthopRelat Res.</w:t>
      </w:r>
      <w:r w:rsidRPr="00A01326">
        <w:rPr>
          <w:rStyle w:val="apple-converted-space"/>
          <w:rFonts w:ascii="Times New Roman" w:hAnsi="Times New Roman" w:cs="Times New Roman"/>
          <w:iCs/>
          <w:color w:val="000000" w:themeColor="text1"/>
          <w:shd w:val="clear" w:color="auto" w:fill="FFFFFF"/>
        </w:rPr>
        <w:t> </w:t>
      </w:r>
      <w:r w:rsidRPr="00A01326">
        <w:rPr>
          <w:rFonts w:ascii="Times New Roman" w:hAnsi="Times New Roman" w:cs="Times New Roman"/>
          <w:iCs/>
          <w:color w:val="000000" w:themeColor="text1"/>
          <w:shd w:val="clear" w:color="auto" w:fill="FFFFFF"/>
        </w:rPr>
        <w:t>1995</w:t>
      </w:r>
      <w:proofErr w:type="gramStart"/>
      <w:r w:rsidRPr="00A01326">
        <w:rPr>
          <w:rFonts w:ascii="Times New Roman" w:hAnsi="Times New Roman" w:cs="Times New Roman"/>
          <w:iCs/>
          <w:color w:val="000000" w:themeColor="text1"/>
          <w:shd w:val="clear" w:color="auto" w:fill="FFFFFF"/>
        </w:rPr>
        <w:t>;</w:t>
      </w:r>
      <w:r w:rsidRPr="00A01326">
        <w:rPr>
          <w:rStyle w:val="ref-vol"/>
          <w:rFonts w:ascii="Times New Roman" w:hAnsi="Times New Roman" w:cs="Times New Roman"/>
          <w:iCs/>
          <w:color w:val="000000" w:themeColor="text1"/>
          <w:shd w:val="clear" w:color="auto" w:fill="FFFFFF"/>
        </w:rPr>
        <w:t>320</w:t>
      </w:r>
      <w:r w:rsidRPr="00A01326">
        <w:rPr>
          <w:rFonts w:ascii="Times New Roman" w:hAnsi="Times New Roman" w:cs="Times New Roman"/>
          <w:iCs/>
          <w:color w:val="000000" w:themeColor="text1"/>
          <w:shd w:val="clear" w:color="auto" w:fill="FFFFFF"/>
        </w:rPr>
        <w:t>:119</w:t>
      </w:r>
      <w:proofErr w:type="gramEnd"/>
      <w:r w:rsidRPr="00A01326">
        <w:rPr>
          <w:rFonts w:ascii="Times New Roman" w:hAnsi="Times New Roman" w:cs="Times New Roman"/>
          <w:iCs/>
          <w:color w:val="000000" w:themeColor="text1"/>
          <w:shd w:val="clear" w:color="auto" w:fill="FFFFFF"/>
        </w:rPr>
        <w:t>–124.</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shd w:val="clear" w:color="auto" w:fill="FFFFFF"/>
        </w:rPr>
      </w:pPr>
      <w:r w:rsidRPr="00A01326">
        <w:rPr>
          <w:rFonts w:ascii="Times New Roman" w:hAnsi="Times New Roman" w:cs="Times New Roman"/>
          <w:iCs/>
          <w:color w:val="000000" w:themeColor="text1"/>
        </w:rPr>
        <w:t>17.</w:t>
      </w:r>
      <w:r>
        <w:rPr>
          <w:rFonts w:ascii="Times New Roman" w:hAnsi="Times New Roman" w:cs="Times New Roman"/>
          <w:iCs/>
          <w:color w:val="000000" w:themeColor="text1"/>
          <w:shd w:val="clear" w:color="auto" w:fill="FFFFFF"/>
        </w:rPr>
        <w:t xml:space="preserve">  </w:t>
      </w:r>
      <w:r w:rsidRPr="00A01326">
        <w:rPr>
          <w:rFonts w:ascii="Times New Roman" w:hAnsi="Times New Roman" w:cs="Times New Roman"/>
          <w:iCs/>
          <w:color w:val="000000" w:themeColor="text1"/>
          <w:shd w:val="clear" w:color="auto" w:fill="FFFFFF"/>
        </w:rPr>
        <w:t>Singer RW, Kellam JF. Open tibialdiaphyseal fractures. Results of unreamed locked intramedullary nailing. Clin Orthop1995</w:t>
      </w:r>
      <w:proofErr w:type="gramStart"/>
      <w:r w:rsidRPr="00A01326">
        <w:rPr>
          <w:rFonts w:ascii="Times New Roman" w:hAnsi="Times New Roman" w:cs="Times New Roman"/>
          <w:iCs/>
          <w:color w:val="000000" w:themeColor="text1"/>
          <w:shd w:val="clear" w:color="auto" w:fill="FFFFFF"/>
        </w:rPr>
        <w:t>;315:114</w:t>
      </w:r>
      <w:proofErr w:type="gramEnd"/>
      <w:r w:rsidRPr="00A01326">
        <w:rPr>
          <w:rFonts w:ascii="Times New Roman" w:hAnsi="Times New Roman" w:cs="Times New Roman"/>
          <w:iCs/>
          <w:color w:val="000000" w:themeColor="text1"/>
          <w:shd w:val="clear" w:color="auto" w:fill="FFFFFF"/>
        </w:rPr>
        <w:t>–8.</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18.</w:t>
      </w:r>
      <w:r>
        <w:rPr>
          <w:rFonts w:ascii="Times New Roman" w:hAnsi="Times New Roman" w:cs="Times New Roman"/>
          <w:iCs/>
          <w:color w:val="000000" w:themeColor="text1"/>
        </w:rPr>
        <w:t xml:space="preserve">  </w:t>
      </w:r>
      <w:r w:rsidRPr="00A01326">
        <w:rPr>
          <w:rFonts w:ascii="Times New Roman" w:hAnsi="Times New Roman" w:cs="Times New Roman"/>
          <w:iCs/>
          <w:color w:val="000000" w:themeColor="text1"/>
          <w:shd w:val="clear" w:color="auto" w:fill="FFFFFF"/>
        </w:rPr>
        <w:t>Schandelmaier P, et al. Superior results of tibial rodding versus external fixation in grade 3B fractures.</w:t>
      </w:r>
      <w:r w:rsidRPr="00A01326">
        <w:rPr>
          <w:rStyle w:val="apple-converted-space"/>
          <w:rFonts w:ascii="Times New Roman" w:hAnsi="Times New Roman" w:cs="Times New Roman"/>
          <w:iCs/>
          <w:color w:val="000000" w:themeColor="text1"/>
          <w:shd w:val="clear" w:color="auto" w:fill="FFFFFF"/>
        </w:rPr>
        <w:t> </w:t>
      </w:r>
      <w:r w:rsidRPr="00A01326">
        <w:rPr>
          <w:rStyle w:val="ref-journal"/>
          <w:rFonts w:ascii="Times New Roman" w:hAnsi="Times New Roman" w:cs="Times New Roman"/>
          <w:iCs/>
          <w:color w:val="000000" w:themeColor="text1"/>
          <w:shd w:val="clear" w:color="auto" w:fill="FFFFFF"/>
        </w:rPr>
        <w:t>ClinOrthopRelat Res.</w:t>
      </w:r>
      <w:r w:rsidRPr="00A01326">
        <w:rPr>
          <w:rStyle w:val="apple-converted-space"/>
          <w:rFonts w:ascii="Times New Roman" w:hAnsi="Times New Roman" w:cs="Times New Roman"/>
          <w:iCs/>
          <w:color w:val="000000" w:themeColor="text1"/>
          <w:shd w:val="clear" w:color="auto" w:fill="FFFFFF"/>
        </w:rPr>
        <w:t> </w:t>
      </w:r>
      <w:proofErr w:type="gramStart"/>
      <w:r w:rsidRPr="00A01326">
        <w:rPr>
          <w:rFonts w:ascii="Times New Roman" w:hAnsi="Times New Roman" w:cs="Times New Roman"/>
          <w:iCs/>
          <w:color w:val="000000" w:themeColor="text1"/>
          <w:shd w:val="clear" w:color="auto" w:fill="FFFFFF"/>
        </w:rPr>
        <w:t>1997;</w:t>
      </w:r>
      <w:proofErr w:type="gramEnd"/>
      <w:r w:rsidRPr="00A01326">
        <w:rPr>
          <w:rFonts w:ascii="Times New Roman" w:hAnsi="Times New Roman" w:cs="Times New Roman"/>
          <w:iCs/>
          <w:color w:val="000000" w:themeColor="text1"/>
          <w:shd w:val="clear" w:color="auto" w:fill="FFFFFF"/>
        </w:rPr>
        <w:t>(342):164–72.</w:t>
      </w:r>
    </w:p>
    <w:p w:rsidR="0029072B" w:rsidRPr="00A01326"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19.</w:t>
      </w:r>
      <w:r w:rsidRPr="00A01326">
        <w:rPr>
          <w:rFonts w:ascii="Times New Roman" w:hAnsi="Times New Roman" w:cs="Times New Roman"/>
          <w:bCs/>
          <w:iCs/>
          <w:color w:val="000000" w:themeColor="text1"/>
        </w:rPr>
        <w:tab/>
      </w:r>
      <w:r w:rsidRPr="00A01326">
        <w:rPr>
          <w:rFonts w:ascii="Times New Roman" w:hAnsi="Times New Roman" w:cs="Times New Roman"/>
          <w:iCs/>
          <w:color w:val="000000" w:themeColor="text1"/>
        </w:rPr>
        <w:t xml:space="preserve">Haas N, Krettek C, Schandelmaier P, Frigg R, Tscherne H. </w:t>
      </w:r>
      <w:proofErr w:type="gramStart"/>
      <w:r w:rsidRPr="00A01326">
        <w:rPr>
          <w:rFonts w:ascii="Times New Roman" w:hAnsi="Times New Roman" w:cs="Times New Roman"/>
          <w:iCs/>
          <w:color w:val="000000" w:themeColor="text1"/>
        </w:rPr>
        <w:t>A new solid unreamedtibial nail for shaft fractures with severe soft tissue injury.</w:t>
      </w:r>
      <w:proofErr w:type="gramEnd"/>
      <w:r w:rsidRPr="00A01326">
        <w:rPr>
          <w:rFonts w:ascii="Times New Roman" w:hAnsi="Times New Roman" w:cs="Times New Roman"/>
          <w:iCs/>
          <w:color w:val="000000" w:themeColor="text1"/>
        </w:rPr>
        <w:t xml:space="preserve"> Injury 1993</w:t>
      </w:r>
      <w:proofErr w:type="gramStart"/>
      <w:r w:rsidRPr="00A01326">
        <w:rPr>
          <w:rFonts w:ascii="Times New Roman" w:hAnsi="Times New Roman" w:cs="Times New Roman"/>
          <w:iCs/>
          <w:color w:val="000000" w:themeColor="text1"/>
        </w:rPr>
        <w:t>;24:49</w:t>
      </w:r>
      <w:proofErr w:type="gramEnd"/>
      <w:r w:rsidRPr="00A01326">
        <w:rPr>
          <w:rFonts w:ascii="Times New Roman" w:hAnsi="Times New Roman" w:cs="Times New Roman"/>
          <w:iCs/>
          <w:color w:val="000000" w:themeColor="text1"/>
        </w:rPr>
        <w:t>-54</w:t>
      </w:r>
    </w:p>
    <w:p w:rsidR="0029072B" w:rsidRPr="00A01326" w:rsidRDefault="0029072B" w:rsidP="0029072B">
      <w:pPr>
        <w:autoSpaceDE w:val="0"/>
        <w:autoSpaceDN w:val="0"/>
        <w:adjustRightInd w:val="0"/>
        <w:spacing w:after="0" w:line="480" w:lineRule="auto"/>
        <w:ind w:left="720" w:hanging="450"/>
        <w:jc w:val="both"/>
        <w:rPr>
          <w:rFonts w:ascii="Times New Roman" w:hAnsi="Times New Roman" w:cs="Times New Roman"/>
          <w:iCs/>
          <w:color w:val="000000" w:themeColor="text1"/>
          <w:shd w:val="clear" w:color="auto" w:fill="FFFFFF"/>
        </w:rPr>
      </w:pPr>
      <w:r w:rsidRPr="00A01326">
        <w:rPr>
          <w:rFonts w:ascii="Times New Roman" w:hAnsi="Times New Roman" w:cs="Times New Roman"/>
          <w:iCs/>
          <w:color w:val="000000" w:themeColor="text1"/>
        </w:rPr>
        <w:t>20.</w:t>
      </w:r>
      <w:r>
        <w:rPr>
          <w:rFonts w:ascii="Times New Roman" w:hAnsi="Times New Roman" w:cs="Times New Roman"/>
          <w:iCs/>
          <w:color w:val="000000" w:themeColor="text1"/>
        </w:rPr>
        <w:t xml:space="preserve">  </w:t>
      </w:r>
      <w:hyperlink r:id="rId14" w:history="1">
        <w:r w:rsidRPr="00A01326">
          <w:rPr>
            <w:rStyle w:val="Hyperlink"/>
            <w:rFonts w:ascii="Times New Roman" w:hAnsi="Times New Roman" w:cs="Times New Roman"/>
            <w:iCs/>
            <w:color w:val="000000" w:themeColor="text1"/>
            <w:shd w:val="clear" w:color="auto" w:fill="FFFFFF"/>
          </w:rPr>
          <w:t>Ostermann PA</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5" w:history="1">
        <w:r w:rsidRPr="00A01326">
          <w:rPr>
            <w:rStyle w:val="Hyperlink"/>
            <w:rFonts w:ascii="Times New Roman" w:hAnsi="Times New Roman" w:cs="Times New Roman"/>
            <w:iCs/>
            <w:color w:val="000000" w:themeColor="text1"/>
            <w:shd w:val="clear" w:color="auto" w:fill="FFFFFF"/>
          </w:rPr>
          <w:t>Knopp W</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6" w:history="1">
        <w:r w:rsidRPr="00A01326">
          <w:rPr>
            <w:rStyle w:val="Hyperlink"/>
            <w:rFonts w:ascii="Times New Roman" w:hAnsi="Times New Roman" w:cs="Times New Roman"/>
            <w:iCs/>
            <w:color w:val="000000" w:themeColor="text1"/>
            <w:shd w:val="clear" w:color="auto" w:fill="FFFFFF"/>
          </w:rPr>
          <w:t>Josten C</w:t>
        </w:r>
      </w:hyperlink>
      <w:r w:rsidRPr="00A01326">
        <w:rPr>
          <w:rFonts w:ascii="Times New Roman" w:hAnsi="Times New Roman" w:cs="Times New Roman"/>
          <w:iCs/>
          <w:color w:val="000000" w:themeColor="text1"/>
          <w:shd w:val="clear" w:color="auto" w:fill="FFFFFF"/>
        </w:rPr>
        <w:t>,</w:t>
      </w:r>
      <w:r w:rsidRPr="00A01326">
        <w:rPr>
          <w:rStyle w:val="apple-converted-space"/>
          <w:rFonts w:ascii="Times New Roman" w:hAnsi="Times New Roman" w:cs="Times New Roman"/>
          <w:iCs/>
          <w:color w:val="000000" w:themeColor="text1"/>
          <w:shd w:val="clear" w:color="auto" w:fill="FFFFFF"/>
        </w:rPr>
        <w:t> </w:t>
      </w:r>
      <w:hyperlink r:id="rId17" w:history="1">
        <w:r w:rsidRPr="00A01326">
          <w:rPr>
            <w:rStyle w:val="Hyperlink"/>
            <w:rFonts w:ascii="Times New Roman" w:hAnsi="Times New Roman" w:cs="Times New Roman"/>
            <w:iCs/>
            <w:color w:val="000000" w:themeColor="text1"/>
            <w:shd w:val="clear" w:color="auto" w:fill="FFFFFF"/>
          </w:rPr>
          <w:t>Muhr G</w:t>
        </w:r>
      </w:hyperlink>
      <w:r w:rsidRPr="00A01326">
        <w:rPr>
          <w:rFonts w:ascii="Times New Roman" w:hAnsi="Times New Roman" w:cs="Times New Roman"/>
          <w:iCs/>
          <w:color w:val="000000" w:themeColor="text1"/>
        </w:rPr>
        <w:t xml:space="preserve">, </w:t>
      </w:r>
      <w:r w:rsidRPr="00A01326">
        <w:rPr>
          <w:rFonts w:ascii="Times New Roman" w:hAnsi="Times New Roman" w:cs="Times New Roman"/>
          <w:bCs/>
          <w:iCs/>
          <w:color w:val="000000" w:themeColor="text1"/>
        </w:rPr>
        <w:t xml:space="preserve">Unreamed intramedullary nail or external fixator in complicated tibial fracture? A comparative analysis: </w:t>
      </w:r>
      <w:r w:rsidRPr="00A01326">
        <w:rPr>
          <w:rStyle w:val="apple-converted-space"/>
          <w:rFonts w:ascii="Times New Roman" w:hAnsi="Times New Roman" w:cs="Times New Roman"/>
          <w:iCs/>
          <w:color w:val="000000" w:themeColor="text1"/>
          <w:shd w:val="clear" w:color="auto" w:fill="FFFFFF"/>
        </w:rPr>
        <w:t> </w:t>
      </w:r>
      <w:r w:rsidRPr="00A01326">
        <w:rPr>
          <w:rFonts w:ascii="Times New Roman" w:hAnsi="Times New Roman" w:cs="Times New Roman"/>
          <w:iCs/>
          <w:color w:val="000000" w:themeColor="text1"/>
          <w:shd w:val="clear" w:color="auto" w:fill="FFFFFF"/>
        </w:rPr>
        <w:t>1993 Nov</w:t>
      </w:r>
      <w:proofErr w:type="gramStart"/>
      <w:r w:rsidRPr="00A01326">
        <w:rPr>
          <w:rFonts w:ascii="Times New Roman" w:hAnsi="Times New Roman" w:cs="Times New Roman"/>
          <w:iCs/>
          <w:color w:val="000000" w:themeColor="text1"/>
          <w:shd w:val="clear" w:color="auto" w:fill="FFFFFF"/>
        </w:rPr>
        <w:t>;64</w:t>
      </w:r>
      <w:proofErr w:type="gramEnd"/>
      <w:r w:rsidRPr="00A01326">
        <w:rPr>
          <w:rFonts w:ascii="Times New Roman" w:hAnsi="Times New Roman" w:cs="Times New Roman"/>
          <w:iCs/>
          <w:color w:val="000000" w:themeColor="text1"/>
          <w:shd w:val="clear" w:color="auto" w:fill="FFFFFF"/>
        </w:rPr>
        <w:t>(11):913-7</w:t>
      </w:r>
    </w:p>
    <w:p w:rsidR="0029072B" w:rsidRPr="00A01326" w:rsidRDefault="0029072B" w:rsidP="0029072B">
      <w:pPr>
        <w:tabs>
          <w:tab w:val="left" w:pos="2565"/>
        </w:tabs>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 xml:space="preserve">21. </w:t>
      </w:r>
      <w:r w:rsidRPr="00A01326">
        <w:rPr>
          <w:rFonts w:ascii="Times New Roman" w:hAnsi="Times New Roman" w:cs="Times New Roman"/>
          <w:iCs/>
          <w:color w:val="000000" w:themeColor="text1"/>
        </w:rPr>
        <w:tab/>
        <w:t>Singh, T. Motten, N. Kalsotra, R. Gupta, V. Gupta &amp; R. Gupta: Unreamed Solid Locked Nailing In The Treatment Of Compound Diaphyseal Fractures Of The Tibia</w:t>
      </w:r>
      <w:proofErr w:type="gramStart"/>
      <w:r w:rsidRPr="00A01326">
        <w:rPr>
          <w:rFonts w:ascii="Times New Roman" w:hAnsi="Times New Roman" w:cs="Times New Roman"/>
          <w:iCs/>
          <w:color w:val="000000" w:themeColor="text1"/>
        </w:rPr>
        <w:t>..The Internet Journal of Orthopedic Surgery.</w:t>
      </w:r>
      <w:proofErr w:type="gramEnd"/>
      <w:r w:rsidRPr="00A01326">
        <w:rPr>
          <w:rFonts w:ascii="Times New Roman" w:hAnsi="Times New Roman" w:cs="Times New Roman"/>
          <w:iCs/>
          <w:color w:val="000000" w:themeColor="text1"/>
        </w:rPr>
        <w:t xml:space="preserve"> 2010 Volume 17 Number 2</w:t>
      </w:r>
    </w:p>
    <w:p w:rsidR="0029072B" w:rsidRPr="00B94AFF" w:rsidRDefault="0029072B" w:rsidP="0029072B">
      <w:pPr>
        <w:spacing w:line="480" w:lineRule="auto"/>
        <w:ind w:left="720" w:hanging="450"/>
        <w:jc w:val="both"/>
        <w:rPr>
          <w:rFonts w:ascii="Times New Roman" w:hAnsi="Times New Roman" w:cs="Times New Roman"/>
          <w:iCs/>
          <w:color w:val="000000" w:themeColor="text1"/>
        </w:rPr>
      </w:pPr>
      <w:r w:rsidRPr="00A01326">
        <w:rPr>
          <w:rFonts w:ascii="Times New Roman" w:hAnsi="Times New Roman" w:cs="Times New Roman"/>
          <w:iCs/>
          <w:color w:val="000000" w:themeColor="text1"/>
        </w:rPr>
        <w:t>22. .Blachut PA, O'Brien PJ, Meek RN, et al. Interlocking intramedullary nailing with and without reaming for the treatment of closed fractures of the tibial shaft. J Bone Joint Surg 1997</w:t>
      </w:r>
      <w:proofErr w:type="gramStart"/>
      <w:r w:rsidRPr="00A01326">
        <w:rPr>
          <w:rFonts w:ascii="Times New Roman" w:hAnsi="Times New Roman" w:cs="Times New Roman"/>
          <w:iCs/>
          <w:color w:val="000000" w:themeColor="text1"/>
        </w:rPr>
        <w:t>;79A:640</w:t>
      </w:r>
      <w:proofErr w:type="gramEnd"/>
      <w:r w:rsidRPr="00A01326">
        <w:rPr>
          <w:rFonts w:ascii="Times New Roman" w:hAnsi="Times New Roman" w:cs="Times New Roman"/>
          <w:iCs/>
          <w:color w:val="000000" w:themeColor="text1"/>
        </w:rPr>
        <w:t>-646</w:t>
      </w:r>
      <w:r>
        <w:rPr>
          <w:rFonts w:ascii="Times New Roman" w:hAnsi="Times New Roman" w:cs="Times New Roman"/>
          <w:iCs/>
          <w:color w:val="000000" w:themeColor="text1"/>
        </w:rPr>
        <w:t>.</w:t>
      </w:r>
    </w:p>
    <w:p w:rsidR="0029072B" w:rsidRPr="009E0134" w:rsidRDefault="0029072B" w:rsidP="0029072B">
      <w:pPr>
        <w:tabs>
          <w:tab w:val="left" w:pos="720"/>
          <w:tab w:val="left" w:pos="1440"/>
        </w:tabs>
        <w:spacing w:line="480" w:lineRule="auto"/>
        <w:jc w:val="both"/>
        <w:rPr>
          <w:rFonts w:ascii="Times New Roman" w:hAnsi="Times New Roman" w:cs="Times New Roman"/>
          <w:sz w:val="24"/>
          <w:szCs w:val="24"/>
        </w:rPr>
      </w:pPr>
    </w:p>
    <w:p w:rsidR="003E0C2A" w:rsidRDefault="003E0C2A"/>
    <w:sectPr w:rsidR="003E0C2A" w:rsidSect="003E0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29072B"/>
    <w:rsid w:val="0029072B"/>
    <w:rsid w:val="003E0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2B"/>
    <w:pPr>
      <w:spacing w:line="180" w:lineRule="auto"/>
      <w:jc w:val="center"/>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2B"/>
    <w:rPr>
      <w:color w:val="0000FF" w:themeColor="hyperlink"/>
      <w:u w:val="single"/>
    </w:rPr>
  </w:style>
  <w:style w:type="table" w:styleId="TableGrid">
    <w:name w:val="Table Grid"/>
    <w:basedOn w:val="TableNormal"/>
    <w:uiPriority w:val="1"/>
    <w:rsid w:val="0029072B"/>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29072B"/>
  </w:style>
  <w:style w:type="character" w:styleId="Emphasis">
    <w:name w:val="Emphasis"/>
    <w:basedOn w:val="DefaultParagraphFont"/>
    <w:uiPriority w:val="20"/>
    <w:qFormat/>
    <w:rsid w:val="0029072B"/>
    <w:rPr>
      <w:i/>
      <w:iCs/>
    </w:rPr>
  </w:style>
  <w:style w:type="character" w:customStyle="1" w:styleId="ref-journal">
    <w:name w:val="ref-journal"/>
    <w:basedOn w:val="DefaultParagraphFont"/>
    <w:rsid w:val="0029072B"/>
  </w:style>
  <w:style w:type="character" w:customStyle="1" w:styleId="ref-vol">
    <w:name w:val="ref-vol"/>
    <w:basedOn w:val="DefaultParagraphFont"/>
    <w:rsid w:val="0029072B"/>
  </w:style>
  <w:style w:type="paragraph" w:styleId="BalloonText">
    <w:name w:val="Balloon Text"/>
    <w:basedOn w:val="Normal"/>
    <w:link w:val="BalloonTextChar"/>
    <w:uiPriority w:val="99"/>
    <w:semiHidden/>
    <w:unhideWhenUsed/>
    <w:rsid w:val="0029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2B"/>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ncbi.nlm.nih.gov/pubmed?term=Muhr%20G%5BAuthor%5D&amp;cauthor=true&amp;cauthor_uid=828182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www.ncbi.nlm.nih.gov/pubmed?term=Josten%20C%5BAuthor%5D&amp;cauthor=true&amp;cauthor_uid=8281829" TargetMode="External"/><Relationship Id="rId17" Type="http://schemas.openxmlformats.org/officeDocument/2006/relationships/hyperlink" Target="http://www.ncbi.nlm.nih.gov/pubmed?term=Muhr%20G%5BAuthor%5D&amp;cauthor=true&amp;cauthor_uid=8281829" TargetMode="External"/><Relationship Id="rId2" Type="http://schemas.openxmlformats.org/officeDocument/2006/relationships/settings" Target="settings.xml"/><Relationship Id="rId16" Type="http://schemas.openxmlformats.org/officeDocument/2006/relationships/hyperlink" Target="http://www.ncbi.nlm.nih.gov/pubmed?term=Josten%20C%5BAuthor%5D&amp;cauthor=true&amp;cauthor_uid=8281829" TargetMode="External"/><Relationship Id="rId1" Type="http://schemas.openxmlformats.org/officeDocument/2006/relationships/styles" Target="styles.xml"/><Relationship Id="rId6" Type="http://schemas.openxmlformats.org/officeDocument/2006/relationships/hyperlink" Target="mailto:drchinmoydas@yahoo.com" TargetMode="External"/><Relationship Id="rId11" Type="http://schemas.openxmlformats.org/officeDocument/2006/relationships/hyperlink" Target="http://www.ncbi.nlm.nih.gov/pubmed?term=Knopp%20W%5BAuthor%5D&amp;cauthor=true&amp;cauthor_uid=8281829" TargetMode="External"/><Relationship Id="rId5" Type="http://schemas.openxmlformats.org/officeDocument/2006/relationships/hyperlink" Target="mailto:drchinmoydas@yahoo.com" TargetMode="External"/><Relationship Id="rId15" Type="http://schemas.openxmlformats.org/officeDocument/2006/relationships/hyperlink" Target="http://www.ncbi.nlm.nih.gov/pubmed?term=Knopp%20W%5BAuthor%5D&amp;cauthor=true&amp;cauthor_uid=8281829" TargetMode="External"/><Relationship Id="rId10" Type="http://schemas.openxmlformats.org/officeDocument/2006/relationships/hyperlink" Target="http://www.ncbi.nlm.nih.gov/pubmed?term=Ostermann%20PA%5BAuthor%5D&amp;cauthor=true&amp;cauthor_uid=8281829" TargetMode="External"/><Relationship Id="rId19" Type="http://schemas.openxmlformats.org/officeDocument/2006/relationships/theme" Target="theme/theme1.xml"/><Relationship Id="rId4" Type="http://schemas.openxmlformats.org/officeDocument/2006/relationships/hyperlink" Target="mailto:drchinmoydas@yahoo.com" TargetMode="External"/><Relationship Id="rId9" Type="http://schemas.openxmlformats.org/officeDocument/2006/relationships/chart" Target="charts/chart3.xml"/><Relationship Id="rId14" Type="http://schemas.openxmlformats.org/officeDocument/2006/relationships/hyperlink" Target="http://www.ncbi.nlm.nih.gov/pubmed?term=Ostermann%20PA%5BAuthor%5D&amp;cauthor=true&amp;cauthor_uid=828182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a:pPr>
          <a:endParaRPr lang="en-US"/>
        </a:p>
      </c:txPr>
    </c:title>
    <c:view3D>
      <c:rotX val="30"/>
      <c:perspective val="30"/>
    </c:view3D>
    <c:plotArea>
      <c:layout>
        <c:manualLayout>
          <c:layoutTarget val="inner"/>
          <c:xMode val="edge"/>
          <c:yMode val="edge"/>
          <c:x val="8.3575568678915788E-2"/>
          <c:y val="0.22146294213223514"/>
          <c:w val="0.73024588072324292"/>
          <c:h val="0.68038800690056478"/>
        </c:manualLayout>
      </c:layout>
      <c:pie3DChart>
        <c:varyColors val="1"/>
        <c:ser>
          <c:idx val="0"/>
          <c:order val="0"/>
          <c:tx>
            <c:strRef>
              <c:f>Sheet1!$B$1</c:f>
              <c:strCache>
                <c:ptCount val="1"/>
                <c:pt idx="0">
                  <c:v>age distribution</c:v>
                </c:pt>
              </c:strCache>
            </c:strRef>
          </c:tx>
          <c:dPt>
            <c:idx val="0"/>
            <c:explosion val="13"/>
          </c:dPt>
          <c:dPt>
            <c:idx val="1"/>
            <c:explosion val="11"/>
          </c:dPt>
          <c:dPt>
            <c:idx val="2"/>
            <c:explosion val="10"/>
          </c:dPt>
          <c:dPt>
            <c:idx val="3"/>
            <c:explosion val="14"/>
          </c:dPt>
          <c:dPt>
            <c:idx val="4"/>
            <c:explosion val="16"/>
          </c:dPt>
          <c:dLbls>
            <c:txPr>
              <a:bodyPr/>
              <a:lstStyle/>
              <a:p>
                <a:pPr>
                  <a:defRPr lang="en-IN"/>
                </a:pPr>
                <a:endParaRPr lang="en-US"/>
              </a:p>
            </c:txPr>
            <c:showVal val="1"/>
            <c:showLeaderLines val="1"/>
          </c:dLbls>
          <c:cat>
            <c:strRef>
              <c:f>Sheet1!$A$2:$A$6</c:f>
              <c:strCache>
                <c:ptCount val="5"/>
                <c:pt idx="0">
                  <c:v>18-20</c:v>
                </c:pt>
                <c:pt idx="1">
                  <c:v>21-30</c:v>
                </c:pt>
                <c:pt idx="2">
                  <c:v>31-40</c:v>
                </c:pt>
                <c:pt idx="3">
                  <c:v>41-50</c:v>
                </c:pt>
                <c:pt idx="4">
                  <c:v>51-60</c:v>
                </c:pt>
              </c:strCache>
            </c:strRef>
          </c:cat>
          <c:val>
            <c:numRef>
              <c:f>Sheet1!$B$2:$B$6</c:f>
              <c:numCache>
                <c:formatCode>General</c:formatCode>
                <c:ptCount val="5"/>
                <c:pt idx="0">
                  <c:v>8</c:v>
                </c:pt>
                <c:pt idx="1">
                  <c:v>21</c:v>
                </c:pt>
                <c:pt idx="2">
                  <c:v>13</c:v>
                </c:pt>
                <c:pt idx="3">
                  <c:v>8</c:v>
                </c:pt>
                <c:pt idx="4">
                  <c:v>2</c:v>
                </c:pt>
              </c:numCache>
            </c:numRef>
          </c:val>
        </c:ser>
      </c:pie3DChart>
    </c:plotArea>
    <c:legend>
      <c:legendPos val="r"/>
      <c:txPr>
        <a:bodyPr/>
        <a:lstStyle/>
        <a:p>
          <a:pPr>
            <a:defRPr lang="en-IN"/>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a:pPr>
          <a:endParaRPr lang="en-US"/>
        </a:p>
      </c:txPr>
    </c:title>
    <c:view3D>
      <c:rotX val="30"/>
      <c:perspective val="30"/>
    </c:view3D>
    <c:plotArea>
      <c:layout/>
      <c:pie3DChart>
        <c:varyColors val="1"/>
        <c:ser>
          <c:idx val="0"/>
          <c:order val="0"/>
          <c:tx>
            <c:strRef>
              <c:f>Sheet1!$B$1</c:f>
              <c:strCache>
                <c:ptCount val="1"/>
                <c:pt idx="0">
                  <c:v>Mode of injury</c:v>
                </c:pt>
              </c:strCache>
            </c:strRef>
          </c:tx>
          <c:explosion val="25"/>
          <c:dPt>
            <c:idx val="0"/>
            <c:explosion val="10"/>
          </c:dPt>
          <c:dPt>
            <c:idx val="1"/>
            <c:explosion val="16"/>
          </c:dPt>
          <c:dPt>
            <c:idx val="3"/>
            <c:explosion val="16"/>
          </c:dPt>
          <c:dLbls>
            <c:txPr>
              <a:bodyPr/>
              <a:lstStyle/>
              <a:p>
                <a:pPr>
                  <a:defRPr lang="en-IN"/>
                </a:pPr>
                <a:endParaRPr lang="en-US"/>
              </a:p>
            </c:txPr>
            <c:showVal val="1"/>
            <c:showLeaderLines val="1"/>
          </c:dLbls>
          <c:cat>
            <c:strRef>
              <c:f>Sheet1!$A$2:$A$5</c:f>
              <c:strCache>
                <c:ptCount val="4"/>
                <c:pt idx="0">
                  <c:v>RTA</c:v>
                </c:pt>
                <c:pt idx="1">
                  <c:v>Physical assault</c:v>
                </c:pt>
                <c:pt idx="2">
                  <c:v>Fall</c:v>
                </c:pt>
                <c:pt idx="3">
                  <c:v>Sports</c:v>
                </c:pt>
              </c:strCache>
            </c:strRef>
          </c:cat>
          <c:val>
            <c:numRef>
              <c:f>Sheet1!$B$2:$B$5</c:f>
              <c:numCache>
                <c:formatCode>General</c:formatCode>
                <c:ptCount val="4"/>
                <c:pt idx="0">
                  <c:v>29</c:v>
                </c:pt>
                <c:pt idx="1">
                  <c:v>11</c:v>
                </c:pt>
                <c:pt idx="2">
                  <c:v>7</c:v>
                </c:pt>
                <c:pt idx="3">
                  <c:v>5</c:v>
                </c:pt>
              </c:numCache>
            </c:numRef>
          </c:val>
        </c:ser>
      </c:pie3DChart>
    </c:plotArea>
    <c:legend>
      <c:legendPos val="r"/>
      <c:txPr>
        <a:bodyPr/>
        <a:lstStyle/>
        <a:p>
          <a:pPr>
            <a:defRPr lang="en-IN"/>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Sheet1!$B$1</c:f>
              <c:strCache>
                <c:ptCount val="1"/>
                <c:pt idx="0">
                  <c:v>Immediate nailing</c:v>
                </c:pt>
              </c:strCache>
            </c:strRef>
          </c:tx>
          <c:cat>
            <c:strRef>
              <c:f>Sheet1!$A$2:$A$4</c:f>
              <c:strCache>
                <c:ptCount val="3"/>
                <c:pt idx="0">
                  <c:v>          Superficial</c:v>
                </c:pt>
                <c:pt idx="1">
                  <c:v>Deep</c:v>
                </c:pt>
                <c:pt idx="2">
                  <c:v>osteomyelitis</c:v>
                </c:pt>
              </c:strCache>
            </c:strRef>
          </c:cat>
          <c:val>
            <c:numRef>
              <c:f>Sheet1!$B$2:$B$4</c:f>
              <c:numCache>
                <c:formatCode>General</c:formatCode>
                <c:ptCount val="3"/>
                <c:pt idx="0">
                  <c:v>3</c:v>
                </c:pt>
                <c:pt idx="1">
                  <c:v>1</c:v>
                </c:pt>
                <c:pt idx="2">
                  <c:v>1</c:v>
                </c:pt>
              </c:numCache>
            </c:numRef>
          </c:val>
        </c:ser>
        <c:ser>
          <c:idx val="1"/>
          <c:order val="1"/>
          <c:tx>
            <c:strRef>
              <c:f>Sheet1!$C$1</c:f>
              <c:strCache>
                <c:ptCount val="1"/>
                <c:pt idx="0">
                  <c:v>Delayed nailing</c:v>
                </c:pt>
              </c:strCache>
            </c:strRef>
          </c:tx>
          <c:cat>
            <c:strRef>
              <c:f>Sheet1!$A$2:$A$4</c:f>
              <c:strCache>
                <c:ptCount val="3"/>
                <c:pt idx="0">
                  <c:v>          Superficial</c:v>
                </c:pt>
                <c:pt idx="1">
                  <c:v>Deep</c:v>
                </c:pt>
                <c:pt idx="2">
                  <c:v>osteomyelitis</c:v>
                </c:pt>
              </c:strCache>
            </c:strRef>
          </c:cat>
          <c:val>
            <c:numRef>
              <c:f>Sheet1!$C$2:$C$4</c:f>
              <c:numCache>
                <c:formatCode>General</c:formatCode>
                <c:ptCount val="3"/>
                <c:pt idx="0">
                  <c:v>1</c:v>
                </c:pt>
                <c:pt idx="1">
                  <c:v>2</c:v>
                </c:pt>
                <c:pt idx="2">
                  <c:v>1</c:v>
                </c:pt>
              </c:numCache>
            </c:numRef>
          </c:val>
        </c:ser>
        <c:shape val="cylinder"/>
        <c:axId val="77971840"/>
        <c:axId val="77973376"/>
        <c:axId val="0"/>
      </c:bar3DChart>
      <c:catAx>
        <c:axId val="77971840"/>
        <c:scaling>
          <c:orientation val="minMax"/>
        </c:scaling>
        <c:axPos val="b"/>
        <c:tickLblPos val="nextTo"/>
        <c:txPr>
          <a:bodyPr/>
          <a:lstStyle/>
          <a:p>
            <a:pPr>
              <a:defRPr lang="en-IN"/>
            </a:pPr>
            <a:endParaRPr lang="en-US"/>
          </a:p>
        </c:txPr>
        <c:crossAx val="77973376"/>
        <c:crosses val="autoZero"/>
        <c:auto val="1"/>
        <c:lblAlgn val="ctr"/>
        <c:lblOffset val="100"/>
      </c:catAx>
      <c:valAx>
        <c:axId val="77973376"/>
        <c:scaling>
          <c:orientation val="minMax"/>
        </c:scaling>
        <c:axPos val="l"/>
        <c:majorGridlines/>
        <c:numFmt formatCode="General" sourceLinked="1"/>
        <c:tickLblPos val="nextTo"/>
        <c:txPr>
          <a:bodyPr/>
          <a:lstStyle/>
          <a:p>
            <a:pPr>
              <a:defRPr lang="en-IN"/>
            </a:pPr>
            <a:endParaRPr lang="en-US"/>
          </a:p>
        </c:txPr>
        <c:crossAx val="77971840"/>
        <c:crosses val="autoZero"/>
        <c:crossBetween val="between"/>
      </c:valAx>
    </c:plotArea>
    <c:legend>
      <c:legendPos val="r"/>
      <c:txPr>
        <a:bodyPr/>
        <a:lstStyle/>
        <a:p>
          <a:pPr>
            <a:defRPr lang="en-IN"/>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2801</Words>
  <Characters>15970</Characters>
  <Application>Microsoft Office Word</Application>
  <DocSecurity>0</DocSecurity>
  <Lines>133</Lines>
  <Paragraphs>37</Paragraphs>
  <ScaleCrop>false</ScaleCrop>
  <Company/>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Tribeni Sarma</dc:creator>
  <cp:lastModifiedBy>Tribeni Sarma</cp:lastModifiedBy>
  <cp:revision>1</cp:revision>
  <dcterms:created xsi:type="dcterms:W3CDTF">2016-08-05T04:54:00Z</dcterms:created>
  <dcterms:modified xsi:type="dcterms:W3CDTF">2016-08-05T04:55:00Z</dcterms:modified>
</cp:coreProperties>
</file>