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1CD" w:rsidRDefault="00F111CD" w:rsidP="00F111CD">
      <w:pPr>
        <w:spacing w:line="480" w:lineRule="auto"/>
        <w:jc w:val="center"/>
        <w:rPr>
          <w:sz w:val="20"/>
          <w:szCs w:val="20"/>
        </w:rPr>
      </w:pPr>
      <w:r>
        <w:rPr>
          <w:sz w:val="20"/>
          <w:szCs w:val="20"/>
        </w:rPr>
        <w:t>Manuscript</w:t>
      </w:r>
    </w:p>
    <w:p w:rsidR="007E5165" w:rsidRPr="00F111CD" w:rsidRDefault="00F111CD" w:rsidP="00C95347">
      <w:pPr>
        <w:spacing w:line="480" w:lineRule="auto"/>
        <w:jc w:val="both"/>
        <w:rPr>
          <w:sz w:val="20"/>
          <w:szCs w:val="20"/>
        </w:rPr>
      </w:pPr>
      <w:r>
        <w:rPr>
          <w:sz w:val="20"/>
          <w:szCs w:val="20"/>
        </w:rPr>
        <w:t>TITLE</w:t>
      </w:r>
      <w:proofErr w:type="gramStart"/>
      <w:r>
        <w:rPr>
          <w:sz w:val="20"/>
          <w:szCs w:val="20"/>
        </w:rPr>
        <w:t>:</w:t>
      </w:r>
      <w:r w:rsidR="009D0FCD" w:rsidRPr="00F111CD">
        <w:rPr>
          <w:sz w:val="20"/>
          <w:szCs w:val="20"/>
        </w:rPr>
        <w:t>A</w:t>
      </w:r>
      <w:proofErr w:type="gramEnd"/>
      <w:r w:rsidR="009D0FCD" w:rsidRPr="00F111CD">
        <w:rPr>
          <w:sz w:val="20"/>
          <w:szCs w:val="20"/>
        </w:rPr>
        <w:t xml:space="preserve"> STUDY OF </w:t>
      </w:r>
      <w:r w:rsidR="00005DE0" w:rsidRPr="00F111CD">
        <w:rPr>
          <w:sz w:val="20"/>
          <w:szCs w:val="20"/>
        </w:rPr>
        <w:t xml:space="preserve">SERUM </w:t>
      </w:r>
      <w:r w:rsidR="009D0FCD" w:rsidRPr="00F111CD">
        <w:rPr>
          <w:sz w:val="20"/>
          <w:szCs w:val="20"/>
        </w:rPr>
        <w:t>TOTAL CHOLESTEROL AND HDL-CHOLESTEROL IN DEPRESSION</w:t>
      </w:r>
    </w:p>
    <w:p w:rsidR="003020BE" w:rsidRPr="00F111CD" w:rsidRDefault="003020BE" w:rsidP="00C95347">
      <w:pPr>
        <w:spacing w:line="480" w:lineRule="auto"/>
        <w:jc w:val="both"/>
        <w:rPr>
          <w:i/>
          <w:sz w:val="22"/>
          <w:szCs w:val="22"/>
          <w:vertAlign w:val="superscript"/>
        </w:rPr>
      </w:pPr>
      <w:proofErr w:type="spellStart"/>
      <w:r w:rsidRPr="00F111CD">
        <w:rPr>
          <w:i/>
          <w:sz w:val="22"/>
          <w:szCs w:val="22"/>
          <w:lang w:val="en-IN"/>
        </w:rPr>
        <w:t>Dr.Baru</w:t>
      </w:r>
      <w:r w:rsidR="00F111CD">
        <w:rPr>
          <w:i/>
          <w:sz w:val="22"/>
          <w:szCs w:val="22"/>
          <w:lang w:val="en-IN"/>
        </w:rPr>
        <w:t>ah</w:t>
      </w:r>
      <w:proofErr w:type="spellEnd"/>
      <w:r w:rsidR="00F111CD">
        <w:rPr>
          <w:i/>
          <w:sz w:val="22"/>
          <w:szCs w:val="22"/>
          <w:lang w:val="en-IN"/>
        </w:rPr>
        <w:t xml:space="preserve"> </w:t>
      </w:r>
      <w:proofErr w:type="spellStart"/>
      <w:r w:rsidR="00F111CD">
        <w:rPr>
          <w:i/>
          <w:sz w:val="22"/>
          <w:szCs w:val="22"/>
          <w:lang w:val="en-IN"/>
        </w:rPr>
        <w:t>Jahnabi</w:t>
      </w:r>
      <w:proofErr w:type="spellEnd"/>
      <w:proofErr w:type="gramStart"/>
      <w:r w:rsidRPr="00F111CD">
        <w:rPr>
          <w:i/>
          <w:sz w:val="22"/>
          <w:szCs w:val="22"/>
          <w:lang w:val="en-IN"/>
        </w:rPr>
        <w:t>,</w:t>
      </w:r>
      <w:r w:rsidRPr="00F111CD">
        <w:rPr>
          <w:i/>
          <w:sz w:val="22"/>
          <w:szCs w:val="22"/>
        </w:rPr>
        <w:t>Dr</w:t>
      </w:r>
      <w:proofErr w:type="gramEnd"/>
      <w:r w:rsidRPr="00F111CD">
        <w:rPr>
          <w:i/>
          <w:sz w:val="22"/>
          <w:szCs w:val="22"/>
        </w:rPr>
        <w:t xml:space="preserve">. (Mrs.) </w:t>
      </w:r>
      <w:proofErr w:type="spellStart"/>
      <w:r w:rsidR="00F111CD" w:rsidRPr="00F111CD">
        <w:rPr>
          <w:i/>
          <w:sz w:val="22"/>
          <w:szCs w:val="22"/>
        </w:rPr>
        <w:t>Teli</w:t>
      </w:r>
      <w:proofErr w:type="spellEnd"/>
      <w:r w:rsidR="00F111CD" w:rsidRPr="00F111CD">
        <w:rPr>
          <w:i/>
          <w:sz w:val="22"/>
          <w:szCs w:val="22"/>
        </w:rPr>
        <w:t xml:space="preserve"> </w:t>
      </w:r>
      <w:proofErr w:type="spellStart"/>
      <w:r w:rsidR="00F111CD">
        <w:rPr>
          <w:i/>
          <w:sz w:val="22"/>
          <w:szCs w:val="22"/>
        </w:rPr>
        <w:t>Barhai</w:t>
      </w:r>
      <w:proofErr w:type="spellEnd"/>
      <w:r w:rsidR="00F111CD">
        <w:rPr>
          <w:i/>
          <w:sz w:val="22"/>
          <w:szCs w:val="22"/>
        </w:rPr>
        <w:t xml:space="preserve"> </w:t>
      </w:r>
      <w:proofErr w:type="spellStart"/>
      <w:r w:rsidR="00F111CD">
        <w:rPr>
          <w:i/>
          <w:sz w:val="22"/>
          <w:szCs w:val="22"/>
        </w:rPr>
        <w:t>Anju</w:t>
      </w:r>
      <w:proofErr w:type="spellEnd"/>
      <w:r w:rsidRPr="00F111CD">
        <w:rPr>
          <w:i/>
          <w:sz w:val="22"/>
          <w:szCs w:val="22"/>
        </w:rPr>
        <w:t xml:space="preserve"> ,</w:t>
      </w:r>
      <w:proofErr w:type="spellStart"/>
      <w:r w:rsidR="00F111CD">
        <w:rPr>
          <w:i/>
          <w:sz w:val="22"/>
          <w:szCs w:val="22"/>
        </w:rPr>
        <w:t>Dr.</w:t>
      </w:r>
      <w:r w:rsidRPr="00F111CD">
        <w:rPr>
          <w:i/>
          <w:sz w:val="22"/>
          <w:szCs w:val="22"/>
        </w:rPr>
        <w:t>Goswami</w:t>
      </w:r>
      <w:proofErr w:type="spellEnd"/>
      <w:r w:rsidR="00F111CD">
        <w:rPr>
          <w:i/>
          <w:sz w:val="22"/>
          <w:szCs w:val="22"/>
        </w:rPr>
        <w:t xml:space="preserve"> Kumar </w:t>
      </w:r>
      <w:proofErr w:type="spellStart"/>
      <w:r w:rsidR="00F111CD">
        <w:rPr>
          <w:i/>
          <w:sz w:val="22"/>
          <w:szCs w:val="22"/>
        </w:rPr>
        <w:t>Hiranya</w:t>
      </w:r>
      <w:proofErr w:type="spellEnd"/>
      <w:r w:rsidR="007D3442">
        <w:rPr>
          <w:i/>
          <w:sz w:val="22"/>
          <w:szCs w:val="22"/>
        </w:rPr>
        <w:t>, Dr. Gupta Pratim.</w:t>
      </w:r>
      <w:bookmarkStart w:id="0" w:name="_GoBack"/>
      <w:bookmarkEnd w:id="0"/>
    </w:p>
    <w:p w:rsidR="0021548C" w:rsidRDefault="003020BE" w:rsidP="0021548C">
      <w:pPr>
        <w:spacing w:line="480" w:lineRule="auto"/>
        <w:jc w:val="both"/>
        <w:rPr>
          <w:lang w:val="en-IN"/>
        </w:rPr>
      </w:pPr>
      <w:r w:rsidRPr="00F111CD">
        <w:rPr>
          <w:b/>
          <w:sz w:val="22"/>
          <w:szCs w:val="22"/>
          <w:lang w:val="en-IN"/>
        </w:rPr>
        <w:t>ABSTRACT</w:t>
      </w:r>
      <w:r w:rsidRPr="00F111CD">
        <w:rPr>
          <w:lang w:val="en-IN"/>
        </w:rPr>
        <w:t xml:space="preserve">: </w:t>
      </w:r>
    </w:p>
    <w:p w:rsidR="002B1728" w:rsidRPr="0021548C" w:rsidRDefault="002B1728" w:rsidP="0021548C">
      <w:pPr>
        <w:jc w:val="both"/>
        <w:rPr>
          <w:lang w:val="en-IN"/>
        </w:rPr>
      </w:pPr>
      <w:proofErr w:type="spellStart"/>
      <w:r w:rsidRPr="0021548C">
        <w:rPr>
          <w:sz w:val="20"/>
          <w:szCs w:val="20"/>
          <w:u w:val="single"/>
          <w:lang w:val="en-IN"/>
        </w:rPr>
        <w:t>Introduction</w:t>
      </w:r>
      <w:proofErr w:type="gramStart"/>
      <w:r w:rsidRPr="0021548C">
        <w:rPr>
          <w:sz w:val="20"/>
          <w:szCs w:val="20"/>
          <w:lang w:val="en-IN"/>
        </w:rPr>
        <w:t>:</w:t>
      </w:r>
      <w:r w:rsidR="00005DE0" w:rsidRPr="0021548C">
        <w:rPr>
          <w:sz w:val="20"/>
          <w:szCs w:val="20"/>
          <w:lang w:val="en-IN"/>
        </w:rPr>
        <w:t>In</w:t>
      </w:r>
      <w:proofErr w:type="spellEnd"/>
      <w:proofErr w:type="gramEnd"/>
      <w:r w:rsidR="00005DE0" w:rsidRPr="0021548C">
        <w:rPr>
          <w:sz w:val="20"/>
          <w:szCs w:val="20"/>
          <w:lang w:val="en-IN"/>
        </w:rPr>
        <w:t xml:space="preserve"> keeping with the emerging danger of depression, </w:t>
      </w:r>
      <w:r w:rsidR="003020BE" w:rsidRPr="0021548C">
        <w:rPr>
          <w:sz w:val="20"/>
          <w:szCs w:val="20"/>
          <w:lang w:val="en-IN"/>
        </w:rPr>
        <w:t xml:space="preserve">this </w:t>
      </w:r>
      <w:r w:rsidR="00005DE0" w:rsidRPr="0021548C">
        <w:rPr>
          <w:sz w:val="20"/>
          <w:szCs w:val="20"/>
          <w:lang w:val="en-IN"/>
        </w:rPr>
        <w:t xml:space="preserve">study has been carried out to estimate serum </w:t>
      </w:r>
      <w:r w:rsidR="00005DE0" w:rsidRPr="0021548C">
        <w:rPr>
          <w:sz w:val="20"/>
          <w:szCs w:val="20"/>
        </w:rPr>
        <w:t xml:space="preserve">total cholesterol and HDL-cholesterol in cases of depression and compare the levels with that of age and sex matched healthy controls. </w:t>
      </w:r>
    </w:p>
    <w:p w:rsidR="000130E0" w:rsidRPr="0021548C" w:rsidRDefault="002B1728" w:rsidP="0021548C">
      <w:pPr>
        <w:jc w:val="both"/>
        <w:rPr>
          <w:sz w:val="20"/>
          <w:szCs w:val="20"/>
          <w:lang w:val="en-IN"/>
        </w:rPr>
      </w:pPr>
      <w:r w:rsidRPr="0021548C">
        <w:rPr>
          <w:sz w:val="20"/>
          <w:szCs w:val="20"/>
          <w:u w:val="single"/>
        </w:rPr>
        <w:t>Aim</w:t>
      </w:r>
      <w:r w:rsidRPr="0021548C">
        <w:rPr>
          <w:sz w:val="20"/>
          <w:szCs w:val="20"/>
        </w:rPr>
        <w:t xml:space="preserve">: </w:t>
      </w:r>
      <w:r w:rsidR="000130E0" w:rsidRPr="0021548C">
        <w:rPr>
          <w:sz w:val="20"/>
          <w:szCs w:val="20"/>
          <w:lang w:val="en-IN"/>
        </w:rPr>
        <w:t>to measure the serum total cholesterol and HDL-Cholesterol in clinically diagnosed patients with depression and study their levels in different age groups and gender.</w:t>
      </w:r>
    </w:p>
    <w:p w:rsidR="000130E0" w:rsidRPr="0021548C" w:rsidRDefault="000130E0" w:rsidP="0021548C">
      <w:pPr>
        <w:jc w:val="both"/>
        <w:rPr>
          <w:i/>
          <w:sz w:val="20"/>
          <w:szCs w:val="20"/>
        </w:rPr>
      </w:pPr>
      <w:r w:rsidRPr="0021548C">
        <w:rPr>
          <w:sz w:val="20"/>
          <w:szCs w:val="20"/>
          <w:u w:val="single"/>
        </w:rPr>
        <w:t>Methods</w:t>
      </w:r>
      <w:r w:rsidRPr="0021548C">
        <w:rPr>
          <w:sz w:val="20"/>
          <w:szCs w:val="20"/>
        </w:rPr>
        <w:t>:</w:t>
      </w:r>
      <w:r w:rsidRPr="0021548C">
        <w:rPr>
          <w:i/>
          <w:sz w:val="20"/>
          <w:szCs w:val="20"/>
          <w:lang w:val="en-IN"/>
        </w:rPr>
        <w:t xml:space="preserve"> Serum Cholesterol Estimation by CHOD/PAP Method;HDL cholesterol estimation by PEG/ CHOD-PAP Method</w:t>
      </w:r>
    </w:p>
    <w:p w:rsidR="000130E0" w:rsidRPr="0021548C" w:rsidRDefault="000130E0" w:rsidP="0021548C">
      <w:pPr>
        <w:jc w:val="both"/>
        <w:rPr>
          <w:sz w:val="20"/>
          <w:szCs w:val="20"/>
        </w:rPr>
      </w:pPr>
      <w:r w:rsidRPr="0021548C">
        <w:rPr>
          <w:sz w:val="20"/>
          <w:szCs w:val="20"/>
          <w:u w:val="single"/>
        </w:rPr>
        <w:t>Results</w:t>
      </w:r>
      <w:r w:rsidRPr="0021548C">
        <w:rPr>
          <w:i/>
          <w:sz w:val="20"/>
          <w:szCs w:val="20"/>
        </w:rPr>
        <w:t xml:space="preserve">: </w:t>
      </w:r>
      <w:r w:rsidR="00005DE0" w:rsidRPr="0021548C">
        <w:rPr>
          <w:sz w:val="20"/>
          <w:szCs w:val="20"/>
        </w:rPr>
        <w:t>Both the parameters were observed to be significantly</w:t>
      </w:r>
      <w:r w:rsidR="003020BE" w:rsidRPr="0021548C">
        <w:rPr>
          <w:sz w:val="20"/>
          <w:szCs w:val="20"/>
        </w:rPr>
        <w:t xml:space="preserve"> (p&lt;0.05)</w:t>
      </w:r>
      <w:r w:rsidR="00005DE0" w:rsidRPr="0021548C">
        <w:rPr>
          <w:sz w:val="20"/>
          <w:szCs w:val="20"/>
        </w:rPr>
        <w:t xml:space="preserve"> lower in depression.</w:t>
      </w:r>
    </w:p>
    <w:p w:rsidR="00005DE0" w:rsidRPr="0021548C" w:rsidRDefault="000130E0" w:rsidP="0021548C">
      <w:pPr>
        <w:jc w:val="both"/>
        <w:rPr>
          <w:sz w:val="20"/>
          <w:szCs w:val="20"/>
        </w:rPr>
      </w:pPr>
      <w:r w:rsidRPr="0021548C">
        <w:rPr>
          <w:sz w:val="20"/>
          <w:szCs w:val="20"/>
          <w:u w:val="single"/>
        </w:rPr>
        <w:t>Conclusion</w:t>
      </w:r>
      <w:r w:rsidRPr="0021548C">
        <w:rPr>
          <w:sz w:val="20"/>
          <w:szCs w:val="20"/>
        </w:rPr>
        <w:t xml:space="preserve">: </w:t>
      </w:r>
      <w:r w:rsidR="003020BE" w:rsidRPr="0021548C">
        <w:rPr>
          <w:sz w:val="20"/>
          <w:szCs w:val="20"/>
        </w:rPr>
        <w:t>It is suggestive of the fact that cholesterol has an important role to play in our efforts to ameliorate the social burden of depression and mitigate the disease progression.</w:t>
      </w:r>
    </w:p>
    <w:p w:rsidR="0021548C" w:rsidRDefault="0021548C" w:rsidP="00C95347">
      <w:pPr>
        <w:spacing w:line="480" w:lineRule="auto"/>
        <w:jc w:val="both"/>
        <w:rPr>
          <w:b/>
          <w:sz w:val="20"/>
          <w:szCs w:val="20"/>
        </w:rPr>
      </w:pPr>
    </w:p>
    <w:p w:rsidR="00675DBD" w:rsidRPr="0021548C" w:rsidRDefault="00675DBD" w:rsidP="00C95347">
      <w:pPr>
        <w:spacing w:line="480" w:lineRule="auto"/>
        <w:jc w:val="both"/>
        <w:rPr>
          <w:sz w:val="20"/>
          <w:szCs w:val="20"/>
        </w:rPr>
      </w:pPr>
      <w:proofErr w:type="spellStart"/>
      <w:r w:rsidRPr="0021548C">
        <w:rPr>
          <w:b/>
          <w:sz w:val="20"/>
          <w:szCs w:val="20"/>
        </w:rPr>
        <w:t>KEYWORDS</w:t>
      </w:r>
      <w:proofErr w:type="gramStart"/>
      <w:r w:rsidRPr="0021548C">
        <w:rPr>
          <w:sz w:val="20"/>
          <w:szCs w:val="20"/>
        </w:rPr>
        <w:t>:Depression,Total</w:t>
      </w:r>
      <w:proofErr w:type="spellEnd"/>
      <w:proofErr w:type="gramEnd"/>
      <w:r w:rsidRPr="0021548C">
        <w:rPr>
          <w:sz w:val="20"/>
          <w:szCs w:val="20"/>
        </w:rPr>
        <w:t xml:space="preserve"> Cholesterol, HDL-</w:t>
      </w:r>
      <w:proofErr w:type="spellStart"/>
      <w:r w:rsidRPr="0021548C">
        <w:rPr>
          <w:sz w:val="20"/>
          <w:szCs w:val="20"/>
        </w:rPr>
        <w:t>Cholesterol,Psychiatry,Assam</w:t>
      </w:r>
      <w:proofErr w:type="spellEnd"/>
      <w:r w:rsidRPr="0021548C">
        <w:rPr>
          <w:sz w:val="20"/>
          <w:szCs w:val="20"/>
        </w:rPr>
        <w:t>,</w:t>
      </w:r>
    </w:p>
    <w:p w:rsidR="009D0FCD" w:rsidRPr="0021548C" w:rsidRDefault="00EC5111" w:rsidP="0021548C">
      <w:pPr>
        <w:jc w:val="both"/>
        <w:rPr>
          <w:sz w:val="20"/>
          <w:szCs w:val="20"/>
        </w:rPr>
      </w:pPr>
      <w:r w:rsidRPr="0021548C">
        <w:rPr>
          <w:b/>
          <w:sz w:val="20"/>
          <w:szCs w:val="20"/>
          <w:lang w:val="en-IN"/>
        </w:rPr>
        <w:t>INTRODUCTION</w:t>
      </w:r>
      <w:r w:rsidRPr="0021548C">
        <w:rPr>
          <w:sz w:val="20"/>
          <w:szCs w:val="20"/>
          <w:lang w:val="en-IN"/>
        </w:rPr>
        <w:t>:</w:t>
      </w:r>
    </w:p>
    <w:p w:rsidR="009D0FCD" w:rsidRPr="0021548C" w:rsidRDefault="00EC5111" w:rsidP="0021548C">
      <w:pPr>
        <w:jc w:val="both"/>
        <w:rPr>
          <w:sz w:val="20"/>
          <w:szCs w:val="20"/>
          <w:lang w:val="en-IN"/>
        </w:rPr>
      </w:pPr>
      <w:r w:rsidRPr="0021548C">
        <w:rPr>
          <w:sz w:val="20"/>
          <w:szCs w:val="20"/>
          <w:lang w:val="en-IN"/>
        </w:rPr>
        <w:t xml:space="preserve">Depression is a disorder of major public health importance, in terms of its prevalence and the suffering, dysfunction, morbidity, and economic burden. Depression is more common in women than in </w:t>
      </w:r>
      <w:proofErr w:type="spellStart"/>
      <w:r w:rsidRPr="0021548C">
        <w:rPr>
          <w:sz w:val="20"/>
          <w:szCs w:val="20"/>
          <w:lang w:val="en-IN"/>
        </w:rPr>
        <w:t>men.It</w:t>
      </w:r>
      <w:proofErr w:type="spellEnd"/>
      <w:r w:rsidRPr="0021548C">
        <w:rPr>
          <w:sz w:val="20"/>
          <w:szCs w:val="20"/>
          <w:lang w:val="en-IN"/>
        </w:rPr>
        <w:t xml:space="preserve"> is estimated that by the year 2020 if current trends for demographic and epidemiological transition continue, the burden of depression will increase to 5.7% of the total burden of disease and it would be the second leading cause of disability-adjusted life years (DALYs), second only to ischemic heart disease.</w:t>
      </w:r>
      <w:r w:rsidRPr="0021548C">
        <w:rPr>
          <w:sz w:val="20"/>
          <w:szCs w:val="20"/>
          <w:vertAlign w:val="superscript"/>
          <w:lang w:val="en-IN"/>
        </w:rPr>
        <w:t>1</w:t>
      </w:r>
    </w:p>
    <w:p w:rsidR="00EC5111" w:rsidRPr="0021548C" w:rsidRDefault="00EC5111" w:rsidP="0021548C">
      <w:pPr>
        <w:jc w:val="both"/>
        <w:rPr>
          <w:sz w:val="20"/>
          <w:szCs w:val="20"/>
          <w:lang w:val="en-IN"/>
        </w:rPr>
      </w:pPr>
      <w:r w:rsidRPr="0021548C">
        <w:rPr>
          <w:sz w:val="20"/>
          <w:szCs w:val="20"/>
          <w:lang w:val="en-IN"/>
        </w:rPr>
        <w:t>25% of the total cholesterol in the body is synthesized in the brain. Among various functions of cholesterol is that it helps in the building of myelin sheath as well as in synaptogenesis</w:t>
      </w:r>
      <w:r w:rsidR="003020BE" w:rsidRPr="0021548C">
        <w:rPr>
          <w:sz w:val="20"/>
          <w:szCs w:val="20"/>
          <w:vertAlign w:val="superscript"/>
          <w:lang w:val="en-IN"/>
        </w:rPr>
        <w:t>2</w:t>
      </w:r>
      <w:r w:rsidR="00D77359" w:rsidRPr="0021548C">
        <w:rPr>
          <w:sz w:val="20"/>
          <w:szCs w:val="20"/>
          <w:lang w:val="en-IN"/>
        </w:rPr>
        <w:t>.</w:t>
      </w:r>
      <w:r w:rsidRPr="0021548C">
        <w:rPr>
          <w:sz w:val="20"/>
          <w:szCs w:val="20"/>
          <w:lang w:val="en-IN"/>
        </w:rPr>
        <w:t>The association of cholesterol with depression stems from the epidemiological studies that lipid lowering drugs (statins) leads to higher risk of depression in a proportion of cases.</w:t>
      </w:r>
      <w:r w:rsidR="003020BE" w:rsidRPr="0021548C">
        <w:rPr>
          <w:sz w:val="20"/>
          <w:szCs w:val="20"/>
          <w:vertAlign w:val="superscript"/>
          <w:lang w:val="en-IN"/>
        </w:rPr>
        <w:t>3</w:t>
      </w:r>
    </w:p>
    <w:p w:rsidR="00EC5111" w:rsidRPr="0021548C" w:rsidRDefault="00EC5111" w:rsidP="0021548C">
      <w:pPr>
        <w:jc w:val="both"/>
        <w:rPr>
          <w:sz w:val="20"/>
          <w:szCs w:val="20"/>
          <w:vertAlign w:val="superscript"/>
          <w:lang w:val="en-IN"/>
        </w:rPr>
      </w:pPr>
      <w:r w:rsidRPr="0021548C">
        <w:rPr>
          <w:sz w:val="20"/>
          <w:szCs w:val="20"/>
          <w:lang w:val="en-IN"/>
        </w:rPr>
        <w:t>Cholesterol is an important factor in the receptor sites of the cells binding with the appropriate neurotransmitter, in particular acetylcholine and serotonin.  Research has suggested that cholesterol is the facilitator of the attachment between the neurotransmitter and the cell membrane, as well as their delivery to specific protein receptors.</w:t>
      </w:r>
      <w:r w:rsidR="003020BE" w:rsidRPr="0021548C">
        <w:rPr>
          <w:sz w:val="20"/>
          <w:szCs w:val="20"/>
          <w:vertAlign w:val="superscript"/>
          <w:lang w:val="en-IN"/>
        </w:rPr>
        <w:t>4</w:t>
      </w:r>
      <w:r w:rsidRPr="0021548C">
        <w:rPr>
          <w:sz w:val="20"/>
          <w:szCs w:val="20"/>
          <w:lang w:val="en-IN"/>
        </w:rPr>
        <w:t xml:space="preserve"> Another study hypothesizes that this mechanism actually causes inhibition of neurotransmitter release due to the low levels of cholesterol.</w:t>
      </w:r>
      <w:r w:rsidR="003020BE" w:rsidRPr="0021548C">
        <w:rPr>
          <w:sz w:val="20"/>
          <w:szCs w:val="20"/>
          <w:vertAlign w:val="superscript"/>
          <w:lang w:val="en-IN"/>
        </w:rPr>
        <w:t>5</w:t>
      </w:r>
    </w:p>
    <w:p w:rsidR="00EC5111" w:rsidRPr="00F111CD" w:rsidRDefault="00EC5111" w:rsidP="0021548C">
      <w:pPr>
        <w:jc w:val="both"/>
        <w:rPr>
          <w:sz w:val="20"/>
          <w:szCs w:val="20"/>
          <w:lang w:val="en-IN"/>
        </w:rPr>
      </w:pPr>
      <w:r w:rsidRPr="0021548C">
        <w:rPr>
          <w:sz w:val="20"/>
          <w:szCs w:val="20"/>
          <w:lang w:val="en-IN"/>
        </w:rPr>
        <w:t>The present study aims to measure the serum total cholesterol and HDL-Cholesterol in clinically</w:t>
      </w:r>
      <w:r w:rsidRPr="00F111CD">
        <w:rPr>
          <w:sz w:val="20"/>
          <w:szCs w:val="20"/>
          <w:lang w:val="en-IN"/>
        </w:rPr>
        <w:t xml:space="preserve"> diagnosed patients with depression and study their levels in different age groups and gender.</w:t>
      </w:r>
    </w:p>
    <w:p w:rsidR="00EC5111" w:rsidRPr="00F111CD" w:rsidRDefault="00D77359" w:rsidP="0021548C">
      <w:pPr>
        <w:jc w:val="both"/>
        <w:rPr>
          <w:sz w:val="22"/>
          <w:szCs w:val="22"/>
          <w:lang w:val="en-IN"/>
        </w:rPr>
      </w:pPr>
      <w:r w:rsidRPr="00F111CD">
        <w:rPr>
          <w:b/>
          <w:sz w:val="22"/>
          <w:szCs w:val="22"/>
          <w:lang w:val="en-IN"/>
        </w:rPr>
        <w:t>MATERIALS AND METHODS</w:t>
      </w:r>
      <w:r w:rsidRPr="00F111CD">
        <w:rPr>
          <w:sz w:val="22"/>
          <w:szCs w:val="22"/>
          <w:lang w:val="en-IN"/>
        </w:rPr>
        <w:t>:</w:t>
      </w:r>
    </w:p>
    <w:p w:rsidR="00D77359" w:rsidRPr="00F111CD" w:rsidRDefault="00C95347" w:rsidP="0021548C">
      <w:pPr>
        <w:jc w:val="both"/>
        <w:rPr>
          <w:sz w:val="20"/>
          <w:szCs w:val="20"/>
          <w:lang w:val="en-IN"/>
        </w:rPr>
      </w:pPr>
      <w:r w:rsidRPr="00F111CD">
        <w:rPr>
          <w:sz w:val="20"/>
          <w:szCs w:val="20"/>
          <w:lang w:val="en-IN"/>
        </w:rPr>
        <w:t>The present study comprised of 50 cases of depression and 50 age and sex matched healthy controls</w:t>
      </w:r>
      <w:r w:rsidR="00D77359" w:rsidRPr="00F111CD">
        <w:rPr>
          <w:sz w:val="20"/>
          <w:szCs w:val="20"/>
          <w:lang w:val="en-IN"/>
        </w:rPr>
        <w:t xml:space="preserve"> visiting the Department of Psychiatry, Assam Medical College, </w:t>
      </w:r>
      <w:proofErr w:type="gramStart"/>
      <w:r w:rsidR="00D77359" w:rsidRPr="00F111CD">
        <w:rPr>
          <w:sz w:val="20"/>
          <w:szCs w:val="20"/>
          <w:lang w:val="en-IN"/>
        </w:rPr>
        <w:t>Dibrugarh</w:t>
      </w:r>
      <w:proofErr w:type="gramEnd"/>
      <w:r w:rsidR="00D77359" w:rsidRPr="00F111CD">
        <w:rPr>
          <w:sz w:val="20"/>
          <w:szCs w:val="20"/>
          <w:lang w:val="en-IN"/>
        </w:rPr>
        <w:t>, Assam.</w:t>
      </w:r>
    </w:p>
    <w:p w:rsidR="00EC5111" w:rsidRPr="00F111CD" w:rsidRDefault="00EC5111" w:rsidP="0021548C">
      <w:pPr>
        <w:jc w:val="both"/>
        <w:rPr>
          <w:sz w:val="20"/>
          <w:szCs w:val="20"/>
          <w:lang w:val="en-IN"/>
        </w:rPr>
      </w:pPr>
      <w:r w:rsidRPr="00F111CD">
        <w:rPr>
          <w:i/>
          <w:sz w:val="20"/>
          <w:szCs w:val="20"/>
          <w:lang w:val="en-IN"/>
        </w:rPr>
        <w:t xml:space="preserve">INCLUSION </w:t>
      </w:r>
      <w:proofErr w:type="spellStart"/>
      <w:r w:rsidRPr="00F111CD">
        <w:rPr>
          <w:i/>
          <w:sz w:val="20"/>
          <w:szCs w:val="20"/>
          <w:lang w:val="en-IN"/>
        </w:rPr>
        <w:t>CRITERIA</w:t>
      </w:r>
      <w:proofErr w:type="gramStart"/>
      <w:r w:rsidRPr="00F111CD">
        <w:rPr>
          <w:sz w:val="20"/>
          <w:szCs w:val="20"/>
          <w:lang w:val="en-IN"/>
        </w:rPr>
        <w:t>:Patients</w:t>
      </w:r>
      <w:proofErr w:type="spellEnd"/>
      <w:proofErr w:type="gramEnd"/>
      <w:r w:rsidRPr="00F111CD">
        <w:rPr>
          <w:sz w:val="20"/>
          <w:szCs w:val="20"/>
          <w:lang w:val="en-IN"/>
        </w:rPr>
        <w:t xml:space="preserve"> of age group 16 to 50 years</w:t>
      </w:r>
      <w:r w:rsidR="00D77359" w:rsidRPr="00F111CD">
        <w:rPr>
          <w:sz w:val="20"/>
          <w:szCs w:val="20"/>
          <w:lang w:val="en-IN"/>
        </w:rPr>
        <w:t xml:space="preserve">, newly diagnosed cases of </w:t>
      </w:r>
      <w:r w:rsidRPr="00F111CD">
        <w:rPr>
          <w:sz w:val="20"/>
          <w:szCs w:val="20"/>
          <w:lang w:val="en-IN"/>
        </w:rPr>
        <w:t>depression as diagnosed by DSM IV</w:t>
      </w:r>
      <w:r w:rsidR="00D77359" w:rsidRPr="00F111CD">
        <w:rPr>
          <w:sz w:val="20"/>
          <w:szCs w:val="20"/>
          <w:lang w:val="en-IN"/>
        </w:rPr>
        <w:t xml:space="preserve"> and p</w:t>
      </w:r>
      <w:r w:rsidRPr="00F111CD">
        <w:rPr>
          <w:sz w:val="20"/>
          <w:szCs w:val="20"/>
          <w:lang w:val="en-IN"/>
        </w:rPr>
        <w:t xml:space="preserve">reviously diagnosed cases of depression in which patient is drug free for </w:t>
      </w:r>
      <w:proofErr w:type="spellStart"/>
      <w:r w:rsidRPr="00F111CD">
        <w:rPr>
          <w:sz w:val="20"/>
          <w:szCs w:val="20"/>
          <w:lang w:val="en-IN"/>
        </w:rPr>
        <w:t>atleast</w:t>
      </w:r>
      <w:proofErr w:type="spellEnd"/>
      <w:r w:rsidRPr="00F111CD">
        <w:rPr>
          <w:sz w:val="20"/>
          <w:szCs w:val="20"/>
          <w:lang w:val="en-IN"/>
        </w:rPr>
        <w:t xml:space="preserve"> one month.</w:t>
      </w:r>
    </w:p>
    <w:p w:rsidR="00EC5111" w:rsidRPr="00F111CD" w:rsidRDefault="00EC5111" w:rsidP="0021548C">
      <w:pPr>
        <w:jc w:val="both"/>
        <w:rPr>
          <w:sz w:val="20"/>
          <w:szCs w:val="20"/>
          <w:lang w:val="en-IN"/>
        </w:rPr>
      </w:pPr>
      <w:r w:rsidRPr="00F111CD">
        <w:rPr>
          <w:i/>
          <w:sz w:val="20"/>
          <w:szCs w:val="20"/>
          <w:lang w:val="en-IN"/>
        </w:rPr>
        <w:t xml:space="preserve">EXCLUSION </w:t>
      </w:r>
      <w:proofErr w:type="spellStart"/>
      <w:r w:rsidRPr="00F111CD">
        <w:rPr>
          <w:i/>
          <w:sz w:val="20"/>
          <w:szCs w:val="20"/>
          <w:lang w:val="en-IN"/>
        </w:rPr>
        <w:t>CRITERIA</w:t>
      </w:r>
      <w:r w:rsidRPr="00F111CD">
        <w:rPr>
          <w:sz w:val="20"/>
          <w:szCs w:val="20"/>
          <w:lang w:val="en-IN"/>
        </w:rPr>
        <w:t>:Patients</w:t>
      </w:r>
      <w:proofErr w:type="spellEnd"/>
      <w:r w:rsidRPr="00F111CD">
        <w:rPr>
          <w:sz w:val="20"/>
          <w:szCs w:val="20"/>
          <w:lang w:val="en-IN"/>
        </w:rPr>
        <w:t xml:space="preserve"> with other associated psychiatric disorders and </w:t>
      </w:r>
      <w:proofErr w:type="spellStart"/>
      <w:r w:rsidRPr="00F111CD">
        <w:rPr>
          <w:sz w:val="20"/>
          <w:szCs w:val="20"/>
          <w:lang w:val="en-IN"/>
        </w:rPr>
        <w:t>dementia</w:t>
      </w:r>
      <w:r w:rsidR="00D77359" w:rsidRPr="00F111CD">
        <w:rPr>
          <w:sz w:val="20"/>
          <w:szCs w:val="20"/>
          <w:lang w:val="en-IN"/>
        </w:rPr>
        <w:t>,</w:t>
      </w:r>
      <w:r w:rsidRPr="00F111CD">
        <w:rPr>
          <w:sz w:val="20"/>
          <w:szCs w:val="20"/>
          <w:lang w:val="en-IN"/>
        </w:rPr>
        <w:t>Substanceabuse</w:t>
      </w:r>
      <w:r w:rsidR="00D77359" w:rsidRPr="00F111CD">
        <w:rPr>
          <w:sz w:val="20"/>
          <w:szCs w:val="20"/>
          <w:lang w:val="en-IN"/>
        </w:rPr>
        <w:t>,</w:t>
      </w:r>
      <w:r w:rsidRPr="00F111CD">
        <w:rPr>
          <w:sz w:val="20"/>
          <w:szCs w:val="20"/>
          <w:lang w:val="en-IN"/>
        </w:rPr>
        <w:t>systemic</w:t>
      </w:r>
      <w:proofErr w:type="spellEnd"/>
      <w:r w:rsidRPr="00F111CD">
        <w:rPr>
          <w:sz w:val="20"/>
          <w:szCs w:val="20"/>
          <w:lang w:val="en-IN"/>
        </w:rPr>
        <w:t xml:space="preserve"> illness like diabetes, hypertension, hypothyroidism, renal disease, liver disease, obesity and </w:t>
      </w:r>
      <w:proofErr w:type="spellStart"/>
      <w:r w:rsidRPr="00F111CD">
        <w:rPr>
          <w:sz w:val="20"/>
          <w:szCs w:val="20"/>
          <w:lang w:val="en-IN"/>
        </w:rPr>
        <w:t>cancer</w:t>
      </w:r>
      <w:r w:rsidR="00D77359" w:rsidRPr="00F111CD">
        <w:rPr>
          <w:sz w:val="20"/>
          <w:szCs w:val="20"/>
          <w:lang w:val="en-IN"/>
        </w:rPr>
        <w:t>,pregnant</w:t>
      </w:r>
      <w:proofErr w:type="spellEnd"/>
      <w:r w:rsidR="00D77359" w:rsidRPr="00F111CD">
        <w:rPr>
          <w:sz w:val="20"/>
          <w:szCs w:val="20"/>
          <w:lang w:val="en-IN"/>
        </w:rPr>
        <w:t xml:space="preserve"> </w:t>
      </w:r>
      <w:proofErr w:type="spellStart"/>
      <w:r w:rsidR="00D77359" w:rsidRPr="00F111CD">
        <w:rPr>
          <w:sz w:val="20"/>
          <w:szCs w:val="20"/>
          <w:lang w:val="en-IN"/>
        </w:rPr>
        <w:t>ladiesand</w:t>
      </w:r>
      <w:proofErr w:type="spellEnd"/>
      <w:r w:rsidR="00D77359" w:rsidRPr="00F111CD">
        <w:rPr>
          <w:sz w:val="20"/>
          <w:szCs w:val="20"/>
          <w:lang w:val="en-IN"/>
        </w:rPr>
        <w:t xml:space="preserve"> lactating </w:t>
      </w:r>
      <w:proofErr w:type="spellStart"/>
      <w:r w:rsidR="00D77359" w:rsidRPr="00F111CD">
        <w:rPr>
          <w:sz w:val="20"/>
          <w:szCs w:val="20"/>
          <w:lang w:val="en-IN"/>
        </w:rPr>
        <w:t>mothers,p</w:t>
      </w:r>
      <w:r w:rsidRPr="00F111CD">
        <w:rPr>
          <w:sz w:val="20"/>
          <w:szCs w:val="20"/>
          <w:lang w:val="en-IN"/>
        </w:rPr>
        <w:t>atients</w:t>
      </w:r>
      <w:proofErr w:type="spellEnd"/>
      <w:r w:rsidRPr="00F111CD">
        <w:rPr>
          <w:sz w:val="20"/>
          <w:szCs w:val="20"/>
          <w:lang w:val="en-IN"/>
        </w:rPr>
        <w:t xml:space="preserve"> on multivitamins and oral contraceptive pills (OCP)</w:t>
      </w:r>
      <w:r w:rsidR="00D77359" w:rsidRPr="00F111CD">
        <w:rPr>
          <w:sz w:val="20"/>
          <w:szCs w:val="20"/>
          <w:lang w:val="en-IN"/>
        </w:rPr>
        <w:t xml:space="preserve"> and p</w:t>
      </w:r>
      <w:r w:rsidRPr="00F111CD">
        <w:rPr>
          <w:sz w:val="20"/>
          <w:szCs w:val="20"/>
          <w:lang w:val="en-IN"/>
        </w:rPr>
        <w:t>atients with mental retardation and hearing impairment</w:t>
      </w:r>
    </w:p>
    <w:p w:rsidR="00EC5111" w:rsidRPr="00F111CD" w:rsidRDefault="00AA3174" w:rsidP="0021548C">
      <w:pPr>
        <w:jc w:val="both"/>
        <w:rPr>
          <w:sz w:val="20"/>
          <w:szCs w:val="20"/>
          <w:lang w:val="en-IN"/>
        </w:rPr>
      </w:pPr>
      <w:r w:rsidRPr="00F111CD">
        <w:rPr>
          <w:sz w:val="20"/>
          <w:szCs w:val="20"/>
          <w:lang w:val="en-IN"/>
        </w:rPr>
        <w:t>The Grading of the cases included in the present study into mild/moderate/severe was done using the 17 item Hamilton Depression Rating Scale.</w:t>
      </w:r>
    </w:p>
    <w:p w:rsidR="00EC5111" w:rsidRPr="00F111CD" w:rsidRDefault="00EC5111" w:rsidP="0021548C">
      <w:pPr>
        <w:jc w:val="both"/>
        <w:rPr>
          <w:sz w:val="20"/>
          <w:szCs w:val="20"/>
          <w:lang w:val="en-IN"/>
        </w:rPr>
      </w:pPr>
      <w:r w:rsidRPr="00F111CD">
        <w:rPr>
          <w:i/>
          <w:sz w:val="20"/>
          <w:szCs w:val="20"/>
          <w:lang w:val="en-IN"/>
        </w:rPr>
        <w:lastRenderedPageBreak/>
        <w:t>SERUM CHOLESTEROL ESTIMATION: (CHOD/PAP METHOD</w:t>
      </w:r>
      <w:proofErr w:type="gramStart"/>
      <w:r w:rsidRPr="00F111CD">
        <w:rPr>
          <w:i/>
          <w:sz w:val="20"/>
          <w:szCs w:val="20"/>
          <w:lang w:val="en-IN"/>
        </w:rPr>
        <w:t>)</w:t>
      </w:r>
      <w:r w:rsidR="00426756" w:rsidRPr="00F111CD">
        <w:rPr>
          <w:sz w:val="20"/>
          <w:szCs w:val="20"/>
          <w:vertAlign w:val="superscript"/>
          <w:lang w:val="en-IN"/>
        </w:rPr>
        <w:t>6,7,8</w:t>
      </w:r>
      <w:proofErr w:type="gramEnd"/>
    </w:p>
    <w:p w:rsidR="00EC5111" w:rsidRPr="00F111CD" w:rsidRDefault="00EC5111" w:rsidP="0021548C">
      <w:pPr>
        <w:jc w:val="both"/>
        <w:rPr>
          <w:sz w:val="20"/>
          <w:szCs w:val="20"/>
          <w:lang w:val="en-IN"/>
        </w:rPr>
      </w:pPr>
      <w:r w:rsidRPr="00F111CD">
        <w:rPr>
          <w:sz w:val="20"/>
          <w:szCs w:val="20"/>
          <w:lang w:val="en-IN"/>
        </w:rPr>
        <w:t xml:space="preserve">Principle: Cholesterol esterase (CHE) hydrolyses cholesterol ester to free cholesterol. Free cholesterol is oxidized to hydrogen peroxide. Hydrogen peroxide formed reacts with 4-amino </w:t>
      </w:r>
      <w:proofErr w:type="spellStart"/>
      <w:r w:rsidRPr="00F111CD">
        <w:rPr>
          <w:sz w:val="20"/>
          <w:szCs w:val="20"/>
          <w:lang w:val="en-IN"/>
        </w:rPr>
        <w:t>antipyrine</w:t>
      </w:r>
      <w:proofErr w:type="spellEnd"/>
      <w:r w:rsidRPr="00F111CD">
        <w:rPr>
          <w:sz w:val="20"/>
          <w:szCs w:val="20"/>
          <w:lang w:val="en-IN"/>
        </w:rPr>
        <w:t xml:space="preserve"> and phenol in the presence of peroxidase (POD) to produce red coloured </w:t>
      </w:r>
      <w:proofErr w:type="spellStart"/>
      <w:r w:rsidRPr="00F111CD">
        <w:rPr>
          <w:sz w:val="20"/>
          <w:szCs w:val="20"/>
          <w:lang w:val="en-IN"/>
        </w:rPr>
        <w:t>quinoneimine</w:t>
      </w:r>
      <w:proofErr w:type="spellEnd"/>
      <w:r w:rsidRPr="00F111CD">
        <w:rPr>
          <w:sz w:val="20"/>
          <w:szCs w:val="20"/>
          <w:lang w:val="en-IN"/>
        </w:rPr>
        <w:t xml:space="preserve"> dye complex. Intensity of the colour formed is directly proportional to the amount of cholesterol present in the sample.    </w:t>
      </w:r>
    </w:p>
    <w:p w:rsidR="00EC5111" w:rsidRPr="00F111CD" w:rsidRDefault="00EC5111" w:rsidP="0021548C">
      <w:pPr>
        <w:ind w:left="2160" w:firstLine="720"/>
        <w:jc w:val="both"/>
        <w:rPr>
          <w:sz w:val="20"/>
          <w:szCs w:val="20"/>
          <w:lang w:val="en-IN"/>
        </w:rPr>
      </w:pPr>
      <w:proofErr w:type="spellStart"/>
      <w:proofErr w:type="gramStart"/>
      <w:r w:rsidRPr="00F111CD">
        <w:rPr>
          <w:sz w:val="20"/>
          <w:szCs w:val="20"/>
          <w:lang w:val="en-IN"/>
        </w:rPr>
        <w:t>chol</w:t>
      </w:r>
      <w:proofErr w:type="spellEnd"/>
      <w:proofErr w:type="gramEnd"/>
      <w:r w:rsidRPr="00F111CD">
        <w:rPr>
          <w:sz w:val="20"/>
          <w:szCs w:val="20"/>
          <w:lang w:val="en-IN"/>
        </w:rPr>
        <w:t xml:space="preserve">. </w:t>
      </w:r>
      <w:proofErr w:type="gramStart"/>
      <w:r w:rsidRPr="00F111CD">
        <w:rPr>
          <w:sz w:val="20"/>
          <w:szCs w:val="20"/>
          <w:lang w:val="en-IN"/>
        </w:rPr>
        <w:t>esterase</w:t>
      </w:r>
      <w:proofErr w:type="gramEnd"/>
    </w:p>
    <w:p w:rsidR="00EC5111" w:rsidRPr="00F111CD" w:rsidRDefault="004510CC" w:rsidP="0021548C">
      <w:pPr>
        <w:jc w:val="both"/>
        <w:rPr>
          <w:sz w:val="20"/>
          <w:szCs w:val="20"/>
          <w:lang w:val="en-IN"/>
        </w:rPr>
      </w:pPr>
      <w:r w:rsidRPr="004510CC">
        <w:rPr>
          <w:sz w:val="20"/>
          <w:szCs w:val="20"/>
          <w:lang w:val="en-IN"/>
        </w:rPr>
        <w:pict>
          <v:shapetype id="_x0000_t32" coordsize="21600,21600" o:spt="32" o:oned="t" path="m,l21600,21600e" filled="f">
            <v:path arrowok="t" fillok="f" o:connecttype="none"/>
            <o:lock v:ext="edit" shapetype="t"/>
          </v:shapetype>
          <v:shape id="_x0000_s1029" type="#_x0000_t32" style="position:absolute;left:0;text-align:left;margin-left:120.3pt;margin-top:6.8pt;width:91pt;height:.05pt;z-index:251660288" o:connectortype="straight">
            <v:stroke endarrow="block"/>
          </v:shape>
        </w:pict>
      </w:r>
      <w:r w:rsidR="00EC5111" w:rsidRPr="00F111CD">
        <w:rPr>
          <w:sz w:val="20"/>
          <w:szCs w:val="20"/>
          <w:lang w:val="en-IN"/>
        </w:rPr>
        <w:t>Cholesterol esters + H</w:t>
      </w:r>
      <w:r w:rsidR="00EC5111" w:rsidRPr="00F111CD">
        <w:rPr>
          <w:sz w:val="20"/>
          <w:szCs w:val="20"/>
          <w:vertAlign w:val="subscript"/>
          <w:lang w:val="en-IN"/>
        </w:rPr>
        <w:t>2</w:t>
      </w:r>
      <w:r w:rsidR="00EC5111" w:rsidRPr="00F111CD">
        <w:rPr>
          <w:sz w:val="20"/>
          <w:szCs w:val="20"/>
          <w:lang w:val="en-IN"/>
        </w:rPr>
        <w:t xml:space="preserve">O                          </w:t>
      </w:r>
      <w:r w:rsidR="00EC5111" w:rsidRPr="00F111CD">
        <w:rPr>
          <w:sz w:val="20"/>
          <w:szCs w:val="20"/>
          <w:lang w:val="en-IN"/>
        </w:rPr>
        <w:tab/>
      </w:r>
      <w:r w:rsidR="00F111CD">
        <w:rPr>
          <w:sz w:val="20"/>
          <w:szCs w:val="20"/>
          <w:lang w:val="en-IN"/>
        </w:rPr>
        <w:tab/>
      </w:r>
      <w:r w:rsidR="00EC5111" w:rsidRPr="00F111CD">
        <w:rPr>
          <w:sz w:val="20"/>
          <w:szCs w:val="20"/>
          <w:lang w:val="en-IN"/>
        </w:rPr>
        <w:t>Cholesterol + Fatty acids</w:t>
      </w:r>
    </w:p>
    <w:p w:rsidR="00EC5111" w:rsidRPr="00F111CD" w:rsidRDefault="00EC5111" w:rsidP="0021548C">
      <w:pPr>
        <w:jc w:val="both"/>
        <w:rPr>
          <w:sz w:val="20"/>
          <w:szCs w:val="20"/>
          <w:lang w:val="en-IN"/>
        </w:rPr>
      </w:pPr>
      <w:r w:rsidRPr="00F111CD">
        <w:rPr>
          <w:sz w:val="20"/>
          <w:szCs w:val="20"/>
          <w:lang w:val="en-IN"/>
        </w:rPr>
        <w:tab/>
      </w:r>
      <w:r w:rsidRPr="00F111CD">
        <w:rPr>
          <w:sz w:val="20"/>
          <w:szCs w:val="20"/>
          <w:lang w:val="en-IN"/>
        </w:rPr>
        <w:tab/>
      </w:r>
      <w:r w:rsidRPr="00F111CD">
        <w:rPr>
          <w:sz w:val="20"/>
          <w:szCs w:val="20"/>
          <w:lang w:val="en-IN"/>
        </w:rPr>
        <w:tab/>
      </w:r>
      <w:r w:rsidRPr="00F111CD">
        <w:rPr>
          <w:sz w:val="20"/>
          <w:szCs w:val="20"/>
          <w:lang w:val="en-IN"/>
        </w:rPr>
        <w:tab/>
      </w:r>
      <w:proofErr w:type="spellStart"/>
      <w:proofErr w:type="gramStart"/>
      <w:r w:rsidRPr="00F111CD">
        <w:rPr>
          <w:sz w:val="20"/>
          <w:szCs w:val="20"/>
          <w:lang w:val="en-IN"/>
        </w:rPr>
        <w:t>chol</w:t>
      </w:r>
      <w:proofErr w:type="spellEnd"/>
      <w:proofErr w:type="gramEnd"/>
      <w:r w:rsidRPr="00F111CD">
        <w:rPr>
          <w:sz w:val="20"/>
          <w:szCs w:val="20"/>
          <w:lang w:val="en-IN"/>
        </w:rPr>
        <w:t xml:space="preserve">. </w:t>
      </w:r>
      <w:proofErr w:type="gramStart"/>
      <w:r w:rsidRPr="00F111CD">
        <w:rPr>
          <w:sz w:val="20"/>
          <w:szCs w:val="20"/>
          <w:lang w:val="en-IN"/>
        </w:rPr>
        <w:t>oxidase</w:t>
      </w:r>
      <w:proofErr w:type="gramEnd"/>
    </w:p>
    <w:p w:rsidR="00EC5111" w:rsidRPr="00F111CD" w:rsidRDefault="004510CC" w:rsidP="0021548C">
      <w:pPr>
        <w:jc w:val="both"/>
        <w:rPr>
          <w:sz w:val="20"/>
          <w:szCs w:val="20"/>
          <w:vertAlign w:val="subscript"/>
          <w:lang w:val="en-IN"/>
        </w:rPr>
      </w:pPr>
      <w:r w:rsidRPr="004510CC">
        <w:rPr>
          <w:sz w:val="20"/>
          <w:szCs w:val="20"/>
          <w:lang w:val="en-IN"/>
        </w:rPr>
        <w:pict>
          <v:shape id="_x0000_s1030" type="#_x0000_t32" style="position:absolute;left:0;text-align:left;margin-left:95.65pt;margin-top:7.3pt;width:152.4pt;height:.05pt;z-index:251661312" o:connectortype="straight">
            <v:stroke endarrow="block"/>
          </v:shape>
        </w:pict>
      </w:r>
      <w:r w:rsidR="00EC5111" w:rsidRPr="00F111CD">
        <w:rPr>
          <w:sz w:val="20"/>
          <w:szCs w:val="20"/>
          <w:lang w:val="en-IN"/>
        </w:rPr>
        <w:t>Cholesterol + O</w:t>
      </w:r>
      <w:r w:rsidR="00EC5111" w:rsidRPr="00F111CD">
        <w:rPr>
          <w:sz w:val="20"/>
          <w:szCs w:val="20"/>
          <w:vertAlign w:val="subscript"/>
          <w:lang w:val="en-IN"/>
        </w:rPr>
        <w:t>2</w:t>
      </w:r>
      <w:r w:rsidR="00EC5111" w:rsidRPr="00F111CD">
        <w:rPr>
          <w:sz w:val="20"/>
          <w:szCs w:val="20"/>
          <w:lang w:val="en-IN"/>
        </w:rPr>
        <w:tab/>
      </w:r>
      <w:r w:rsidR="00EC5111" w:rsidRPr="00F111CD">
        <w:rPr>
          <w:sz w:val="20"/>
          <w:szCs w:val="20"/>
          <w:lang w:val="en-IN"/>
        </w:rPr>
        <w:tab/>
      </w:r>
      <w:r w:rsidR="00EC5111" w:rsidRPr="00F111CD">
        <w:rPr>
          <w:sz w:val="20"/>
          <w:szCs w:val="20"/>
          <w:lang w:val="en-IN"/>
        </w:rPr>
        <w:tab/>
      </w:r>
      <w:r w:rsidR="00EC5111" w:rsidRPr="00F111CD">
        <w:rPr>
          <w:sz w:val="20"/>
          <w:szCs w:val="20"/>
          <w:lang w:val="en-IN"/>
        </w:rPr>
        <w:tab/>
      </w:r>
      <w:r w:rsidR="00EC5111" w:rsidRPr="00F111CD">
        <w:rPr>
          <w:sz w:val="20"/>
          <w:szCs w:val="20"/>
          <w:lang w:val="en-IN"/>
        </w:rPr>
        <w:tab/>
      </w:r>
      <w:r w:rsidR="00F111CD">
        <w:rPr>
          <w:sz w:val="20"/>
          <w:szCs w:val="20"/>
          <w:lang w:val="en-IN"/>
        </w:rPr>
        <w:tab/>
      </w:r>
      <w:proofErr w:type="spellStart"/>
      <w:r w:rsidR="00EC5111" w:rsidRPr="00F111CD">
        <w:rPr>
          <w:sz w:val="20"/>
          <w:szCs w:val="20"/>
          <w:lang w:val="en-IN"/>
        </w:rPr>
        <w:t>Cholestenone</w:t>
      </w:r>
      <w:proofErr w:type="spellEnd"/>
      <w:r w:rsidR="00EC5111" w:rsidRPr="00F111CD">
        <w:rPr>
          <w:sz w:val="20"/>
          <w:szCs w:val="20"/>
          <w:lang w:val="en-IN"/>
        </w:rPr>
        <w:t xml:space="preserve"> + H</w:t>
      </w:r>
      <w:r w:rsidR="00EC5111" w:rsidRPr="00F111CD">
        <w:rPr>
          <w:sz w:val="20"/>
          <w:szCs w:val="20"/>
          <w:vertAlign w:val="subscript"/>
          <w:lang w:val="en-IN"/>
        </w:rPr>
        <w:t>2</w:t>
      </w:r>
      <w:r w:rsidR="00EC5111" w:rsidRPr="00F111CD">
        <w:rPr>
          <w:sz w:val="20"/>
          <w:szCs w:val="20"/>
          <w:lang w:val="en-IN"/>
        </w:rPr>
        <w:t>O</w:t>
      </w:r>
      <w:r w:rsidR="00EC5111" w:rsidRPr="00F111CD">
        <w:rPr>
          <w:sz w:val="20"/>
          <w:szCs w:val="20"/>
          <w:vertAlign w:val="subscript"/>
          <w:lang w:val="en-IN"/>
        </w:rPr>
        <w:t>2</w:t>
      </w:r>
    </w:p>
    <w:p w:rsidR="00EC5111" w:rsidRPr="00F111CD" w:rsidRDefault="00EC5111" w:rsidP="0021548C">
      <w:pPr>
        <w:ind w:left="2880" w:firstLine="720"/>
        <w:jc w:val="both"/>
        <w:rPr>
          <w:sz w:val="20"/>
          <w:szCs w:val="20"/>
          <w:lang w:val="en-IN"/>
        </w:rPr>
      </w:pPr>
      <w:proofErr w:type="gramStart"/>
      <w:r w:rsidRPr="00F111CD">
        <w:rPr>
          <w:sz w:val="20"/>
          <w:szCs w:val="20"/>
          <w:lang w:val="en-IN"/>
        </w:rPr>
        <w:t>peroxidase</w:t>
      </w:r>
      <w:proofErr w:type="gramEnd"/>
    </w:p>
    <w:p w:rsidR="00EC5111" w:rsidRPr="00F111CD" w:rsidRDefault="004510CC" w:rsidP="0021548C">
      <w:pPr>
        <w:jc w:val="both"/>
        <w:rPr>
          <w:sz w:val="20"/>
          <w:szCs w:val="20"/>
          <w:lang w:val="en-IN"/>
        </w:rPr>
      </w:pPr>
      <w:r w:rsidRPr="004510CC">
        <w:rPr>
          <w:sz w:val="20"/>
          <w:szCs w:val="20"/>
          <w:lang w:val="en-IN"/>
        </w:rPr>
        <w:pict>
          <v:shape id="_x0000_s1031" type="#_x0000_t32" style="position:absolute;left:0;text-align:left;margin-left:182.55pt;margin-top:7.9pt;width:1in;height:0;flip:y;z-index:251662336" o:connectortype="straight">
            <v:stroke endarrow="block"/>
          </v:shape>
        </w:pict>
      </w:r>
      <w:r w:rsidR="00EC5111" w:rsidRPr="00F111CD">
        <w:rPr>
          <w:sz w:val="20"/>
          <w:szCs w:val="20"/>
          <w:lang w:val="en-IN"/>
        </w:rPr>
        <w:t>H</w:t>
      </w:r>
      <w:r w:rsidR="00EC5111" w:rsidRPr="00F111CD">
        <w:rPr>
          <w:sz w:val="20"/>
          <w:szCs w:val="20"/>
          <w:vertAlign w:val="subscript"/>
          <w:lang w:val="en-IN"/>
        </w:rPr>
        <w:t>2</w:t>
      </w:r>
      <w:r w:rsidR="00EC5111" w:rsidRPr="00F111CD">
        <w:rPr>
          <w:sz w:val="20"/>
          <w:szCs w:val="20"/>
          <w:lang w:val="en-IN"/>
        </w:rPr>
        <w:t>O</w:t>
      </w:r>
      <w:r w:rsidR="00EC5111" w:rsidRPr="00F111CD">
        <w:rPr>
          <w:sz w:val="20"/>
          <w:szCs w:val="20"/>
          <w:vertAlign w:val="subscript"/>
          <w:lang w:val="en-IN"/>
        </w:rPr>
        <w:t>2</w:t>
      </w:r>
      <w:r w:rsidR="00EC5111" w:rsidRPr="00F111CD">
        <w:rPr>
          <w:sz w:val="20"/>
          <w:szCs w:val="20"/>
          <w:lang w:val="en-IN"/>
        </w:rPr>
        <w:t xml:space="preserve"> + 4Aminoantipyrine+Phenol</w:t>
      </w:r>
      <w:r w:rsidR="00EC5111" w:rsidRPr="00F111CD">
        <w:rPr>
          <w:sz w:val="20"/>
          <w:szCs w:val="20"/>
          <w:lang w:val="en-IN"/>
        </w:rPr>
        <w:tab/>
      </w:r>
      <w:r w:rsidR="00EC5111" w:rsidRPr="00F111CD">
        <w:rPr>
          <w:sz w:val="20"/>
          <w:szCs w:val="20"/>
          <w:lang w:val="en-IN"/>
        </w:rPr>
        <w:tab/>
      </w:r>
      <w:r w:rsidR="00EC5111" w:rsidRPr="00F111CD">
        <w:rPr>
          <w:sz w:val="20"/>
          <w:szCs w:val="20"/>
          <w:lang w:val="en-IN"/>
        </w:rPr>
        <w:tab/>
      </w:r>
      <w:r w:rsidR="000130E0">
        <w:rPr>
          <w:sz w:val="20"/>
          <w:szCs w:val="20"/>
          <w:lang w:val="en-IN"/>
        </w:rPr>
        <w:tab/>
      </w:r>
      <w:r w:rsidR="000130E0">
        <w:rPr>
          <w:sz w:val="20"/>
          <w:szCs w:val="20"/>
          <w:lang w:val="en-IN"/>
        </w:rPr>
        <w:tab/>
      </w:r>
      <w:r w:rsidR="00EC5111" w:rsidRPr="00F111CD">
        <w:rPr>
          <w:sz w:val="20"/>
          <w:szCs w:val="20"/>
          <w:lang w:val="en-IN"/>
        </w:rPr>
        <w:t xml:space="preserve">Red </w:t>
      </w:r>
      <w:proofErr w:type="spellStart"/>
      <w:r w:rsidR="00EC5111" w:rsidRPr="00F111CD">
        <w:rPr>
          <w:sz w:val="20"/>
          <w:szCs w:val="20"/>
          <w:lang w:val="en-IN"/>
        </w:rPr>
        <w:t>quinoneimine</w:t>
      </w:r>
      <w:proofErr w:type="spellEnd"/>
      <w:r w:rsidR="00EC5111" w:rsidRPr="00F111CD">
        <w:rPr>
          <w:sz w:val="20"/>
          <w:szCs w:val="20"/>
          <w:lang w:val="en-IN"/>
        </w:rPr>
        <w:t xml:space="preserve"> dye+H</w:t>
      </w:r>
      <w:r w:rsidR="00EC5111" w:rsidRPr="00F111CD">
        <w:rPr>
          <w:sz w:val="20"/>
          <w:szCs w:val="20"/>
          <w:vertAlign w:val="subscript"/>
          <w:lang w:val="en-IN"/>
        </w:rPr>
        <w:t>2</w:t>
      </w:r>
      <w:r w:rsidR="00EC5111" w:rsidRPr="00F111CD">
        <w:rPr>
          <w:sz w:val="20"/>
          <w:szCs w:val="20"/>
          <w:lang w:val="en-IN"/>
        </w:rPr>
        <w:t>O</w:t>
      </w:r>
    </w:p>
    <w:p w:rsidR="00EC5111" w:rsidRPr="00F111CD" w:rsidRDefault="00EC5111" w:rsidP="0021548C">
      <w:pPr>
        <w:jc w:val="both"/>
        <w:rPr>
          <w:sz w:val="20"/>
          <w:szCs w:val="20"/>
          <w:lang w:val="en-IN"/>
        </w:rPr>
      </w:pPr>
    </w:p>
    <w:p w:rsidR="00EC5111" w:rsidRPr="00F111CD" w:rsidRDefault="00EC5111" w:rsidP="0021548C">
      <w:pPr>
        <w:jc w:val="both"/>
        <w:rPr>
          <w:sz w:val="20"/>
          <w:szCs w:val="20"/>
          <w:lang w:val="en-IN"/>
        </w:rPr>
      </w:pPr>
      <w:r w:rsidRPr="00F111CD">
        <w:rPr>
          <w:sz w:val="20"/>
          <w:szCs w:val="20"/>
          <w:lang w:val="en-IN"/>
        </w:rPr>
        <w:t>HDL CHOLESTEROL ESTIMATION (PEG/ CHOD-PAP METHOD</w:t>
      </w:r>
      <w:proofErr w:type="gramStart"/>
      <w:r w:rsidRPr="00F111CD">
        <w:rPr>
          <w:sz w:val="20"/>
          <w:szCs w:val="20"/>
          <w:lang w:val="en-IN"/>
        </w:rPr>
        <w:t>)</w:t>
      </w:r>
      <w:r w:rsidR="00426756" w:rsidRPr="00F111CD">
        <w:rPr>
          <w:sz w:val="20"/>
          <w:szCs w:val="20"/>
          <w:vertAlign w:val="superscript"/>
          <w:lang w:val="en-IN"/>
        </w:rPr>
        <w:t>6,7,8,9,10</w:t>
      </w:r>
      <w:proofErr w:type="gramEnd"/>
    </w:p>
    <w:p w:rsidR="00426756" w:rsidRPr="00F111CD" w:rsidRDefault="00EC5111" w:rsidP="0021548C">
      <w:pPr>
        <w:jc w:val="both"/>
        <w:rPr>
          <w:sz w:val="20"/>
          <w:szCs w:val="20"/>
          <w:lang w:val="en-IN"/>
        </w:rPr>
      </w:pPr>
      <w:r w:rsidRPr="00F111CD">
        <w:rPr>
          <w:sz w:val="20"/>
          <w:szCs w:val="20"/>
          <w:lang w:val="en-IN"/>
        </w:rPr>
        <w:t>Principle: Chylomicrons, VLDL and LDL were precipitated by adding precipitating reagent containing polyethylene glycol to the sample. Centrifugation of the precipitant leaves only the HDL in the supernatant (centrifugation done at 2500-3000 rpm). The supernatant was separated out and its cholesterol content was determined using the cholesterol reagent.</w:t>
      </w:r>
    </w:p>
    <w:p w:rsidR="00426756" w:rsidRPr="00F111CD" w:rsidRDefault="00AA3174" w:rsidP="00C95347">
      <w:pPr>
        <w:spacing w:line="480" w:lineRule="auto"/>
        <w:jc w:val="both"/>
        <w:rPr>
          <w:lang w:val="en-IN"/>
        </w:rPr>
      </w:pPr>
      <w:r w:rsidRPr="00675DBD">
        <w:rPr>
          <w:b/>
          <w:sz w:val="22"/>
          <w:szCs w:val="22"/>
          <w:lang w:val="en-IN"/>
        </w:rPr>
        <w:t>OBSERVATIONS</w:t>
      </w:r>
      <w:r w:rsidR="00675DBD" w:rsidRPr="00675DBD">
        <w:rPr>
          <w:b/>
          <w:sz w:val="22"/>
          <w:szCs w:val="22"/>
          <w:lang w:val="en-IN"/>
        </w:rPr>
        <w:t xml:space="preserve"> AND RESULTS</w:t>
      </w:r>
      <w:r w:rsidR="00675DBD">
        <w:rPr>
          <w:lang w:val="en-IN"/>
        </w:rPr>
        <w:t>:</w:t>
      </w:r>
    </w:p>
    <w:p w:rsidR="00AA3174" w:rsidRPr="00F111CD" w:rsidRDefault="00987FA6" w:rsidP="00C95347">
      <w:pPr>
        <w:spacing w:line="480" w:lineRule="auto"/>
        <w:jc w:val="both"/>
        <w:rPr>
          <w:sz w:val="20"/>
          <w:szCs w:val="20"/>
        </w:rPr>
      </w:pPr>
      <w:r w:rsidRPr="00F111CD">
        <w:rPr>
          <w:b/>
          <w:sz w:val="20"/>
          <w:szCs w:val="20"/>
          <w:lang w:val="en-IN"/>
        </w:rPr>
        <w:t>Diagram 1</w:t>
      </w:r>
      <w:r w:rsidR="00AA3174" w:rsidRPr="00F111CD">
        <w:rPr>
          <w:b/>
          <w:sz w:val="20"/>
          <w:szCs w:val="20"/>
          <w:lang w:val="en-IN"/>
        </w:rPr>
        <w:t>: Bar diagram showing age distribution of cases:</w:t>
      </w:r>
    </w:p>
    <w:p w:rsidR="00675DBD" w:rsidRDefault="00AA3174" w:rsidP="00675DBD">
      <w:pPr>
        <w:spacing w:line="480" w:lineRule="auto"/>
        <w:jc w:val="center"/>
        <w:rPr>
          <w:lang w:val="en-IN"/>
        </w:rPr>
      </w:pPr>
      <w:r w:rsidRPr="00F111CD">
        <w:rPr>
          <w:noProof/>
        </w:rPr>
        <w:drawing>
          <wp:inline distT="0" distB="0" distL="0" distR="0">
            <wp:extent cx="4114800" cy="2038350"/>
            <wp:effectExtent l="19050" t="0" r="1905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F3B78" w:rsidRDefault="005F3B78" w:rsidP="00675DBD">
      <w:pPr>
        <w:spacing w:line="480" w:lineRule="auto"/>
        <w:rPr>
          <w:b/>
          <w:iCs/>
          <w:sz w:val="20"/>
          <w:szCs w:val="20"/>
          <w:lang w:val="en-IN"/>
        </w:rPr>
      </w:pPr>
    </w:p>
    <w:p w:rsidR="00005DE0" w:rsidRPr="00675DBD" w:rsidRDefault="00005DE0" w:rsidP="00675DBD">
      <w:pPr>
        <w:spacing w:line="480" w:lineRule="auto"/>
        <w:rPr>
          <w:lang w:val="en-IN"/>
        </w:rPr>
      </w:pPr>
      <w:r w:rsidRPr="00F111CD">
        <w:rPr>
          <w:b/>
          <w:iCs/>
          <w:sz w:val="20"/>
          <w:szCs w:val="20"/>
          <w:lang w:val="en-IN"/>
        </w:rPr>
        <w:t>Diagram 2: Pie Diagram showing gender distribution of cases:</w:t>
      </w:r>
    </w:p>
    <w:p w:rsidR="00F111CD" w:rsidRDefault="00005DE0" w:rsidP="00F111CD">
      <w:pPr>
        <w:spacing w:line="480" w:lineRule="auto"/>
        <w:jc w:val="center"/>
        <w:rPr>
          <w:b/>
          <w:iCs/>
          <w:lang w:val="en-IN"/>
        </w:rPr>
      </w:pPr>
      <w:r w:rsidRPr="00F111CD">
        <w:rPr>
          <w:b/>
          <w:iCs/>
          <w:noProof/>
        </w:rPr>
        <w:lastRenderedPageBreak/>
        <w:drawing>
          <wp:inline distT="0" distB="0" distL="0" distR="0">
            <wp:extent cx="3924300" cy="2381250"/>
            <wp:effectExtent l="19050" t="0" r="1905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F3B78" w:rsidRDefault="005F3B78" w:rsidP="00F111CD">
      <w:pPr>
        <w:spacing w:line="480" w:lineRule="auto"/>
        <w:rPr>
          <w:b/>
          <w:iCs/>
          <w:sz w:val="20"/>
          <w:szCs w:val="20"/>
          <w:lang w:val="en-IN"/>
        </w:rPr>
      </w:pPr>
    </w:p>
    <w:p w:rsidR="00AA3174" w:rsidRPr="00F111CD" w:rsidRDefault="00005DE0" w:rsidP="00F111CD">
      <w:pPr>
        <w:spacing w:line="480" w:lineRule="auto"/>
        <w:rPr>
          <w:b/>
          <w:iCs/>
          <w:lang w:val="en-IN"/>
        </w:rPr>
      </w:pPr>
      <w:r w:rsidRPr="00F111CD">
        <w:rPr>
          <w:b/>
          <w:iCs/>
          <w:sz w:val="20"/>
          <w:szCs w:val="20"/>
          <w:lang w:val="en-IN"/>
        </w:rPr>
        <w:t>Diagram 3</w:t>
      </w:r>
      <w:r w:rsidR="00AA3174" w:rsidRPr="00F111CD">
        <w:rPr>
          <w:b/>
          <w:iCs/>
          <w:sz w:val="20"/>
          <w:szCs w:val="20"/>
          <w:lang w:val="en-IN"/>
        </w:rPr>
        <w:t>: Pie diagram showing different grades of depression:</w:t>
      </w:r>
    </w:p>
    <w:p w:rsidR="00AA3174" w:rsidRPr="00F111CD" w:rsidRDefault="00AA3174" w:rsidP="00987FA6">
      <w:pPr>
        <w:spacing w:line="480" w:lineRule="auto"/>
        <w:jc w:val="center"/>
        <w:rPr>
          <w:lang w:val="en-IN"/>
        </w:rPr>
      </w:pPr>
      <w:r w:rsidRPr="00F111CD">
        <w:rPr>
          <w:noProof/>
        </w:rPr>
        <w:drawing>
          <wp:inline distT="0" distB="0" distL="0" distR="0">
            <wp:extent cx="4152900" cy="2533650"/>
            <wp:effectExtent l="19050" t="0" r="1905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A3174" w:rsidRPr="00F111CD" w:rsidRDefault="00987FA6" w:rsidP="00F111CD">
      <w:pPr>
        <w:spacing w:line="480" w:lineRule="auto"/>
        <w:rPr>
          <w:b/>
          <w:lang w:val="en-IN"/>
        </w:rPr>
      </w:pPr>
      <w:r w:rsidRPr="00F111CD">
        <w:rPr>
          <w:b/>
          <w:iCs/>
          <w:sz w:val="20"/>
          <w:szCs w:val="20"/>
          <w:lang w:val="en-IN"/>
        </w:rPr>
        <w:t>Table 1</w:t>
      </w:r>
      <w:proofErr w:type="gramStart"/>
      <w:r w:rsidR="00AA3174" w:rsidRPr="00F111CD">
        <w:rPr>
          <w:b/>
          <w:iCs/>
          <w:sz w:val="20"/>
          <w:szCs w:val="20"/>
          <w:lang w:val="en-IN"/>
        </w:rPr>
        <w:t>:</w:t>
      </w:r>
      <w:r w:rsidRPr="00F111CD">
        <w:rPr>
          <w:b/>
          <w:sz w:val="20"/>
          <w:szCs w:val="20"/>
          <w:lang w:val="en-IN"/>
        </w:rPr>
        <w:t>Comparison</w:t>
      </w:r>
      <w:r w:rsidR="00AA3174" w:rsidRPr="00F111CD">
        <w:rPr>
          <w:b/>
          <w:sz w:val="20"/>
          <w:szCs w:val="20"/>
          <w:lang w:val="en-IN"/>
        </w:rPr>
        <w:t>in</w:t>
      </w:r>
      <w:proofErr w:type="gramEnd"/>
      <w:r w:rsidR="00AA3174" w:rsidRPr="00F111CD">
        <w:rPr>
          <w:b/>
          <w:sz w:val="20"/>
          <w:szCs w:val="20"/>
          <w:lang w:val="en-IN"/>
        </w:rPr>
        <w:t xml:space="preserve"> cases and controls</w:t>
      </w:r>
      <w:r w:rsidR="00AA3174" w:rsidRPr="00F111CD">
        <w:rPr>
          <w:b/>
          <w:lang w:val="en-IN"/>
        </w:rPr>
        <w:t>.</w:t>
      </w:r>
    </w:p>
    <w:tbl>
      <w:tblPr>
        <w:tblW w:w="3864"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1138"/>
        <w:gridCol w:w="1003"/>
        <w:gridCol w:w="1134"/>
        <w:gridCol w:w="1037"/>
        <w:gridCol w:w="1146"/>
        <w:gridCol w:w="1129"/>
      </w:tblGrid>
      <w:tr w:rsidR="00AA3174" w:rsidRPr="00F111CD" w:rsidTr="00F367A2">
        <w:trPr>
          <w:trHeight w:val="544"/>
          <w:jc w:val="center"/>
        </w:trPr>
        <w:tc>
          <w:tcPr>
            <w:tcW w:w="864" w:type="pct"/>
            <w:vAlign w:val="center"/>
          </w:tcPr>
          <w:p w:rsidR="00AA3174" w:rsidRPr="00F111CD" w:rsidRDefault="00AA3174" w:rsidP="00F367A2">
            <w:pPr>
              <w:spacing w:line="480" w:lineRule="auto"/>
              <w:jc w:val="center"/>
              <w:rPr>
                <w:sz w:val="20"/>
                <w:szCs w:val="20"/>
                <w:lang w:val="en-IN"/>
              </w:rPr>
            </w:pPr>
          </w:p>
        </w:tc>
        <w:tc>
          <w:tcPr>
            <w:tcW w:w="1622" w:type="pct"/>
            <w:gridSpan w:val="2"/>
            <w:vAlign w:val="center"/>
          </w:tcPr>
          <w:p w:rsidR="00AA3174" w:rsidRPr="00F111CD" w:rsidRDefault="00AA3174" w:rsidP="00C95347">
            <w:pPr>
              <w:spacing w:line="480" w:lineRule="auto"/>
              <w:jc w:val="both"/>
              <w:rPr>
                <w:sz w:val="20"/>
                <w:szCs w:val="20"/>
                <w:lang w:val="en-IN"/>
              </w:rPr>
            </w:pPr>
            <w:r w:rsidRPr="00F111CD">
              <w:rPr>
                <w:sz w:val="20"/>
                <w:szCs w:val="20"/>
                <w:lang w:val="en-IN"/>
              </w:rPr>
              <w:t>CASES(mg/dl)</w:t>
            </w:r>
          </w:p>
        </w:tc>
        <w:tc>
          <w:tcPr>
            <w:tcW w:w="1657" w:type="pct"/>
            <w:gridSpan w:val="2"/>
            <w:vAlign w:val="center"/>
          </w:tcPr>
          <w:p w:rsidR="00AA3174" w:rsidRPr="00F111CD" w:rsidRDefault="00AA3174" w:rsidP="00C95347">
            <w:pPr>
              <w:spacing w:line="480" w:lineRule="auto"/>
              <w:jc w:val="both"/>
              <w:rPr>
                <w:sz w:val="20"/>
                <w:szCs w:val="20"/>
                <w:lang w:val="en-IN"/>
              </w:rPr>
            </w:pPr>
            <w:r w:rsidRPr="00F111CD">
              <w:rPr>
                <w:sz w:val="20"/>
                <w:szCs w:val="20"/>
                <w:lang w:val="en-IN"/>
              </w:rPr>
              <w:t>CONTROLS(mg/dl)</w:t>
            </w:r>
          </w:p>
        </w:tc>
        <w:tc>
          <w:tcPr>
            <w:tcW w:w="857" w:type="pct"/>
            <w:vAlign w:val="center"/>
          </w:tcPr>
          <w:p w:rsidR="00AA3174" w:rsidRPr="00F111CD" w:rsidRDefault="00AA3174" w:rsidP="00C95347">
            <w:pPr>
              <w:spacing w:line="480" w:lineRule="auto"/>
              <w:jc w:val="both"/>
              <w:rPr>
                <w:sz w:val="20"/>
                <w:szCs w:val="20"/>
                <w:lang w:val="en-IN"/>
              </w:rPr>
            </w:pPr>
          </w:p>
        </w:tc>
      </w:tr>
      <w:tr w:rsidR="00AA3174" w:rsidRPr="00F111CD" w:rsidTr="00F367A2">
        <w:trPr>
          <w:trHeight w:val="544"/>
          <w:jc w:val="center"/>
        </w:trPr>
        <w:tc>
          <w:tcPr>
            <w:tcW w:w="864"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Parameters</w:t>
            </w:r>
          </w:p>
        </w:tc>
        <w:tc>
          <w:tcPr>
            <w:tcW w:w="761"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Mean</w:t>
            </w:r>
          </w:p>
        </w:tc>
        <w:tc>
          <w:tcPr>
            <w:tcW w:w="861" w:type="pct"/>
            <w:tcBorders>
              <w:right w:val="single" w:sz="4" w:space="0" w:color="auto"/>
            </w:tcBorders>
            <w:vAlign w:val="center"/>
          </w:tcPr>
          <w:p w:rsidR="00AA3174" w:rsidRPr="00F111CD" w:rsidRDefault="00AA3174" w:rsidP="00C95347">
            <w:pPr>
              <w:spacing w:line="480" w:lineRule="auto"/>
              <w:jc w:val="both"/>
              <w:rPr>
                <w:sz w:val="20"/>
                <w:szCs w:val="20"/>
                <w:lang w:val="en-IN"/>
              </w:rPr>
            </w:pPr>
            <w:r w:rsidRPr="00F111CD">
              <w:rPr>
                <w:sz w:val="20"/>
                <w:szCs w:val="20"/>
                <w:lang w:val="en-IN"/>
              </w:rPr>
              <w:t>S.D</w:t>
            </w:r>
          </w:p>
        </w:tc>
        <w:tc>
          <w:tcPr>
            <w:tcW w:w="787"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Mean</w:t>
            </w:r>
          </w:p>
        </w:tc>
        <w:tc>
          <w:tcPr>
            <w:tcW w:w="869"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S.D</w:t>
            </w:r>
          </w:p>
        </w:tc>
        <w:tc>
          <w:tcPr>
            <w:tcW w:w="857"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P-value</w:t>
            </w:r>
          </w:p>
        </w:tc>
      </w:tr>
      <w:tr w:rsidR="00AA3174" w:rsidRPr="00F111CD" w:rsidTr="00F367A2">
        <w:trPr>
          <w:trHeight w:val="544"/>
          <w:jc w:val="center"/>
        </w:trPr>
        <w:tc>
          <w:tcPr>
            <w:tcW w:w="864"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Total cholesterol</w:t>
            </w:r>
          </w:p>
        </w:tc>
        <w:tc>
          <w:tcPr>
            <w:tcW w:w="761"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149.57</w:t>
            </w:r>
          </w:p>
        </w:tc>
        <w:tc>
          <w:tcPr>
            <w:tcW w:w="861" w:type="pct"/>
            <w:tcBorders>
              <w:right w:val="single" w:sz="4" w:space="0" w:color="auto"/>
            </w:tcBorders>
            <w:vAlign w:val="center"/>
          </w:tcPr>
          <w:p w:rsidR="00AA3174" w:rsidRPr="00F111CD" w:rsidRDefault="00AA3174" w:rsidP="00C95347">
            <w:pPr>
              <w:spacing w:line="480" w:lineRule="auto"/>
              <w:jc w:val="both"/>
              <w:rPr>
                <w:sz w:val="20"/>
                <w:szCs w:val="20"/>
                <w:lang w:val="en-IN"/>
              </w:rPr>
            </w:pPr>
            <w:r w:rsidRPr="00F111CD">
              <w:rPr>
                <w:sz w:val="20"/>
                <w:szCs w:val="20"/>
                <w:lang w:val="en-IN"/>
              </w:rPr>
              <w:t>27.75</w:t>
            </w:r>
          </w:p>
        </w:tc>
        <w:tc>
          <w:tcPr>
            <w:tcW w:w="787"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162.54</w:t>
            </w:r>
          </w:p>
        </w:tc>
        <w:tc>
          <w:tcPr>
            <w:tcW w:w="869"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25.05</w:t>
            </w:r>
          </w:p>
        </w:tc>
        <w:tc>
          <w:tcPr>
            <w:tcW w:w="857"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&lt;0.05*</w:t>
            </w:r>
          </w:p>
        </w:tc>
      </w:tr>
      <w:tr w:rsidR="00AA3174" w:rsidRPr="00F111CD" w:rsidTr="00F367A2">
        <w:trPr>
          <w:trHeight w:val="448"/>
          <w:jc w:val="center"/>
        </w:trPr>
        <w:tc>
          <w:tcPr>
            <w:tcW w:w="864"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HDL- C</w:t>
            </w:r>
          </w:p>
        </w:tc>
        <w:tc>
          <w:tcPr>
            <w:tcW w:w="761"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42.15</w:t>
            </w:r>
          </w:p>
        </w:tc>
        <w:tc>
          <w:tcPr>
            <w:tcW w:w="861" w:type="pct"/>
            <w:tcBorders>
              <w:right w:val="single" w:sz="4" w:space="0" w:color="auto"/>
            </w:tcBorders>
            <w:vAlign w:val="center"/>
          </w:tcPr>
          <w:p w:rsidR="00AA3174" w:rsidRPr="00F111CD" w:rsidRDefault="00AA3174" w:rsidP="00C95347">
            <w:pPr>
              <w:spacing w:line="480" w:lineRule="auto"/>
              <w:jc w:val="both"/>
              <w:rPr>
                <w:sz w:val="20"/>
                <w:szCs w:val="20"/>
                <w:lang w:val="en-IN"/>
              </w:rPr>
            </w:pPr>
            <w:r w:rsidRPr="00F111CD">
              <w:rPr>
                <w:sz w:val="20"/>
                <w:szCs w:val="20"/>
                <w:lang w:val="en-IN"/>
              </w:rPr>
              <w:t>8.83</w:t>
            </w:r>
          </w:p>
        </w:tc>
        <w:tc>
          <w:tcPr>
            <w:tcW w:w="787"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45.33</w:t>
            </w:r>
          </w:p>
        </w:tc>
        <w:tc>
          <w:tcPr>
            <w:tcW w:w="869"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5.06</w:t>
            </w:r>
          </w:p>
        </w:tc>
        <w:tc>
          <w:tcPr>
            <w:tcW w:w="857"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&lt;0.05*</w:t>
            </w:r>
          </w:p>
        </w:tc>
      </w:tr>
    </w:tbl>
    <w:p w:rsidR="00AA3174" w:rsidRPr="00F111CD" w:rsidRDefault="00AA3174" w:rsidP="00F367A2">
      <w:pPr>
        <w:spacing w:line="480" w:lineRule="auto"/>
        <w:jc w:val="center"/>
        <w:rPr>
          <w:b/>
          <w:sz w:val="20"/>
          <w:szCs w:val="20"/>
          <w:lang w:val="en-IN"/>
        </w:rPr>
      </w:pPr>
      <w:r w:rsidRPr="00F111CD">
        <w:rPr>
          <w:b/>
          <w:sz w:val="20"/>
          <w:szCs w:val="20"/>
          <w:lang w:val="en-IN"/>
        </w:rPr>
        <w:t>*= Statistically significant</w:t>
      </w:r>
    </w:p>
    <w:p w:rsidR="00AA3174" w:rsidRPr="00F111CD" w:rsidRDefault="00987FA6" w:rsidP="00F111CD">
      <w:pPr>
        <w:spacing w:line="480" w:lineRule="auto"/>
        <w:rPr>
          <w:b/>
          <w:sz w:val="20"/>
          <w:szCs w:val="20"/>
          <w:lang w:val="en-IN"/>
        </w:rPr>
      </w:pPr>
      <w:r w:rsidRPr="00F111CD">
        <w:rPr>
          <w:b/>
          <w:sz w:val="20"/>
          <w:szCs w:val="20"/>
          <w:lang w:val="en-IN"/>
        </w:rPr>
        <w:t>Table 2</w:t>
      </w:r>
      <w:r w:rsidR="00AA3174" w:rsidRPr="00F111CD">
        <w:rPr>
          <w:b/>
          <w:sz w:val="20"/>
          <w:szCs w:val="20"/>
          <w:lang w:val="en-IN"/>
        </w:rPr>
        <w:t>: Comparison in male and female cases</w:t>
      </w:r>
    </w:p>
    <w:tbl>
      <w:tblPr>
        <w:tblW w:w="3902"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1227"/>
        <w:gridCol w:w="805"/>
        <w:gridCol w:w="950"/>
        <w:gridCol w:w="949"/>
        <w:gridCol w:w="950"/>
        <w:gridCol w:w="949"/>
        <w:gridCol w:w="821"/>
      </w:tblGrid>
      <w:tr w:rsidR="00AA3174" w:rsidRPr="00F111CD" w:rsidTr="00F367A2">
        <w:trPr>
          <w:trHeight w:val="76"/>
          <w:jc w:val="center"/>
        </w:trPr>
        <w:tc>
          <w:tcPr>
            <w:tcW w:w="876" w:type="pct"/>
            <w:vAlign w:val="center"/>
          </w:tcPr>
          <w:p w:rsidR="00AA3174" w:rsidRPr="00F111CD" w:rsidRDefault="00AA3174" w:rsidP="00C95347">
            <w:pPr>
              <w:spacing w:line="480" w:lineRule="auto"/>
              <w:jc w:val="both"/>
              <w:rPr>
                <w:sz w:val="20"/>
                <w:szCs w:val="20"/>
                <w:lang w:val="en-IN"/>
              </w:rPr>
            </w:pPr>
          </w:p>
        </w:tc>
        <w:tc>
          <w:tcPr>
            <w:tcW w:w="2029" w:type="pct"/>
            <w:gridSpan w:val="3"/>
            <w:vAlign w:val="center"/>
          </w:tcPr>
          <w:p w:rsidR="00AA3174" w:rsidRPr="00F111CD" w:rsidRDefault="00AA3174" w:rsidP="00C95347">
            <w:pPr>
              <w:spacing w:line="480" w:lineRule="auto"/>
              <w:jc w:val="both"/>
              <w:rPr>
                <w:sz w:val="20"/>
                <w:szCs w:val="20"/>
                <w:lang w:val="en-IN"/>
              </w:rPr>
            </w:pPr>
            <w:r w:rsidRPr="00F111CD">
              <w:rPr>
                <w:sz w:val="20"/>
                <w:szCs w:val="20"/>
                <w:lang w:val="en-IN"/>
              </w:rPr>
              <w:t>Cases</w:t>
            </w:r>
          </w:p>
        </w:tc>
        <w:tc>
          <w:tcPr>
            <w:tcW w:w="2093" w:type="pct"/>
            <w:gridSpan w:val="3"/>
            <w:vAlign w:val="center"/>
          </w:tcPr>
          <w:p w:rsidR="00AA3174" w:rsidRPr="00F111CD" w:rsidRDefault="00AA3174" w:rsidP="00C95347">
            <w:pPr>
              <w:spacing w:line="480" w:lineRule="auto"/>
              <w:jc w:val="both"/>
              <w:rPr>
                <w:sz w:val="20"/>
                <w:szCs w:val="20"/>
                <w:lang w:val="en-IN"/>
              </w:rPr>
            </w:pPr>
            <w:r w:rsidRPr="00F111CD">
              <w:rPr>
                <w:sz w:val="20"/>
                <w:szCs w:val="20"/>
                <w:lang w:val="en-IN"/>
              </w:rPr>
              <w:t>Controls</w:t>
            </w:r>
          </w:p>
        </w:tc>
      </w:tr>
      <w:tr w:rsidR="00F367A2" w:rsidRPr="00F111CD" w:rsidTr="00F367A2">
        <w:trPr>
          <w:trHeight w:val="553"/>
          <w:jc w:val="center"/>
        </w:trPr>
        <w:tc>
          <w:tcPr>
            <w:tcW w:w="876"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Parameters</w:t>
            </w:r>
          </w:p>
        </w:tc>
        <w:tc>
          <w:tcPr>
            <w:tcW w:w="569" w:type="pct"/>
            <w:vAlign w:val="center"/>
          </w:tcPr>
          <w:p w:rsidR="00AA3174" w:rsidRPr="00F111CD" w:rsidRDefault="00AA3174" w:rsidP="00C95347">
            <w:pPr>
              <w:spacing w:line="480" w:lineRule="auto"/>
              <w:jc w:val="both"/>
              <w:rPr>
                <w:sz w:val="20"/>
                <w:szCs w:val="20"/>
                <w:lang w:val="en-IN"/>
              </w:rPr>
            </w:pPr>
          </w:p>
        </w:tc>
        <w:tc>
          <w:tcPr>
            <w:tcW w:w="731"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Mean</w:t>
            </w:r>
          </w:p>
        </w:tc>
        <w:tc>
          <w:tcPr>
            <w:tcW w:w="730"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S.D</w:t>
            </w:r>
          </w:p>
        </w:tc>
        <w:tc>
          <w:tcPr>
            <w:tcW w:w="731"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Mean</w:t>
            </w:r>
          </w:p>
        </w:tc>
        <w:tc>
          <w:tcPr>
            <w:tcW w:w="730"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S.D</w:t>
            </w:r>
          </w:p>
        </w:tc>
        <w:tc>
          <w:tcPr>
            <w:tcW w:w="634"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P-value</w:t>
            </w:r>
          </w:p>
        </w:tc>
      </w:tr>
      <w:tr w:rsidR="00F367A2" w:rsidRPr="00F111CD" w:rsidTr="00F367A2">
        <w:trPr>
          <w:trHeight w:val="452"/>
          <w:jc w:val="center"/>
        </w:trPr>
        <w:tc>
          <w:tcPr>
            <w:tcW w:w="876" w:type="pct"/>
            <w:vMerge w:val="restart"/>
            <w:vAlign w:val="center"/>
          </w:tcPr>
          <w:p w:rsidR="00AA3174" w:rsidRPr="00F111CD" w:rsidRDefault="00AA3174" w:rsidP="00C95347">
            <w:pPr>
              <w:spacing w:line="480" w:lineRule="auto"/>
              <w:jc w:val="both"/>
              <w:rPr>
                <w:sz w:val="20"/>
                <w:szCs w:val="20"/>
                <w:lang w:val="en-IN"/>
              </w:rPr>
            </w:pPr>
            <w:r w:rsidRPr="00F111CD">
              <w:rPr>
                <w:sz w:val="20"/>
                <w:szCs w:val="20"/>
                <w:lang w:val="en-IN"/>
              </w:rPr>
              <w:t>TC</w:t>
            </w:r>
            <w:r w:rsidR="00987FA6" w:rsidRPr="00F111CD">
              <w:rPr>
                <w:sz w:val="20"/>
                <w:szCs w:val="20"/>
                <w:lang w:val="en-IN"/>
              </w:rPr>
              <w:t xml:space="preserve"> (</w:t>
            </w:r>
            <w:r w:rsidRPr="00F111CD">
              <w:rPr>
                <w:sz w:val="20"/>
                <w:szCs w:val="20"/>
                <w:lang w:val="en-IN"/>
              </w:rPr>
              <w:t>mg/dl</w:t>
            </w:r>
            <w:r w:rsidR="00987FA6" w:rsidRPr="00F111CD">
              <w:rPr>
                <w:sz w:val="20"/>
                <w:szCs w:val="20"/>
                <w:lang w:val="en-IN"/>
              </w:rPr>
              <w:t>)</w:t>
            </w:r>
          </w:p>
        </w:tc>
        <w:tc>
          <w:tcPr>
            <w:tcW w:w="569"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male</w:t>
            </w:r>
          </w:p>
        </w:tc>
        <w:tc>
          <w:tcPr>
            <w:tcW w:w="731"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149.0</w:t>
            </w:r>
          </w:p>
        </w:tc>
        <w:tc>
          <w:tcPr>
            <w:tcW w:w="730"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25.89</w:t>
            </w:r>
          </w:p>
        </w:tc>
        <w:tc>
          <w:tcPr>
            <w:tcW w:w="731"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171.20</w:t>
            </w:r>
          </w:p>
        </w:tc>
        <w:tc>
          <w:tcPr>
            <w:tcW w:w="730"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26.26</w:t>
            </w:r>
          </w:p>
        </w:tc>
        <w:tc>
          <w:tcPr>
            <w:tcW w:w="634"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NS</w:t>
            </w:r>
          </w:p>
        </w:tc>
      </w:tr>
      <w:tr w:rsidR="00F367A2" w:rsidRPr="00F111CD" w:rsidTr="00F367A2">
        <w:trPr>
          <w:trHeight w:val="214"/>
          <w:jc w:val="center"/>
        </w:trPr>
        <w:tc>
          <w:tcPr>
            <w:tcW w:w="876" w:type="pct"/>
            <w:vMerge/>
            <w:vAlign w:val="center"/>
          </w:tcPr>
          <w:p w:rsidR="00AA3174" w:rsidRPr="00F111CD" w:rsidRDefault="00AA3174" w:rsidP="00C95347">
            <w:pPr>
              <w:spacing w:line="480" w:lineRule="auto"/>
              <w:jc w:val="both"/>
              <w:rPr>
                <w:sz w:val="20"/>
                <w:szCs w:val="20"/>
                <w:lang w:val="en-IN"/>
              </w:rPr>
            </w:pPr>
          </w:p>
        </w:tc>
        <w:tc>
          <w:tcPr>
            <w:tcW w:w="569"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female</w:t>
            </w:r>
          </w:p>
        </w:tc>
        <w:tc>
          <w:tcPr>
            <w:tcW w:w="731"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149.96</w:t>
            </w:r>
          </w:p>
        </w:tc>
        <w:tc>
          <w:tcPr>
            <w:tcW w:w="730"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29.35</w:t>
            </w:r>
          </w:p>
        </w:tc>
        <w:tc>
          <w:tcPr>
            <w:tcW w:w="731"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156.76</w:t>
            </w:r>
          </w:p>
        </w:tc>
        <w:tc>
          <w:tcPr>
            <w:tcW w:w="730"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22.86</w:t>
            </w:r>
          </w:p>
        </w:tc>
        <w:tc>
          <w:tcPr>
            <w:tcW w:w="634"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NS</w:t>
            </w:r>
          </w:p>
        </w:tc>
      </w:tr>
      <w:tr w:rsidR="00F367A2" w:rsidRPr="00F111CD" w:rsidTr="00F367A2">
        <w:trPr>
          <w:trHeight w:val="200"/>
          <w:jc w:val="center"/>
        </w:trPr>
        <w:tc>
          <w:tcPr>
            <w:tcW w:w="876" w:type="pct"/>
            <w:vMerge w:val="restart"/>
            <w:vAlign w:val="center"/>
          </w:tcPr>
          <w:p w:rsidR="00AA3174" w:rsidRPr="00F111CD" w:rsidRDefault="00AA3174" w:rsidP="00C95347">
            <w:pPr>
              <w:spacing w:line="480" w:lineRule="auto"/>
              <w:jc w:val="both"/>
              <w:rPr>
                <w:sz w:val="20"/>
                <w:szCs w:val="20"/>
                <w:lang w:val="en-IN"/>
              </w:rPr>
            </w:pPr>
            <w:r w:rsidRPr="00F111CD">
              <w:rPr>
                <w:sz w:val="20"/>
                <w:szCs w:val="20"/>
                <w:lang w:val="en-IN"/>
              </w:rPr>
              <w:t>HDL</w:t>
            </w:r>
            <w:r w:rsidR="00987FA6" w:rsidRPr="00F111CD">
              <w:rPr>
                <w:sz w:val="20"/>
                <w:szCs w:val="20"/>
                <w:lang w:val="en-IN"/>
              </w:rPr>
              <w:t>(</w:t>
            </w:r>
            <w:r w:rsidRPr="00F111CD">
              <w:rPr>
                <w:sz w:val="20"/>
                <w:szCs w:val="20"/>
                <w:lang w:val="en-IN"/>
              </w:rPr>
              <w:t>mg/dl</w:t>
            </w:r>
            <w:r w:rsidR="00987FA6" w:rsidRPr="00F111CD">
              <w:rPr>
                <w:sz w:val="20"/>
                <w:szCs w:val="20"/>
                <w:lang w:val="en-IN"/>
              </w:rPr>
              <w:t>)</w:t>
            </w:r>
          </w:p>
        </w:tc>
        <w:tc>
          <w:tcPr>
            <w:tcW w:w="569"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Male</w:t>
            </w:r>
          </w:p>
        </w:tc>
        <w:tc>
          <w:tcPr>
            <w:tcW w:w="731"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39.44</w:t>
            </w:r>
          </w:p>
        </w:tc>
        <w:tc>
          <w:tcPr>
            <w:tcW w:w="730"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6.67</w:t>
            </w:r>
          </w:p>
        </w:tc>
        <w:tc>
          <w:tcPr>
            <w:tcW w:w="731"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45.91</w:t>
            </w:r>
          </w:p>
        </w:tc>
        <w:tc>
          <w:tcPr>
            <w:tcW w:w="730"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4.80</w:t>
            </w:r>
          </w:p>
        </w:tc>
        <w:tc>
          <w:tcPr>
            <w:tcW w:w="634"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&lt;0.01*</w:t>
            </w:r>
          </w:p>
        </w:tc>
      </w:tr>
      <w:tr w:rsidR="00F367A2" w:rsidRPr="00F111CD" w:rsidTr="00F367A2">
        <w:trPr>
          <w:trHeight w:val="301"/>
          <w:jc w:val="center"/>
        </w:trPr>
        <w:tc>
          <w:tcPr>
            <w:tcW w:w="876" w:type="pct"/>
            <w:vMerge/>
            <w:vAlign w:val="center"/>
          </w:tcPr>
          <w:p w:rsidR="00AA3174" w:rsidRPr="00F111CD" w:rsidRDefault="00AA3174" w:rsidP="00C95347">
            <w:pPr>
              <w:spacing w:line="480" w:lineRule="auto"/>
              <w:jc w:val="both"/>
              <w:rPr>
                <w:sz w:val="20"/>
                <w:szCs w:val="20"/>
                <w:lang w:val="en-IN"/>
              </w:rPr>
            </w:pPr>
          </w:p>
        </w:tc>
        <w:tc>
          <w:tcPr>
            <w:tcW w:w="569"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Female</w:t>
            </w:r>
          </w:p>
        </w:tc>
        <w:tc>
          <w:tcPr>
            <w:tcW w:w="731"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43.95</w:t>
            </w:r>
          </w:p>
        </w:tc>
        <w:tc>
          <w:tcPr>
            <w:tcW w:w="730"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9.71</w:t>
            </w:r>
          </w:p>
        </w:tc>
        <w:tc>
          <w:tcPr>
            <w:tcW w:w="731"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44.95</w:t>
            </w:r>
          </w:p>
        </w:tc>
        <w:tc>
          <w:tcPr>
            <w:tcW w:w="730"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5.27</w:t>
            </w:r>
          </w:p>
        </w:tc>
        <w:tc>
          <w:tcPr>
            <w:tcW w:w="634" w:type="pct"/>
            <w:vAlign w:val="center"/>
          </w:tcPr>
          <w:p w:rsidR="00AA3174" w:rsidRPr="00F111CD" w:rsidRDefault="00AA3174" w:rsidP="00C95347">
            <w:pPr>
              <w:spacing w:line="480" w:lineRule="auto"/>
              <w:jc w:val="both"/>
              <w:rPr>
                <w:sz w:val="20"/>
                <w:szCs w:val="20"/>
                <w:lang w:val="en-IN"/>
              </w:rPr>
            </w:pPr>
            <w:r w:rsidRPr="00F111CD">
              <w:rPr>
                <w:sz w:val="20"/>
                <w:szCs w:val="20"/>
                <w:lang w:val="en-IN"/>
              </w:rPr>
              <w:t>NS</w:t>
            </w:r>
          </w:p>
        </w:tc>
      </w:tr>
    </w:tbl>
    <w:p w:rsidR="00937AA0" w:rsidRPr="00F111CD" w:rsidRDefault="00AA3174" w:rsidP="00F367A2">
      <w:pPr>
        <w:spacing w:line="480" w:lineRule="auto"/>
        <w:jc w:val="center"/>
        <w:rPr>
          <w:b/>
          <w:sz w:val="20"/>
          <w:szCs w:val="20"/>
          <w:lang w:val="en-IN"/>
        </w:rPr>
      </w:pPr>
      <w:r w:rsidRPr="00F111CD">
        <w:rPr>
          <w:b/>
          <w:sz w:val="20"/>
          <w:szCs w:val="20"/>
          <w:lang w:val="en-IN"/>
        </w:rPr>
        <w:t>*= Statistically signific</w:t>
      </w:r>
      <w:r w:rsidR="00F367A2" w:rsidRPr="00F111CD">
        <w:rPr>
          <w:b/>
          <w:sz w:val="20"/>
          <w:szCs w:val="20"/>
          <w:lang w:val="en-IN"/>
        </w:rPr>
        <w:t xml:space="preserve">ant; NS= Not </w:t>
      </w:r>
      <w:proofErr w:type="gramStart"/>
      <w:r w:rsidR="00F367A2" w:rsidRPr="00F111CD">
        <w:rPr>
          <w:b/>
          <w:sz w:val="20"/>
          <w:szCs w:val="20"/>
          <w:lang w:val="en-IN"/>
        </w:rPr>
        <w:t>Significant(</w:t>
      </w:r>
      <w:proofErr w:type="gramEnd"/>
      <w:r w:rsidR="00F367A2" w:rsidRPr="00F111CD">
        <w:rPr>
          <w:b/>
          <w:sz w:val="20"/>
          <w:szCs w:val="20"/>
          <w:lang w:val="en-IN"/>
        </w:rPr>
        <w:t>p&gt;0.05)</w:t>
      </w:r>
    </w:p>
    <w:p w:rsidR="000130E0" w:rsidRDefault="000130E0" w:rsidP="00F111CD">
      <w:pPr>
        <w:spacing w:line="480" w:lineRule="auto"/>
        <w:rPr>
          <w:b/>
          <w:sz w:val="20"/>
          <w:szCs w:val="20"/>
          <w:lang w:val="en-IN"/>
        </w:rPr>
      </w:pPr>
    </w:p>
    <w:p w:rsidR="00AA3174" w:rsidRPr="00F111CD" w:rsidRDefault="00987FA6" w:rsidP="00F111CD">
      <w:pPr>
        <w:spacing w:line="480" w:lineRule="auto"/>
        <w:rPr>
          <w:b/>
          <w:sz w:val="20"/>
          <w:szCs w:val="20"/>
          <w:lang w:val="en-IN"/>
        </w:rPr>
      </w:pPr>
      <w:r w:rsidRPr="00F111CD">
        <w:rPr>
          <w:b/>
          <w:sz w:val="20"/>
          <w:szCs w:val="20"/>
          <w:lang w:val="en-IN"/>
        </w:rPr>
        <w:t>Table 3</w:t>
      </w:r>
      <w:r w:rsidR="00AA3174" w:rsidRPr="00F111CD">
        <w:rPr>
          <w:b/>
          <w:sz w:val="20"/>
          <w:szCs w:val="20"/>
          <w:lang w:val="en-IN"/>
        </w:rPr>
        <w:t xml:space="preserve">: </w:t>
      </w:r>
      <w:r w:rsidRPr="00F111CD">
        <w:rPr>
          <w:b/>
          <w:sz w:val="20"/>
          <w:szCs w:val="20"/>
          <w:lang w:val="en-IN"/>
        </w:rPr>
        <w:t xml:space="preserve">Comparison on basis of </w:t>
      </w:r>
      <w:r w:rsidR="00AA3174" w:rsidRPr="00F111CD">
        <w:rPr>
          <w:b/>
          <w:sz w:val="20"/>
          <w:szCs w:val="20"/>
          <w:lang w:val="en-IN"/>
        </w:rPr>
        <w:t>different grades of depression in cases and controls:</w:t>
      </w:r>
    </w:p>
    <w:tbl>
      <w:tblPr>
        <w:tblW w:w="0" w:type="auto"/>
        <w:jc w:val="center"/>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227"/>
        <w:gridCol w:w="891"/>
        <w:gridCol w:w="1326"/>
        <w:gridCol w:w="1328"/>
        <w:gridCol w:w="1657"/>
      </w:tblGrid>
      <w:tr w:rsidR="00AA3174" w:rsidRPr="00F111CD" w:rsidTr="00675DBD">
        <w:trPr>
          <w:trHeight w:val="464"/>
          <w:jc w:val="center"/>
        </w:trPr>
        <w:tc>
          <w:tcPr>
            <w:tcW w:w="2118" w:type="dxa"/>
            <w:gridSpan w:val="2"/>
            <w:vMerge w:val="restart"/>
            <w:shd w:val="clear" w:color="auto" w:fill="auto"/>
            <w:vAlign w:val="center"/>
          </w:tcPr>
          <w:p w:rsidR="00AA3174" w:rsidRPr="00F111CD" w:rsidRDefault="00AA3174" w:rsidP="00C95347">
            <w:pPr>
              <w:spacing w:line="480" w:lineRule="auto"/>
              <w:jc w:val="both"/>
              <w:rPr>
                <w:sz w:val="20"/>
                <w:szCs w:val="20"/>
                <w:lang w:val="en-IN"/>
              </w:rPr>
            </w:pPr>
          </w:p>
        </w:tc>
        <w:tc>
          <w:tcPr>
            <w:tcW w:w="1326"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MILD</w:t>
            </w:r>
          </w:p>
        </w:tc>
        <w:tc>
          <w:tcPr>
            <w:tcW w:w="1328"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MODERATE</w:t>
            </w:r>
          </w:p>
        </w:tc>
        <w:tc>
          <w:tcPr>
            <w:tcW w:w="1657"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SEVERE</w:t>
            </w:r>
          </w:p>
        </w:tc>
      </w:tr>
      <w:tr w:rsidR="00AA3174" w:rsidRPr="00F111CD" w:rsidTr="00675DBD">
        <w:trPr>
          <w:trHeight w:val="489"/>
          <w:jc w:val="center"/>
        </w:trPr>
        <w:tc>
          <w:tcPr>
            <w:tcW w:w="2118" w:type="dxa"/>
            <w:gridSpan w:val="2"/>
            <w:vMerge/>
            <w:shd w:val="clear" w:color="auto" w:fill="auto"/>
            <w:vAlign w:val="center"/>
          </w:tcPr>
          <w:p w:rsidR="00AA3174" w:rsidRPr="00F111CD" w:rsidRDefault="00AA3174" w:rsidP="00C95347">
            <w:pPr>
              <w:spacing w:line="480" w:lineRule="auto"/>
              <w:jc w:val="both"/>
              <w:rPr>
                <w:sz w:val="20"/>
                <w:szCs w:val="20"/>
                <w:lang w:val="en-IN"/>
              </w:rPr>
            </w:pPr>
          </w:p>
        </w:tc>
        <w:tc>
          <w:tcPr>
            <w:tcW w:w="1326"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Mean ±SD</w:t>
            </w:r>
          </w:p>
        </w:tc>
        <w:tc>
          <w:tcPr>
            <w:tcW w:w="1328"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Mean ±SD</w:t>
            </w:r>
          </w:p>
        </w:tc>
        <w:tc>
          <w:tcPr>
            <w:tcW w:w="1657"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Mean ±SD</w:t>
            </w:r>
          </w:p>
        </w:tc>
      </w:tr>
      <w:tr w:rsidR="00AA3174" w:rsidRPr="00F111CD" w:rsidTr="00675DBD">
        <w:trPr>
          <w:trHeight w:val="464"/>
          <w:jc w:val="center"/>
        </w:trPr>
        <w:tc>
          <w:tcPr>
            <w:tcW w:w="1227" w:type="dxa"/>
            <w:vMerge w:val="restart"/>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TC(mg/dl)</w:t>
            </w:r>
          </w:p>
        </w:tc>
        <w:tc>
          <w:tcPr>
            <w:tcW w:w="891"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Case</w:t>
            </w:r>
          </w:p>
        </w:tc>
        <w:tc>
          <w:tcPr>
            <w:tcW w:w="1326"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169.31±18.97</w:t>
            </w:r>
          </w:p>
        </w:tc>
        <w:tc>
          <w:tcPr>
            <w:tcW w:w="1328"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135.91±15.13</w:t>
            </w:r>
          </w:p>
        </w:tc>
        <w:tc>
          <w:tcPr>
            <w:tcW w:w="1657"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116.93±23.42</w:t>
            </w:r>
          </w:p>
        </w:tc>
      </w:tr>
      <w:tr w:rsidR="00AA3174" w:rsidRPr="00F111CD" w:rsidTr="00675DBD">
        <w:trPr>
          <w:trHeight w:val="502"/>
          <w:jc w:val="center"/>
        </w:trPr>
        <w:tc>
          <w:tcPr>
            <w:tcW w:w="1227" w:type="dxa"/>
            <w:vMerge/>
            <w:shd w:val="clear" w:color="auto" w:fill="auto"/>
            <w:vAlign w:val="center"/>
          </w:tcPr>
          <w:p w:rsidR="00AA3174" w:rsidRPr="00F111CD" w:rsidRDefault="00AA3174" w:rsidP="00C95347">
            <w:pPr>
              <w:spacing w:line="480" w:lineRule="auto"/>
              <w:jc w:val="both"/>
              <w:rPr>
                <w:sz w:val="20"/>
                <w:szCs w:val="20"/>
                <w:lang w:val="en-IN"/>
              </w:rPr>
            </w:pPr>
          </w:p>
        </w:tc>
        <w:tc>
          <w:tcPr>
            <w:tcW w:w="891"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Control</w:t>
            </w:r>
          </w:p>
        </w:tc>
        <w:tc>
          <w:tcPr>
            <w:tcW w:w="1326"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162.9±24.97</w:t>
            </w:r>
          </w:p>
        </w:tc>
        <w:tc>
          <w:tcPr>
            <w:tcW w:w="1328"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165.67±26.25</w:t>
            </w:r>
          </w:p>
        </w:tc>
        <w:tc>
          <w:tcPr>
            <w:tcW w:w="1657"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154.76±24.22</w:t>
            </w:r>
          </w:p>
        </w:tc>
      </w:tr>
      <w:tr w:rsidR="00AA3174" w:rsidRPr="00F111CD" w:rsidTr="00675DBD">
        <w:trPr>
          <w:trHeight w:val="502"/>
          <w:jc w:val="center"/>
        </w:trPr>
        <w:tc>
          <w:tcPr>
            <w:tcW w:w="1227" w:type="dxa"/>
            <w:vMerge/>
            <w:shd w:val="clear" w:color="auto" w:fill="auto"/>
            <w:vAlign w:val="center"/>
          </w:tcPr>
          <w:p w:rsidR="00AA3174" w:rsidRPr="00F111CD" w:rsidRDefault="00AA3174" w:rsidP="00C95347">
            <w:pPr>
              <w:spacing w:line="480" w:lineRule="auto"/>
              <w:jc w:val="both"/>
              <w:rPr>
                <w:sz w:val="20"/>
                <w:szCs w:val="20"/>
                <w:lang w:val="en-IN"/>
              </w:rPr>
            </w:pPr>
          </w:p>
        </w:tc>
        <w:tc>
          <w:tcPr>
            <w:tcW w:w="891"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p-value</w:t>
            </w:r>
          </w:p>
        </w:tc>
        <w:tc>
          <w:tcPr>
            <w:tcW w:w="1326"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NS</w:t>
            </w:r>
          </w:p>
        </w:tc>
        <w:tc>
          <w:tcPr>
            <w:tcW w:w="1328"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&lt;0.0001*</w:t>
            </w:r>
          </w:p>
        </w:tc>
        <w:tc>
          <w:tcPr>
            <w:tcW w:w="1657"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&lt;0.01*</w:t>
            </w:r>
          </w:p>
        </w:tc>
      </w:tr>
      <w:tr w:rsidR="00AA3174" w:rsidRPr="00F111CD" w:rsidTr="00675DBD">
        <w:trPr>
          <w:trHeight w:val="464"/>
          <w:jc w:val="center"/>
        </w:trPr>
        <w:tc>
          <w:tcPr>
            <w:tcW w:w="1227" w:type="dxa"/>
            <w:vMerge w:val="restart"/>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HDL(mg/dl)</w:t>
            </w:r>
          </w:p>
        </w:tc>
        <w:tc>
          <w:tcPr>
            <w:tcW w:w="891"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Case</w:t>
            </w:r>
          </w:p>
        </w:tc>
        <w:tc>
          <w:tcPr>
            <w:tcW w:w="1326"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42.93±7.02</w:t>
            </w:r>
          </w:p>
        </w:tc>
        <w:tc>
          <w:tcPr>
            <w:tcW w:w="1328"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43.24±10.43</w:t>
            </w:r>
          </w:p>
        </w:tc>
        <w:tc>
          <w:tcPr>
            <w:tcW w:w="1657"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37.38±9.89</w:t>
            </w:r>
          </w:p>
        </w:tc>
      </w:tr>
      <w:tr w:rsidR="00AA3174" w:rsidRPr="00F111CD" w:rsidTr="00675DBD">
        <w:trPr>
          <w:trHeight w:val="489"/>
          <w:jc w:val="center"/>
        </w:trPr>
        <w:tc>
          <w:tcPr>
            <w:tcW w:w="1227" w:type="dxa"/>
            <w:vMerge/>
            <w:shd w:val="clear" w:color="auto" w:fill="auto"/>
            <w:vAlign w:val="center"/>
          </w:tcPr>
          <w:p w:rsidR="00AA3174" w:rsidRPr="00F111CD" w:rsidRDefault="00AA3174" w:rsidP="00C95347">
            <w:pPr>
              <w:spacing w:line="480" w:lineRule="auto"/>
              <w:jc w:val="both"/>
              <w:rPr>
                <w:sz w:val="20"/>
                <w:szCs w:val="20"/>
                <w:lang w:val="en-IN"/>
              </w:rPr>
            </w:pPr>
          </w:p>
        </w:tc>
        <w:tc>
          <w:tcPr>
            <w:tcW w:w="891"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Control</w:t>
            </w:r>
          </w:p>
        </w:tc>
        <w:tc>
          <w:tcPr>
            <w:tcW w:w="1326"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49.71±4.96</w:t>
            </w:r>
          </w:p>
        </w:tc>
        <w:tc>
          <w:tcPr>
            <w:tcW w:w="1328"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46.07±5.53</w:t>
            </w:r>
          </w:p>
        </w:tc>
        <w:tc>
          <w:tcPr>
            <w:tcW w:w="1657"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45.73±4.70</w:t>
            </w:r>
          </w:p>
        </w:tc>
      </w:tr>
      <w:tr w:rsidR="00AA3174" w:rsidRPr="00F111CD" w:rsidTr="00675DBD">
        <w:trPr>
          <w:trHeight w:val="213"/>
          <w:jc w:val="center"/>
        </w:trPr>
        <w:tc>
          <w:tcPr>
            <w:tcW w:w="1227" w:type="dxa"/>
            <w:vMerge/>
            <w:shd w:val="clear" w:color="auto" w:fill="auto"/>
            <w:vAlign w:val="center"/>
          </w:tcPr>
          <w:p w:rsidR="00AA3174" w:rsidRPr="00F111CD" w:rsidRDefault="00AA3174" w:rsidP="00C95347">
            <w:pPr>
              <w:spacing w:line="480" w:lineRule="auto"/>
              <w:jc w:val="both"/>
              <w:rPr>
                <w:sz w:val="20"/>
                <w:szCs w:val="20"/>
                <w:lang w:val="en-IN"/>
              </w:rPr>
            </w:pPr>
          </w:p>
        </w:tc>
        <w:tc>
          <w:tcPr>
            <w:tcW w:w="891"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p-value</w:t>
            </w:r>
          </w:p>
        </w:tc>
        <w:tc>
          <w:tcPr>
            <w:tcW w:w="1326"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NS</w:t>
            </w:r>
          </w:p>
        </w:tc>
        <w:tc>
          <w:tcPr>
            <w:tcW w:w="1328"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NS</w:t>
            </w:r>
          </w:p>
        </w:tc>
        <w:tc>
          <w:tcPr>
            <w:tcW w:w="1657" w:type="dxa"/>
            <w:shd w:val="clear" w:color="auto" w:fill="auto"/>
            <w:vAlign w:val="center"/>
          </w:tcPr>
          <w:p w:rsidR="00AA3174" w:rsidRPr="00F111CD" w:rsidRDefault="00AA3174" w:rsidP="00C95347">
            <w:pPr>
              <w:spacing w:line="480" w:lineRule="auto"/>
              <w:jc w:val="both"/>
              <w:rPr>
                <w:sz w:val="20"/>
                <w:szCs w:val="20"/>
                <w:lang w:val="en-IN"/>
              </w:rPr>
            </w:pPr>
            <w:r w:rsidRPr="00F111CD">
              <w:rPr>
                <w:sz w:val="20"/>
                <w:szCs w:val="20"/>
                <w:lang w:val="en-IN"/>
              </w:rPr>
              <w:t>&lt;0.05*</w:t>
            </w:r>
          </w:p>
        </w:tc>
      </w:tr>
    </w:tbl>
    <w:p w:rsidR="00426756" w:rsidRPr="00F111CD" w:rsidRDefault="00AA3174" w:rsidP="00F367A2">
      <w:pPr>
        <w:spacing w:line="480" w:lineRule="auto"/>
        <w:jc w:val="center"/>
        <w:rPr>
          <w:b/>
          <w:sz w:val="20"/>
          <w:szCs w:val="20"/>
          <w:lang w:val="en-IN"/>
        </w:rPr>
      </w:pPr>
      <w:r w:rsidRPr="00F111CD">
        <w:rPr>
          <w:b/>
          <w:sz w:val="20"/>
          <w:szCs w:val="20"/>
          <w:lang w:val="en-IN"/>
        </w:rPr>
        <w:t>*= Statistically significant; NS= Not significant</w:t>
      </w:r>
    </w:p>
    <w:p w:rsidR="00A31701" w:rsidRPr="00F111CD" w:rsidRDefault="00005DE0" w:rsidP="00F111CD">
      <w:pPr>
        <w:spacing w:line="480" w:lineRule="auto"/>
        <w:rPr>
          <w:b/>
          <w:sz w:val="20"/>
          <w:szCs w:val="20"/>
          <w:lang w:val="en-IN"/>
        </w:rPr>
      </w:pPr>
      <w:r w:rsidRPr="00F111CD">
        <w:rPr>
          <w:b/>
          <w:sz w:val="20"/>
          <w:szCs w:val="20"/>
          <w:lang w:val="en-IN"/>
        </w:rPr>
        <w:t>Diagram 4</w:t>
      </w:r>
      <w:r w:rsidR="00A31701" w:rsidRPr="00F111CD">
        <w:rPr>
          <w:b/>
          <w:sz w:val="20"/>
          <w:szCs w:val="20"/>
          <w:lang w:val="en-IN"/>
        </w:rPr>
        <w:t>: Scatter diagram showing correlation of total cholesterol and Hamilton score correlation in cases:</w:t>
      </w:r>
    </w:p>
    <w:p w:rsidR="00A31701" w:rsidRPr="00F111CD" w:rsidRDefault="00A31701" w:rsidP="00987FA6">
      <w:pPr>
        <w:spacing w:line="480" w:lineRule="auto"/>
        <w:jc w:val="center"/>
        <w:rPr>
          <w:b/>
          <w:lang w:val="en-IN"/>
        </w:rPr>
      </w:pPr>
      <w:r w:rsidRPr="00F111CD">
        <w:rPr>
          <w:b/>
          <w:noProof/>
        </w:rPr>
        <w:lastRenderedPageBreak/>
        <w:drawing>
          <wp:inline distT="0" distB="0" distL="0" distR="0">
            <wp:extent cx="4114800" cy="25908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31701" w:rsidRPr="00F111CD" w:rsidRDefault="00A31701" w:rsidP="0021548C">
      <w:pPr>
        <w:jc w:val="both"/>
        <w:rPr>
          <w:sz w:val="20"/>
          <w:szCs w:val="20"/>
          <w:lang w:val="en-IN"/>
        </w:rPr>
      </w:pPr>
      <w:r w:rsidRPr="00F111CD">
        <w:rPr>
          <w:sz w:val="20"/>
          <w:szCs w:val="20"/>
          <w:lang w:val="en-IN"/>
        </w:rPr>
        <w:t>REGRESSION ANALYSIS</w:t>
      </w:r>
    </w:p>
    <w:p w:rsidR="00A31701" w:rsidRPr="00F111CD" w:rsidRDefault="00A31701" w:rsidP="0021548C">
      <w:pPr>
        <w:jc w:val="both"/>
        <w:rPr>
          <w:sz w:val="20"/>
          <w:szCs w:val="20"/>
          <w:lang w:val="en-IN"/>
        </w:rPr>
      </w:pPr>
      <w:r w:rsidRPr="00F111CD">
        <w:rPr>
          <w:sz w:val="20"/>
          <w:szCs w:val="20"/>
          <w:lang w:val="en-IN"/>
        </w:rPr>
        <w:t xml:space="preserve">In the equation y = a + </w:t>
      </w:r>
      <w:proofErr w:type="spellStart"/>
      <w:r w:rsidRPr="00F111CD">
        <w:rPr>
          <w:sz w:val="20"/>
          <w:szCs w:val="20"/>
          <w:lang w:val="en-IN"/>
        </w:rPr>
        <w:t>bx</w:t>
      </w:r>
      <w:proofErr w:type="spellEnd"/>
    </w:p>
    <w:p w:rsidR="00A31701" w:rsidRPr="00F111CD" w:rsidRDefault="00A31701" w:rsidP="0021548C">
      <w:pPr>
        <w:jc w:val="both"/>
        <w:rPr>
          <w:sz w:val="20"/>
          <w:szCs w:val="20"/>
          <w:lang w:val="en-IN"/>
        </w:rPr>
      </w:pPr>
      <w:r w:rsidRPr="00F111CD">
        <w:rPr>
          <w:sz w:val="20"/>
          <w:szCs w:val="20"/>
          <w:lang w:val="en-IN"/>
        </w:rPr>
        <w:t>Taking y = Hamilton score and x = serum total cholesterol</w:t>
      </w:r>
    </w:p>
    <w:p w:rsidR="00A31701" w:rsidRPr="00F111CD" w:rsidRDefault="00A31701" w:rsidP="0021548C">
      <w:pPr>
        <w:jc w:val="both"/>
        <w:rPr>
          <w:sz w:val="20"/>
          <w:szCs w:val="20"/>
          <w:lang w:val="en-IN"/>
        </w:rPr>
      </w:pPr>
      <w:r w:rsidRPr="00F111CD">
        <w:rPr>
          <w:sz w:val="20"/>
          <w:szCs w:val="20"/>
          <w:lang w:val="en-IN"/>
        </w:rPr>
        <w:t>Regression analysis revealed that a = 28.96 and b= -0.102</w:t>
      </w:r>
    </w:p>
    <w:p w:rsidR="00A31701" w:rsidRPr="00F111CD" w:rsidRDefault="00A31701" w:rsidP="0021548C">
      <w:pPr>
        <w:jc w:val="both"/>
        <w:rPr>
          <w:sz w:val="20"/>
          <w:szCs w:val="20"/>
          <w:lang w:val="en-IN"/>
        </w:rPr>
      </w:pPr>
      <w:r w:rsidRPr="00F111CD">
        <w:rPr>
          <w:sz w:val="20"/>
          <w:szCs w:val="20"/>
          <w:lang w:val="en-IN"/>
        </w:rPr>
        <w:t>Now, the equation becomes,</w:t>
      </w:r>
    </w:p>
    <w:p w:rsidR="00A31701" w:rsidRPr="00F111CD" w:rsidRDefault="00A31701" w:rsidP="0021548C">
      <w:pPr>
        <w:jc w:val="both"/>
        <w:rPr>
          <w:sz w:val="20"/>
          <w:szCs w:val="20"/>
          <w:lang w:val="en-IN"/>
        </w:rPr>
      </w:pPr>
      <w:r w:rsidRPr="00F111CD">
        <w:rPr>
          <w:sz w:val="20"/>
          <w:szCs w:val="20"/>
          <w:lang w:val="en-IN"/>
        </w:rPr>
        <w:t>Hamilton score =28.96 - 0.102×serum cholesterol</w:t>
      </w:r>
    </w:p>
    <w:p w:rsidR="00F111CD" w:rsidRDefault="00A31701" w:rsidP="0021548C">
      <w:pPr>
        <w:jc w:val="both"/>
        <w:rPr>
          <w:sz w:val="20"/>
          <w:szCs w:val="20"/>
          <w:lang w:val="en-IN"/>
        </w:rPr>
      </w:pPr>
      <w:r w:rsidRPr="00F111CD">
        <w:rPr>
          <w:sz w:val="20"/>
          <w:szCs w:val="20"/>
          <w:lang w:val="en-IN"/>
        </w:rPr>
        <w:t>Thus, the Hamilton score can be calculated from the serum total cholesterol level.</w:t>
      </w:r>
    </w:p>
    <w:p w:rsidR="00426756" w:rsidRPr="00F111CD" w:rsidRDefault="00A31701" w:rsidP="0021548C">
      <w:pPr>
        <w:jc w:val="both"/>
        <w:rPr>
          <w:sz w:val="20"/>
          <w:szCs w:val="20"/>
          <w:lang w:val="en-IN"/>
        </w:rPr>
      </w:pPr>
      <w:r w:rsidRPr="00F111CD">
        <w:rPr>
          <w:b/>
          <w:sz w:val="22"/>
          <w:szCs w:val="22"/>
          <w:lang w:val="en-IN"/>
        </w:rPr>
        <w:t>DISCUSSION</w:t>
      </w:r>
      <w:r w:rsidRPr="00F111CD">
        <w:rPr>
          <w:sz w:val="20"/>
          <w:szCs w:val="20"/>
          <w:lang w:val="en-IN"/>
        </w:rPr>
        <w:t xml:space="preserve">: </w:t>
      </w:r>
    </w:p>
    <w:p w:rsidR="00426756" w:rsidRPr="00F111CD" w:rsidRDefault="00A31701" w:rsidP="0021548C">
      <w:pPr>
        <w:jc w:val="both"/>
        <w:rPr>
          <w:sz w:val="20"/>
          <w:szCs w:val="20"/>
          <w:lang w:val="en-IN"/>
        </w:rPr>
      </w:pPr>
      <w:r w:rsidRPr="00F111CD">
        <w:rPr>
          <w:sz w:val="20"/>
          <w:szCs w:val="20"/>
          <w:lang w:val="en-IN"/>
        </w:rPr>
        <w:t>Anita B. Kale et al (2014)</w:t>
      </w:r>
      <w:r w:rsidRPr="00F111CD">
        <w:rPr>
          <w:sz w:val="20"/>
          <w:szCs w:val="20"/>
          <w:vertAlign w:val="superscript"/>
          <w:lang w:val="en-IN"/>
        </w:rPr>
        <w:t>11</w:t>
      </w:r>
      <w:r w:rsidRPr="00F111CD">
        <w:rPr>
          <w:sz w:val="20"/>
          <w:szCs w:val="20"/>
          <w:lang w:val="en-IN"/>
        </w:rPr>
        <w:t xml:space="preserve"> in an Indian study found significantly low serum lipid levels in the study group as compared to the control </w:t>
      </w:r>
      <w:proofErr w:type="spellStart"/>
      <w:r w:rsidRPr="00F111CD">
        <w:rPr>
          <w:sz w:val="20"/>
          <w:szCs w:val="20"/>
          <w:lang w:val="en-IN"/>
        </w:rPr>
        <w:t>group.Our</w:t>
      </w:r>
      <w:proofErr w:type="spellEnd"/>
      <w:r w:rsidRPr="00F111CD">
        <w:rPr>
          <w:sz w:val="20"/>
          <w:szCs w:val="20"/>
          <w:lang w:val="en-IN"/>
        </w:rPr>
        <w:t xml:space="preserve"> study was also in agreement with findings of BN </w:t>
      </w:r>
      <w:proofErr w:type="spellStart"/>
      <w:r w:rsidRPr="00F111CD">
        <w:rPr>
          <w:sz w:val="20"/>
          <w:szCs w:val="20"/>
          <w:lang w:val="en-IN"/>
        </w:rPr>
        <w:t>Patra</w:t>
      </w:r>
      <w:proofErr w:type="spellEnd"/>
      <w:r w:rsidRPr="00F111CD">
        <w:rPr>
          <w:sz w:val="20"/>
          <w:szCs w:val="20"/>
          <w:lang w:val="en-IN"/>
        </w:rPr>
        <w:t xml:space="preserve"> et al (2014)</w:t>
      </w:r>
      <w:r w:rsidR="00426756" w:rsidRPr="00F111CD">
        <w:rPr>
          <w:sz w:val="20"/>
          <w:szCs w:val="20"/>
          <w:vertAlign w:val="superscript"/>
          <w:lang w:val="en-IN"/>
        </w:rPr>
        <w:t>12</w:t>
      </w:r>
      <w:r w:rsidRPr="00F111CD">
        <w:rPr>
          <w:sz w:val="20"/>
          <w:szCs w:val="20"/>
          <w:lang w:val="en-IN"/>
        </w:rPr>
        <w:t xml:space="preserve">and Marko </w:t>
      </w:r>
      <w:proofErr w:type="spellStart"/>
      <w:r w:rsidRPr="00F111CD">
        <w:rPr>
          <w:sz w:val="20"/>
          <w:szCs w:val="20"/>
          <w:lang w:val="en-IN"/>
        </w:rPr>
        <w:t>Martinac</w:t>
      </w:r>
      <w:proofErr w:type="spellEnd"/>
      <w:r w:rsidRPr="00F111CD">
        <w:rPr>
          <w:sz w:val="20"/>
          <w:szCs w:val="20"/>
          <w:lang w:val="en-IN"/>
        </w:rPr>
        <w:t xml:space="preserve"> et al (2007)</w:t>
      </w:r>
      <w:r w:rsidR="00987FA6" w:rsidRPr="00F111CD">
        <w:rPr>
          <w:sz w:val="20"/>
          <w:szCs w:val="20"/>
          <w:vertAlign w:val="superscript"/>
          <w:lang w:val="en-IN"/>
        </w:rPr>
        <w:t>1</w:t>
      </w:r>
      <w:r w:rsidR="00426756" w:rsidRPr="00F111CD">
        <w:rPr>
          <w:sz w:val="20"/>
          <w:szCs w:val="20"/>
          <w:vertAlign w:val="superscript"/>
          <w:lang w:val="en-IN"/>
        </w:rPr>
        <w:t>3</w:t>
      </w:r>
      <w:r w:rsidRPr="00F111CD">
        <w:rPr>
          <w:sz w:val="20"/>
          <w:szCs w:val="20"/>
          <w:lang w:val="en-IN"/>
        </w:rPr>
        <w:t xml:space="preserve"> with regard to serum total </w:t>
      </w:r>
      <w:proofErr w:type="spellStart"/>
      <w:r w:rsidRPr="00F111CD">
        <w:rPr>
          <w:sz w:val="20"/>
          <w:szCs w:val="20"/>
          <w:lang w:val="en-IN"/>
        </w:rPr>
        <w:t>cholesterol.Verma</w:t>
      </w:r>
      <w:proofErr w:type="spellEnd"/>
      <w:r w:rsidRPr="00F111CD">
        <w:rPr>
          <w:sz w:val="20"/>
          <w:szCs w:val="20"/>
          <w:lang w:val="en-IN"/>
        </w:rPr>
        <w:t xml:space="preserve"> et al(1999) in an Indian study in suicide attempters found total serum cholesterol, serum Triglyc</w:t>
      </w:r>
      <w:r w:rsidR="00987FA6" w:rsidRPr="00F111CD">
        <w:rPr>
          <w:sz w:val="20"/>
          <w:szCs w:val="20"/>
          <w:lang w:val="en-IN"/>
        </w:rPr>
        <w:t>eride, LDL levels and HDL-cholesterol</w:t>
      </w:r>
      <w:r w:rsidRPr="00F111CD">
        <w:rPr>
          <w:sz w:val="20"/>
          <w:szCs w:val="20"/>
          <w:lang w:val="en-IN"/>
        </w:rPr>
        <w:t xml:space="preserve"> to be lower in suicide attempters but were not statistically significant</w:t>
      </w:r>
      <w:r w:rsidR="00426756" w:rsidRPr="00F111CD">
        <w:rPr>
          <w:sz w:val="20"/>
          <w:szCs w:val="20"/>
          <w:vertAlign w:val="superscript"/>
          <w:lang w:val="en-IN"/>
        </w:rPr>
        <w:t>14</w:t>
      </w:r>
      <w:r w:rsidR="00C95347" w:rsidRPr="00F111CD">
        <w:rPr>
          <w:sz w:val="20"/>
          <w:szCs w:val="20"/>
          <w:lang w:val="en-IN"/>
        </w:rPr>
        <w:t>.Lower HDL-Cholesterol was also observed by Anita B. Kale et al (2014)</w:t>
      </w:r>
      <w:r w:rsidR="00C95347" w:rsidRPr="00F111CD">
        <w:rPr>
          <w:sz w:val="20"/>
          <w:szCs w:val="20"/>
          <w:vertAlign w:val="superscript"/>
          <w:lang w:val="en-IN"/>
        </w:rPr>
        <w:t>11</w:t>
      </w:r>
      <w:r w:rsidR="00426756" w:rsidRPr="00F111CD">
        <w:rPr>
          <w:sz w:val="20"/>
          <w:szCs w:val="20"/>
          <w:lang w:val="en-IN"/>
        </w:rPr>
        <w:t>.</w:t>
      </w:r>
    </w:p>
    <w:p w:rsidR="00A31701" w:rsidRPr="00F111CD" w:rsidRDefault="00A31701" w:rsidP="0021548C">
      <w:pPr>
        <w:jc w:val="both"/>
        <w:rPr>
          <w:sz w:val="20"/>
          <w:szCs w:val="20"/>
          <w:lang w:val="en-IN"/>
        </w:rPr>
      </w:pPr>
      <w:r w:rsidRPr="00F111CD">
        <w:rPr>
          <w:sz w:val="20"/>
          <w:szCs w:val="20"/>
          <w:lang w:val="en-IN"/>
        </w:rPr>
        <w:t>When analysed gender wise serum total cholesterol was found to be lower in the depressed study participants than in the healthy controls in both the genders,</w:t>
      </w:r>
      <w:r w:rsidR="00882A61" w:rsidRPr="00F111CD">
        <w:rPr>
          <w:sz w:val="20"/>
          <w:szCs w:val="20"/>
          <w:lang w:val="en-IN"/>
        </w:rPr>
        <w:t xml:space="preserve"> and different age groups; but results were not</w:t>
      </w:r>
      <w:r w:rsidRPr="00F111CD">
        <w:rPr>
          <w:sz w:val="20"/>
          <w:szCs w:val="20"/>
          <w:lang w:val="en-IN"/>
        </w:rPr>
        <w:t xml:space="preserve"> statistically significant</w:t>
      </w:r>
      <w:r w:rsidR="00882A61" w:rsidRPr="00F111CD">
        <w:rPr>
          <w:sz w:val="20"/>
          <w:szCs w:val="20"/>
          <w:lang w:val="en-IN"/>
        </w:rPr>
        <w:t>.</w:t>
      </w:r>
    </w:p>
    <w:p w:rsidR="00A31701" w:rsidRPr="00F111CD" w:rsidRDefault="00A31701" w:rsidP="0021548C">
      <w:pPr>
        <w:jc w:val="both"/>
        <w:rPr>
          <w:sz w:val="20"/>
          <w:szCs w:val="20"/>
          <w:lang w:val="en-IN"/>
        </w:rPr>
      </w:pPr>
      <w:r w:rsidRPr="00F111CD">
        <w:rPr>
          <w:sz w:val="20"/>
          <w:szCs w:val="20"/>
          <w:lang w:val="en-IN"/>
        </w:rPr>
        <w:t xml:space="preserve">When analysed according to severity of depression, lowest value of total serum cholesterol was found in the severe depression cases. Statistically significant difference was seen on comparing the mild and the </w:t>
      </w:r>
      <w:proofErr w:type="gramStart"/>
      <w:r w:rsidRPr="00F111CD">
        <w:rPr>
          <w:sz w:val="20"/>
          <w:szCs w:val="20"/>
          <w:lang w:val="en-IN"/>
        </w:rPr>
        <w:t>moderate(</w:t>
      </w:r>
      <w:proofErr w:type="gramEnd"/>
      <w:r w:rsidRPr="00F111CD">
        <w:rPr>
          <w:sz w:val="20"/>
          <w:szCs w:val="20"/>
          <w:lang w:val="en-IN"/>
        </w:rPr>
        <w:t xml:space="preserve">p&lt;0.001), and mild and the severe(p&lt;0.001). However, there was no statistically significant difference between the moderate and the severe </w:t>
      </w:r>
      <w:proofErr w:type="gramStart"/>
      <w:r w:rsidRPr="00F111CD">
        <w:rPr>
          <w:sz w:val="20"/>
          <w:szCs w:val="20"/>
          <w:lang w:val="en-IN"/>
        </w:rPr>
        <w:t>group(</w:t>
      </w:r>
      <w:proofErr w:type="gramEnd"/>
      <w:r w:rsidRPr="00F111CD">
        <w:rPr>
          <w:sz w:val="20"/>
          <w:szCs w:val="20"/>
          <w:lang w:val="en-IN"/>
        </w:rPr>
        <w:t>p&gt;0.05).</w:t>
      </w:r>
    </w:p>
    <w:p w:rsidR="00A31701" w:rsidRPr="00F111CD" w:rsidRDefault="00A31701" w:rsidP="0021548C">
      <w:pPr>
        <w:jc w:val="both"/>
        <w:rPr>
          <w:sz w:val="20"/>
          <w:szCs w:val="20"/>
          <w:vertAlign w:val="superscript"/>
          <w:lang w:val="en-IN"/>
        </w:rPr>
      </w:pPr>
      <w:r w:rsidRPr="00F111CD">
        <w:rPr>
          <w:sz w:val="20"/>
          <w:szCs w:val="20"/>
          <w:lang w:val="en-IN"/>
        </w:rPr>
        <w:t xml:space="preserve">The above finding was consistent with a </w:t>
      </w:r>
      <w:proofErr w:type="spellStart"/>
      <w:r w:rsidRPr="00F111CD">
        <w:rPr>
          <w:sz w:val="20"/>
          <w:szCs w:val="20"/>
          <w:lang w:val="en-IN"/>
        </w:rPr>
        <w:t>metaanalysis</w:t>
      </w:r>
      <w:proofErr w:type="spellEnd"/>
      <w:r w:rsidRPr="00F111CD">
        <w:rPr>
          <w:sz w:val="20"/>
          <w:szCs w:val="20"/>
          <w:lang w:val="en-IN"/>
        </w:rPr>
        <w:t xml:space="preserve"> which found that higher TC was associated with lower levels of depression, and this association was substantially larger among medication-free samples.</w:t>
      </w:r>
      <w:r w:rsidR="00426756" w:rsidRPr="00F111CD">
        <w:rPr>
          <w:sz w:val="20"/>
          <w:szCs w:val="20"/>
          <w:vertAlign w:val="superscript"/>
          <w:lang w:val="en-IN"/>
        </w:rPr>
        <w:t>15</w:t>
      </w:r>
    </w:p>
    <w:p w:rsidR="00C95347" w:rsidRPr="00F111CD" w:rsidRDefault="00C95347" w:rsidP="0021548C">
      <w:pPr>
        <w:jc w:val="both"/>
        <w:rPr>
          <w:sz w:val="20"/>
          <w:szCs w:val="20"/>
          <w:vertAlign w:val="superscript"/>
          <w:lang w:val="en-IN"/>
        </w:rPr>
      </w:pPr>
      <w:r w:rsidRPr="00F111CD">
        <w:rPr>
          <w:sz w:val="20"/>
          <w:szCs w:val="20"/>
          <w:lang w:val="en-IN"/>
        </w:rPr>
        <w:t>On gender wise analysis, serum HDL was found to be lower in the depressed study participants than in the healthy controls in both the genders, and it was statistically significant in the males (p&lt;0.01).When analysed in the different age groups, serum HDL was found to be lower in the cases than in the controls of all ages but the findings were not statistically significant</w:t>
      </w:r>
      <w:r w:rsidRPr="00F111CD">
        <w:rPr>
          <w:sz w:val="20"/>
          <w:szCs w:val="20"/>
          <w:vertAlign w:val="superscript"/>
          <w:lang w:val="en-IN"/>
        </w:rPr>
        <w:t>.</w:t>
      </w:r>
    </w:p>
    <w:p w:rsidR="00C95347" w:rsidRPr="00F111CD" w:rsidRDefault="00882A61" w:rsidP="0021548C">
      <w:pPr>
        <w:jc w:val="both"/>
        <w:rPr>
          <w:sz w:val="20"/>
          <w:szCs w:val="20"/>
          <w:lang w:val="en-IN"/>
        </w:rPr>
      </w:pPr>
      <w:r w:rsidRPr="00F111CD">
        <w:rPr>
          <w:sz w:val="20"/>
          <w:szCs w:val="20"/>
          <w:lang w:val="en-IN"/>
        </w:rPr>
        <w:t xml:space="preserve">When we </w:t>
      </w:r>
      <w:r w:rsidR="00C95347" w:rsidRPr="00F111CD">
        <w:rPr>
          <w:sz w:val="20"/>
          <w:szCs w:val="20"/>
          <w:lang w:val="en-IN"/>
        </w:rPr>
        <w:t xml:space="preserve">analysed </w:t>
      </w:r>
      <w:r w:rsidRPr="00F111CD">
        <w:rPr>
          <w:sz w:val="20"/>
          <w:szCs w:val="20"/>
          <w:lang w:val="en-IN"/>
        </w:rPr>
        <w:t xml:space="preserve">HDL-cholesterol </w:t>
      </w:r>
      <w:r w:rsidR="00C95347" w:rsidRPr="00F111CD">
        <w:rPr>
          <w:sz w:val="20"/>
          <w:szCs w:val="20"/>
          <w:lang w:val="en-IN"/>
        </w:rPr>
        <w:t>according to severity of depression, lowest value was found</w:t>
      </w:r>
      <w:r w:rsidRPr="00F111CD">
        <w:rPr>
          <w:sz w:val="20"/>
          <w:szCs w:val="20"/>
          <w:lang w:val="en-IN"/>
        </w:rPr>
        <w:t xml:space="preserve"> in the severe depression </w:t>
      </w:r>
      <w:proofErr w:type="spellStart"/>
      <w:r w:rsidRPr="00F111CD">
        <w:rPr>
          <w:sz w:val="20"/>
          <w:szCs w:val="20"/>
          <w:lang w:val="en-IN"/>
        </w:rPr>
        <w:t>cases.</w:t>
      </w:r>
      <w:r w:rsidR="00C95347" w:rsidRPr="00F111CD">
        <w:rPr>
          <w:sz w:val="20"/>
          <w:szCs w:val="20"/>
          <w:lang w:val="en-IN"/>
        </w:rPr>
        <w:t>However</w:t>
      </w:r>
      <w:proofErr w:type="spellEnd"/>
      <w:r w:rsidR="00C95347" w:rsidRPr="00F111CD">
        <w:rPr>
          <w:sz w:val="20"/>
          <w:szCs w:val="20"/>
          <w:lang w:val="en-IN"/>
        </w:rPr>
        <w:t>, the difference in the mean values of serum HDL was not statistically significant</w:t>
      </w:r>
      <w:r w:rsidRPr="00F111CD">
        <w:rPr>
          <w:sz w:val="20"/>
          <w:szCs w:val="20"/>
          <w:lang w:val="en-IN"/>
        </w:rPr>
        <w:t>.</w:t>
      </w:r>
      <w:r w:rsidR="00C95347" w:rsidRPr="00F111CD">
        <w:rPr>
          <w:sz w:val="20"/>
          <w:szCs w:val="20"/>
          <w:lang w:val="en-IN"/>
        </w:rPr>
        <w:t>(p&gt;0.05).</w:t>
      </w:r>
    </w:p>
    <w:p w:rsidR="00C95347" w:rsidRPr="00F111CD" w:rsidRDefault="00C95347" w:rsidP="0021548C">
      <w:pPr>
        <w:jc w:val="both"/>
        <w:rPr>
          <w:sz w:val="20"/>
          <w:szCs w:val="20"/>
          <w:lang w:val="en-IN"/>
        </w:rPr>
      </w:pPr>
      <w:r w:rsidRPr="00F111CD">
        <w:rPr>
          <w:sz w:val="20"/>
          <w:szCs w:val="20"/>
          <w:lang w:val="en-IN"/>
        </w:rPr>
        <w:t xml:space="preserve">Low cholesterol in depression may be explained by the cholesterol serotonin hypothesis. This hypothesis states that reduction of serum TC may decrease brain cell membrane cholesterol and thereby lowering </w:t>
      </w:r>
      <w:proofErr w:type="spellStart"/>
      <w:r w:rsidRPr="00F111CD">
        <w:rPr>
          <w:sz w:val="20"/>
          <w:szCs w:val="20"/>
          <w:lang w:val="en-IN"/>
        </w:rPr>
        <w:t>microviscosity</w:t>
      </w:r>
      <w:proofErr w:type="spellEnd"/>
      <w:r w:rsidRPr="00F111CD">
        <w:rPr>
          <w:sz w:val="20"/>
          <w:szCs w:val="20"/>
          <w:lang w:val="en-IN"/>
        </w:rPr>
        <w:t xml:space="preserve"> of the cell membrane and subsequently decreasing the exposure of protein serotonin receptor on the membrane surface resulting in poorer uptake of serotonin from blood and less serotonin into brain cells leading to depression.</w:t>
      </w:r>
      <w:r w:rsidR="00426756" w:rsidRPr="00F111CD">
        <w:rPr>
          <w:sz w:val="20"/>
          <w:szCs w:val="20"/>
          <w:vertAlign w:val="superscript"/>
          <w:lang w:val="en-IN"/>
        </w:rPr>
        <w:t>16</w:t>
      </w:r>
    </w:p>
    <w:p w:rsidR="00A31701" w:rsidRPr="00F111CD" w:rsidRDefault="00C95347" w:rsidP="0021548C">
      <w:pPr>
        <w:jc w:val="both"/>
        <w:rPr>
          <w:sz w:val="20"/>
          <w:szCs w:val="20"/>
          <w:lang w:val="en-IN"/>
        </w:rPr>
      </w:pPr>
      <w:proofErr w:type="spellStart"/>
      <w:r w:rsidRPr="00F111CD">
        <w:rPr>
          <w:sz w:val="20"/>
          <w:szCs w:val="20"/>
          <w:lang w:val="en-IN"/>
        </w:rPr>
        <w:lastRenderedPageBreak/>
        <w:t>PenttinenJ</w:t>
      </w:r>
      <w:proofErr w:type="spellEnd"/>
      <w:r w:rsidRPr="00F111CD">
        <w:rPr>
          <w:sz w:val="20"/>
          <w:szCs w:val="20"/>
          <w:lang w:val="en-IN"/>
        </w:rPr>
        <w:t>(1995) suggested another possible mechanism that interleukin-2 lowers cholesterol and increases triglycerides and also suppresses melatonin secretion, thus causing depression and suicidal tendencies.</w:t>
      </w:r>
      <w:r w:rsidRPr="00F111CD">
        <w:rPr>
          <w:sz w:val="20"/>
          <w:szCs w:val="20"/>
          <w:vertAlign w:val="superscript"/>
          <w:lang w:val="en-IN"/>
        </w:rPr>
        <w:t>1</w:t>
      </w:r>
      <w:r w:rsidR="00426756" w:rsidRPr="00F111CD">
        <w:rPr>
          <w:sz w:val="20"/>
          <w:szCs w:val="20"/>
          <w:vertAlign w:val="superscript"/>
          <w:lang w:val="en-IN"/>
        </w:rPr>
        <w:t>7</w:t>
      </w:r>
    </w:p>
    <w:p w:rsidR="00EC2663" w:rsidRPr="00EC2663" w:rsidRDefault="00C95347" w:rsidP="00EC2663">
      <w:pPr>
        <w:jc w:val="both"/>
        <w:rPr>
          <w:sz w:val="20"/>
          <w:szCs w:val="20"/>
          <w:vertAlign w:val="superscript"/>
          <w:lang w:val="en-IN"/>
        </w:rPr>
      </w:pPr>
      <w:r w:rsidRPr="00F111CD">
        <w:rPr>
          <w:sz w:val="20"/>
          <w:szCs w:val="20"/>
          <w:lang w:val="en-IN"/>
        </w:rPr>
        <w:t xml:space="preserve">Low serum HDL in depression was consistent with the findings of </w:t>
      </w:r>
      <w:proofErr w:type="spellStart"/>
      <w:r w:rsidRPr="00F111CD">
        <w:rPr>
          <w:sz w:val="20"/>
          <w:szCs w:val="20"/>
          <w:lang w:val="en-IN"/>
        </w:rPr>
        <w:t>M</w:t>
      </w:r>
      <w:r w:rsidR="00882A61" w:rsidRPr="00F111CD">
        <w:rPr>
          <w:sz w:val="20"/>
          <w:szCs w:val="20"/>
          <w:lang w:val="en-IN"/>
        </w:rPr>
        <w:t>aes</w:t>
      </w:r>
      <w:proofErr w:type="spellEnd"/>
      <w:r w:rsidR="00882A61" w:rsidRPr="00F111CD">
        <w:rPr>
          <w:sz w:val="20"/>
          <w:szCs w:val="20"/>
          <w:lang w:val="en-IN"/>
        </w:rPr>
        <w:t xml:space="preserve"> et al. It was suggested</w:t>
      </w:r>
      <w:r w:rsidRPr="00F111CD">
        <w:rPr>
          <w:sz w:val="20"/>
          <w:szCs w:val="20"/>
          <w:lang w:val="en-IN"/>
        </w:rPr>
        <w:t xml:space="preserve"> that (</w:t>
      </w:r>
      <w:proofErr w:type="spellStart"/>
      <w:r w:rsidRPr="00F111CD">
        <w:rPr>
          <w:sz w:val="20"/>
          <w:szCs w:val="20"/>
          <w:lang w:val="en-IN"/>
        </w:rPr>
        <w:t>i</w:t>
      </w:r>
      <w:proofErr w:type="spellEnd"/>
      <w:r w:rsidRPr="00F111CD">
        <w:rPr>
          <w:sz w:val="20"/>
          <w:szCs w:val="20"/>
          <w:lang w:val="en-IN"/>
        </w:rPr>
        <w:t xml:space="preserve">) </w:t>
      </w:r>
      <w:r w:rsidR="00EC2663" w:rsidRPr="00EC2663">
        <w:rPr>
          <w:sz w:val="20"/>
          <w:szCs w:val="20"/>
          <w:lang w:val="en-IN"/>
        </w:rPr>
        <w:t>lower serum HDL-C levels are a marker for major depression and suicidal behaviour in depressed men, (ii) lower serum HDL-C levels are probably induced by the immune/inflammatory response in depression and (iii) there is impairment of reverse cholesterol transport from the body tissues to the liver.</w:t>
      </w:r>
      <w:r w:rsidR="00EC2663" w:rsidRPr="00EC2663">
        <w:rPr>
          <w:sz w:val="20"/>
          <w:szCs w:val="20"/>
          <w:vertAlign w:val="superscript"/>
          <w:lang w:val="en-IN"/>
        </w:rPr>
        <w:t>18</w:t>
      </w:r>
    </w:p>
    <w:p w:rsidR="00EC2663" w:rsidRPr="00EC2663" w:rsidRDefault="00EC2663" w:rsidP="00EC2663">
      <w:pPr>
        <w:jc w:val="both"/>
        <w:rPr>
          <w:sz w:val="20"/>
          <w:szCs w:val="20"/>
          <w:lang w:val="en-IN"/>
        </w:rPr>
      </w:pPr>
      <w:r w:rsidRPr="00EC2663">
        <w:rPr>
          <w:sz w:val="20"/>
          <w:szCs w:val="20"/>
          <w:lang w:val="en-IN"/>
        </w:rPr>
        <w:t>Grading of depression cases was done using the Hamilton Scale which is a purely subjective scale, so there might be overlapping of symptoms and it is also difficult to differentiate borderline cases. This may be a cause for non significant results in the moderate vs. severe group comparison.</w:t>
      </w:r>
    </w:p>
    <w:p w:rsidR="00EC2663" w:rsidRPr="00EC2663" w:rsidRDefault="00EC2663" w:rsidP="00EC2663">
      <w:pPr>
        <w:jc w:val="both"/>
        <w:rPr>
          <w:sz w:val="20"/>
          <w:szCs w:val="20"/>
          <w:lang w:val="en-IN"/>
        </w:rPr>
      </w:pPr>
      <w:r w:rsidRPr="00EC2663">
        <w:rPr>
          <w:b/>
          <w:sz w:val="20"/>
          <w:szCs w:val="20"/>
          <w:lang w:val="en-IN"/>
        </w:rPr>
        <w:t>CONCLUSION</w:t>
      </w:r>
      <w:r w:rsidRPr="00EC2663">
        <w:rPr>
          <w:sz w:val="20"/>
          <w:szCs w:val="20"/>
          <w:lang w:val="en-IN"/>
        </w:rPr>
        <w:t>:</w:t>
      </w:r>
    </w:p>
    <w:p w:rsidR="00EC2663" w:rsidRPr="00EC2663" w:rsidRDefault="00EC2663" w:rsidP="00EC2663">
      <w:pPr>
        <w:jc w:val="both"/>
        <w:rPr>
          <w:sz w:val="20"/>
          <w:szCs w:val="20"/>
          <w:lang w:val="en-IN"/>
        </w:rPr>
      </w:pPr>
      <w:r w:rsidRPr="00EC2663">
        <w:rPr>
          <w:sz w:val="20"/>
          <w:szCs w:val="20"/>
          <w:lang w:val="en-IN"/>
        </w:rPr>
        <w:t xml:space="preserve">From the present study, it was observed that total cholesterol and HDL-cholesterol was significantly lower in patients with depression patients as compared to age and sex matched healthy controls. In addition, serum total cholesterol concentration showed a declining trend as the disease progressed from mild to severe. Individuals with low levels of cholesterol could be screened for depression so that corrective measures are taken at the earliest to prevent deaths from suicides. It could be further argued that serum total cholesterol may serve as a prognostic marker for disease conversion from mild to severe which would go a long way in decreasing the social burden </w:t>
      </w:r>
      <w:proofErr w:type="gramStart"/>
      <w:r w:rsidRPr="00EC2663">
        <w:rPr>
          <w:sz w:val="20"/>
          <w:szCs w:val="20"/>
          <w:lang w:val="en-IN"/>
        </w:rPr>
        <w:t xml:space="preserve">of  </w:t>
      </w:r>
      <w:proofErr w:type="spellStart"/>
      <w:r w:rsidRPr="00EC2663">
        <w:rPr>
          <w:sz w:val="20"/>
          <w:szCs w:val="20"/>
          <w:lang w:val="en-IN"/>
        </w:rPr>
        <w:t>thedisease.However</w:t>
      </w:r>
      <w:proofErr w:type="spellEnd"/>
      <w:proofErr w:type="gramEnd"/>
      <w:r w:rsidRPr="00EC2663">
        <w:rPr>
          <w:sz w:val="20"/>
          <w:szCs w:val="20"/>
          <w:lang w:val="en-IN"/>
        </w:rPr>
        <w:t xml:space="preserve">. </w:t>
      </w:r>
      <w:proofErr w:type="gramStart"/>
      <w:r w:rsidRPr="00EC2663">
        <w:rPr>
          <w:sz w:val="20"/>
          <w:szCs w:val="20"/>
          <w:lang w:val="en-IN"/>
        </w:rPr>
        <w:t>a</w:t>
      </w:r>
      <w:proofErr w:type="gramEnd"/>
      <w:r w:rsidRPr="00EC2663">
        <w:rPr>
          <w:sz w:val="20"/>
          <w:szCs w:val="20"/>
          <w:lang w:val="en-IN"/>
        </w:rPr>
        <w:t xml:space="preserve"> larger sample size, longer duration of study and inclusion of drug-naïve cases could have helped in conclusively settling the debate on the stellar role of cholesterol in depression.</w:t>
      </w:r>
    </w:p>
    <w:p w:rsidR="00EC2663" w:rsidRPr="00EC2663" w:rsidRDefault="00EC2663" w:rsidP="00EC2663">
      <w:pPr>
        <w:jc w:val="both"/>
        <w:rPr>
          <w:sz w:val="20"/>
          <w:szCs w:val="20"/>
          <w:lang w:val="en-IN"/>
        </w:rPr>
      </w:pPr>
      <w:r w:rsidRPr="00EC2663">
        <w:rPr>
          <w:b/>
          <w:sz w:val="20"/>
          <w:szCs w:val="20"/>
          <w:lang w:val="en-IN"/>
        </w:rPr>
        <w:t>ACKNOWLEDGEMENTS</w:t>
      </w:r>
      <w:r w:rsidRPr="00EC2663">
        <w:rPr>
          <w:sz w:val="20"/>
          <w:szCs w:val="20"/>
          <w:lang w:val="en-IN"/>
        </w:rPr>
        <w:t>: Department of Biotechnology</w:t>
      </w:r>
    </w:p>
    <w:p w:rsidR="00EC2663" w:rsidRPr="00EC2663" w:rsidRDefault="00EC2663" w:rsidP="00EC2663">
      <w:pPr>
        <w:jc w:val="both"/>
        <w:rPr>
          <w:sz w:val="20"/>
          <w:szCs w:val="20"/>
        </w:rPr>
      </w:pPr>
      <w:r w:rsidRPr="00EC2663">
        <w:rPr>
          <w:b/>
          <w:sz w:val="20"/>
          <w:szCs w:val="20"/>
          <w:lang w:val="en-IN"/>
        </w:rPr>
        <w:t>CONFLICT OF INTEREST</w:t>
      </w:r>
      <w:r w:rsidRPr="00EC2663">
        <w:rPr>
          <w:sz w:val="20"/>
          <w:szCs w:val="20"/>
          <w:lang w:val="en-IN"/>
        </w:rPr>
        <w:t>:</w:t>
      </w:r>
      <w:r w:rsidRPr="00EC2663">
        <w:rPr>
          <w:sz w:val="20"/>
          <w:szCs w:val="20"/>
        </w:rPr>
        <w:t xml:space="preserve"> "No conflict of interest associated with this work".</w:t>
      </w:r>
    </w:p>
    <w:p w:rsidR="00EC2663" w:rsidRPr="00EC2663" w:rsidRDefault="00EC2663" w:rsidP="00EC2663">
      <w:pPr>
        <w:jc w:val="both"/>
        <w:rPr>
          <w:bCs/>
          <w:sz w:val="20"/>
          <w:szCs w:val="20"/>
        </w:rPr>
      </w:pPr>
      <w:r w:rsidRPr="00EC2663">
        <w:rPr>
          <w:b/>
          <w:bCs/>
          <w:sz w:val="20"/>
          <w:szCs w:val="20"/>
        </w:rPr>
        <w:t xml:space="preserve">ETHICAL CLEARANCE: </w:t>
      </w:r>
      <w:r w:rsidRPr="00EC2663">
        <w:rPr>
          <w:bCs/>
          <w:sz w:val="20"/>
          <w:szCs w:val="20"/>
        </w:rPr>
        <w:t>Ethical clearance was obtained from the Institutional Ethics Committee.</w:t>
      </w:r>
    </w:p>
    <w:p w:rsidR="00EC2663" w:rsidRPr="00EC2663" w:rsidRDefault="00EC2663" w:rsidP="00EC2663">
      <w:pPr>
        <w:jc w:val="both"/>
        <w:rPr>
          <w:sz w:val="20"/>
          <w:szCs w:val="20"/>
        </w:rPr>
      </w:pPr>
      <w:r w:rsidRPr="00EC2663">
        <w:rPr>
          <w:b/>
          <w:bCs/>
          <w:sz w:val="20"/>
          <w:szCs w:val="20"/>
        </w:rPr>
        <w:t xml:space="preserve">SOURCE OF FUNDING: </w:t>
      </w:r>
      <w:r w:rsidRPr="00EC2663">
        <w:rPr>
          <w:bCs/>
          <w:sz w:val="20"/>
          <w:szCs w:val="20"/>
        </w:rPr>
        <w:t>Department of Biotechnology</w:t>
      </w:r>
    </w:p>
    <w:p w:rsidR="00EC2663" w:rsidRPr="00EC2663" w:rsidRDefault="00EC2663" w:rsidP="00EC2663">
      <w:pPr>
        <w:jc w:val="both"/>
        <w:rPr>
          <w:sz w:val="20"/>
          <w:szCs w:val="20"/>
        </w:rPr>
      </w:pPr>
      <w:r w:rsidRPr="00EC2663">
        <w:rPr>
          <w:b/>
          <w:sz w:val="20"/>
          <w:szCs w:val="20"/>
        </w:rPr>
        <w:t>CONTRIBUTION OF AUTHORS</w:t>
      </w:r>
      <w:r w:rsidRPr="00EC2663">
        <w:rPr>
          <w:sz w:val="20"/>
          <w:szCs w:val="20"/>
        </w:rPr>
        <w:t>: "I (We) declare that this work was done by the author(s) named in this article and all liabilities pertaining to claims relating to the content of this article will be borne by the authors".</w:t>
      </w:r>
    </w:p>
    <w:p w:rsidR="00EC2663" w:rsidRPr="00EC2663" w:rsidRDefault="00EC2663" w:rsidP="00EC2663">
      <w:pPr>
        <w:jc w:val="both"/>
        <w:rPr>
          <w:i/>
          <w:sz w:val="20"/>
          <w:szCs w:val="20"/>
        </w:rPr>
      </w:pPr>
      <w:r w:rsidRPr="00EC2663">
        <w:rPr>
          <w:sz w:val="20"/>
          <w:szCs w:val="20"/>
        </w:rPr>
        <w:t>Conceived and designed by</w:t>
      </w:r>
      <w:proofErr w:type="spellStart"/>
      <w:r w:rsidRPr="00EC2663">
        <w:rPr>
          <w:i/>
          <w:sz w:val="20"/>
          <w:szCs w:val="20"/>
          <w:lang w:val="en-IN"/>
        </w:rPr>
        <w:t>Dr.Baruah</w:t>
      </w:r>
      <w:proofErr w:type="spellEnd"/>
      <w:r w:rsidRPr="00EC2663">
        <w:rPr>
          <w:i/>
          <w:sz w:val="20"/>
          <w:szCs w:val="20"/>
          <w:lang w:val="en-IN"/>
        </w:rPr>
        <w:t xml:space="preserve"> </w:t>
      </w:r>
      <w:proofErr w:type="spellStart"/>
      <w:r w:rsidRPr="00EC2663">
        <w:rPr>
          <w:i/>
          <w:sz w:val="20"/>
          <w:szCs w:val="20"/>
          <w:lang w:val="en-IN"/>
        </w:rPr>
        <w:t>Jahnabi</w:t>
      </w:r>
      <w:proofErr w:type="spellEnd"/>
      <w:r w:rsidRPr="00EC2663">
        <w:rPr>
          <w:sz w:val="20"/>
          <w:szCs w:val="20"/>
        </w:rPr>
        <w:t xml:space="preserve">under the guidance of </w:t>
      </w:r>
      <w:r w:rsidRPr="00EC2663">
        <w:rPr>
          <w:i/>
          <w:sz w:val="20"/>
          <w:szCs w:val="20"/>
        </w:rPr>
        <w:t xml:space="preserve">Dr. (Mrs.) </w:t>
      </w:r>
      <w:proofErr w:type="spellStart"/>
      <w:r w:rsidRPr="00EC2663">
        <w:rPr>
          <w:i/>
          <w:sz w:val="20"/>
          <w:szCs w:val="20"/>
        </w:rPr>
        <w:t>Teli</w:t>
      </w:r>
      <w:proofErr w:type="spellEnd"/>
      <w:r w:rsidRPr="00EC2663">
        <w:rPr>
          <w:i/>
          <w:sz w:val="20"/>
          <w:szCs w:val="20"/>
        </w:rPr>
        <w:t xml:space="preserve"> </w:t>
      </w:r>
      <w:proofErr w:type="spellStart"/>
      <w:r w:rsidRPr="00EC2663">
        <w:rPr>
          <w:i/>
          <w:sz w:val="20"/>
          <w:szCs w:val="20"/>
        </w:rPr>
        <w:t>Barhai</w:t>
      </w:r>
      <w:proofErr w:type="spellEnd"/>
      <w:r w:rsidRPr="00EC2663">
        <w:rPr>
          <w:i/>
          <w:sz w:val="20"/>
          <w:szCs w:val="20"/>
        </w:rPr>
        <w:t xml:space="preserve"> </w:t>
      </w:r>
      <w:proofErr w:type="spellStart"/>
      <w:proofErr w:type="gramStart"/>
      <w:r w:rsidRPr="00EC2663">
        <w:rPr>
          <w:i/>
          <w:sz w:val="20"/>
          <w:szCs w:val="20"/>
        </w:rPr>
        <w:t>Anju</w:t>
      </w:r>
      <w:proofErr w:type="spellEnd"/>
      <w:r w:rsidRPr="00EC2663">
        <w:rPr>
          <w:i/>
          <w:sz w:val="20"/>
          <w:szCs w:val="20"/>
        </w:rPr>
        <w:t xml:space="preserve"> ,</w:t>
      </w:r>
      <w:proofErr w:type="spellStart"/>
      <w:r w:rsidRPr="00EC2663">
        <w:rPr>
          <w:i/>
          <w:sz w:val="20"/>
          <w:szCs w:val="20"/>
        </w:rPr>
        <w:t>Dr.Goswami</w:t>
      </w:r>
      <w:proofErr w:type="spellEnd"/>
      <w:proofErr w:type="gramEnd"/>
      <w:r w:rsidRPr="00EC2663">
        <w:rPr>
          <w:i/>
          <w:sz w:val="20"/>
          <w:szCs w:val="20"/>
        </w:rPr>
        <w:t xml:space="preserve"> Kumar </w:t>
      </w:r>
      <w:proofErr w:type="spellStart"/>
      <w:r w:rsidRPr="00EC2663">
        <w:rPr>
          <w:i/>
          <w:sz w:val="20"/>
          <w:szCs w:val="20"/>
        </w:rPr>
        <w:t>Hiranya</w:t>
      </w:r>
      <w:proofErr w:type="spellEnd"/>
    </w:p>
    <w:p w:rsidR="00EC2663" w:rsidRPr="00EC2663" w:rsidRDefault="00EC2663" w:rsidP="00EC2663">
      <w:pPr>
        <w:jc w:val="both"/>
        <w:rPr>
          <w:sz w:val="20"/>
          <w:szCs w:val="20"/>
          <w:lang w:val="en-IN"/>
        </w:rPr>
      </w:pPr>
      <w:r w:rsidRPr="00EC2663">
        <w:rPr>
          <w:sz w:val="20"/>
          <w:szCs w:val="20"/>
        </w:rPr>
        <w:t xml:space="preserve">Data collected and analyzed by </w:t>
      </w:r>
      <w:proofErr w:type="spellStart"/>
      <w:r w:rsidRPr="00EC2663">
        <w:rPr>
          <w:i/>
          <w:sz w:val="20"/>
          <w:szCs w:val="20"/>
          <w:lang w:val="en-IN"/>
        </w:rPr>
        <w:t>Dr.Baruah</w:t>
      </w:r>
      <w:proofErr w:type="spellEnd"/>
      <w:r w:rsidRPr="00EC2663">
        <w:rPr>
          <w:i/>
          <w:sz w:val="20"/>
          <w:szCs w:val="20"/>
          <w:lang w:val="en-IN"/>
        </w:rPr>
        <w:t xml:space="preserve"> </w:t>
      </w:r>
      <w:proofErr w:type="spellStart"/>
      <w:r w:rsidRPr="00EC2663">
        <w:rPr>
          <w:i/>
          <w:sz w:val="20"/>
          <w:szCs w:val="20"/>
          <w:lang w:val="en-IN"/>
        </w:rPr>
        <w:t>Jahnabi</w:t>
      </w:r>
      <w:proofErr w:type="spellEnd"/>
    </w:p>
    <w:p w:rsidR="009B6286" w:rsidRPr="000130E0" w:rsidRDefault="00EC2663" w:rsidP="00EC2663">
      <w:pPr>
        <w:jc w:val="both"/>
        <w:rPr>
          <w:sz w:val="20"/>
          <w:szCs w:val="20"/>
          <w:lang w:val="en-IN"/>
        </w:rPr>
      </w:pPr>
      <w:r>
        <w:rPr>
          <w:sz w:val="20"/>
          <w:szCs w:val="20"/>
          <w:lang w:val="en-IN"/>
        </w:rPr>
        <w:t xml:space="preserve">Graphs, figures, statistical analysis: </w:t>
      </w:r>
      <w:proofErr w:type="spellStart"/>
      <w:r w:rsidRPr="00EC2663">
        <w:rPr>
          <w:i/>
          <w:sz w:val="20"/>
          <w:szCs w:val="20"/>
          <w:lang w:val="en-IN"/>
        </w:rPr>
        <w:t>Dr.Baruah</w:t>
      </w:r>
      <w:proofErr w:type="spellEnd"/>
      <w:r w:rsidRPr="00EC2663">
        <w:rPr>
          <w:i/>
          <w:sz w:val="20"/>
          <w:szCs w:val="20"/>
          <w:lang w:val="en-IN"/>
        </w:rPr>
        <w:t xml:space="preserve"> </w:t>
      </w:r>
      <w:proofErr w:type="spellStart"/>
      <w:r w:rsidRPr="00EC2663">
        <w:rPr>
          <w:i/>
          <w:sz w:val="20"/>
          <w:szCs w:val="20"/>
          <w:lang w:val="en-IN"/>
        </w:rPr>
        <w:t>Jahnabi</w:t>
      </w:r>
      <w:proofErr w:type="spellEnd"/>
      <w:r w:rsidRPr="00EC2663">
        <w:rPr>
          <w:i/>
          <w:sz w:val="20"/>
          <w:szCs w:val="20"/>
          <w:lang w:val="en-IN"/>
        </w:rPr>
        <w:t xml:space="preserve"> and Dr. Gupta Pratim</w:t>
      </w:r>
    </w:p>
    <w:p w:rsidR="0021548C" w:rsidRPr="00EC2663" w:rsidRDefault="0021548C" w:rsidP="00C95347">
      <w:pPr>
        <w:spacing w:line="480" w:lineRule="auto"/>
        <w:jc w:val="both"/>
        <w:rPr>
          <w:sz w:val="22"/>
          <w:szCs w:val="22"/>
          <w:lang w:val="en-IN"/>
        </w:rPr>
      </w:pPr>
    </w:p>
    <w:p w:rsidR="00EC2663" w:rsidRDefault="00EC2663" w:rsidP="00C95347">
      <w:pPr>
        <w:spacing w:line="480" w:lineRule="auto"/>
        <w:jc w:val="both"/>
        <w:rPr>
          <w:b/>
          <w:sz w:val="22"/>
          <w:szCs w:val="22"/>
          <w:lang w:val="en-IN"/>
        </w:rPr>
      </w:pPr>
    </w:p>
    <w:p w:rsidR="00EC2663" w:rsidRDefault="00EC2663" w:rsidP="00C95347">
      <w:pPr>
        <w:spacing w:line="480" w:lineRule="auto"/>
        <w:jc w:val="both"/>
        <w:rPr>
          <w:b/>
          <w:sz w:val="22"/>
          <w:szCs w:val="22"/>
          <w:lang w:val="en-IN"/>
        </w:rPr>
      </w:pPr>
    </w:p>
    <w:p w:rsidR="00EC2663" w:rsidRDefault="00EC2663" w:rsidP="00C95347">
      <w:pPr>
        <w:spacing w:line="480" w:lineRule="auto"/>
        <w:jc w:val="both"/>
        <w:rPr>
          <w:b/>
          <w:sz w:val="22"/>
          <w:szCs w:val="22"/>
          <w:lang w:val="en-IN"/>
        </w:rPr>
      </w:pPr>
    </w:p>
    <w:p w:rsidR="00EC2663" w:rsidRDefault="00EC2663" w:rsidP="00C95347">
      <w:pPr>
        <w:spacing w:line="480" w:lineRule="auto"/>
        <w:jc w:val="both"/>
        <w:rPr>
          <w:b/>
          <w:sz w:val="22"/>
          <w:szCs w:val="22"/>
          <w:lang w:val="en-IN"/>
        </w:rPr>
      </w:pPr>
    </w:p>
    <w:p w:rsidR="00EC2663" w:rsidRDefault="00EC2663" w:rsidP="00C95347">
      <w:pPr>
        <w:spacing w:line="480" w:lineRule="auto"/>
        <w:jc w:val="both"/>
        <w:rPr>
          <w:b/>
          <w:sz w:val="22"/>
          <w:szCs w:val="22"/>
          <w:lang w:val="en-IN"/>
        </w:rPr>
      </w:pPr>
    </w:p>
    <w:p w:rsidR="00EC2663" w:rsidRDefault="00EC2663" w:rsidP="00C95347">
      <w:pPr>
        <w:spacing w:line="480" w:lineRule="auto"/>
        <w:jc w:val="both"/>
        <w:rPr>
          <w:b/>
          <w:sz w:val="22"/>
          <w:szCs w:val="22"/>
          <w:lang w:val="en-IN"/>
        </w:rPr>
      </w:pPr>
    </w:p>
    <w:p w:rsidR="00EC2663" w:rsidRDefault="00EC2663" w:rsidP="00C95347">
      <w:pPr>
        <w:spacing w:line="480" w:lineRule="auto"/>
        <w:jc w:val="both"/>
        <w:rPr>
          <w:b/>
          <w:sz w:val="22"/>
          <w:szCs w:val="22"/>
          <w:lang w:val="en-IN"/>
        </w:rPr>
      </w:pPr>
    </w:p>
    <w:p w:rsidR="00EC2663" w:rsidRDefault="00EC2663" w:rsidP="00C95347">
      <w:pPr>
        <w:spacing w:line="480" w:lineRule="auto"/>
        <w:jc w:val="both"/>
        <w:rPr>
          <w:b/>
          <w:sz w:val="22"/>
          <w:szCs w:val="22"/>
          <w:lang w:val="en-IN"/>
        </w:rPr>
      </w:pPr>
    </w:p>
    <w:p w:rsidR="00EC2663" w:rsidRDefault="00EC2663" w:rsidP="00C95347">
      <w:pPr>
        <w:spacing w:line="480" w:lineRule="auto"/>
        <w:jc w:val="both"/>
        <w:rPr>
          <w:b/>
          <w:sz w:val="22"/>
          <w:szCs w:val="22"/>
          <w:lang w:val="en-IN"/>
        </w:rPr>
      </w:pPr>
    </w:p>
    <w:p w:rsidR="00EC2663" w:rsidRDefault="00EC2663" w:rsidP="00C95347">
      <w:pPr>
        <w:spacing w:line="480" w:lineRule="auto"/>
        <w:jc w:val="both"/>
        <w:rPr>
          <w:b/>
          <w:sz w:val="22"/>
          <w:szCs w:val="22"/>
          <w:lang w:val="en-IN"/>
        </w:rPr>
      </w:pPr>
    </w:p>
    <w:p w:rsidR="00EC2663" w:rsidRDefault="00EC2663" w:rsidP="00C95347">
      <w:pPr>
        <w:spacing w:line="480" w:lineRule="auto"/>
        <w:jc w:val="both"/>
        <w:rPr>
          <w:b/>
          <w:sz w:val="22"/>
          <w:szCs w:val="22"/>
          <w:lang w:val="en-IN"/>
        </w:rPr>
      </w:pPr>
    </w:p>
    <w:p w:rsidR="00EC2663" w:rsidRDefault="00EC2663" w:rsidP="00C95347">
      <w:pPr>
        <w:spacing w:line="480" w:lineRule="auto"/>
        <w:jc w:val="both"/>
        <w:rPr>
          <w:b/>
          <w:sz w:val="22"/>
          <w:szCs w:val="22"/>
          <w:lang w:val="en-IN"/>
        </w:rPr>
      </w:pPr>
    </w:p>
    <w:p w:rsidR="00EC2663" w:rsidRDefault="00EC2663" w:rsidP="00C95347">
      <w:pPr>
        <w:spacing w:line="480" w:lineRule="auto"/>
        <w:jc w:val="both"/>
        <w:rPr>
          <w:b/>
          <w:sz w:val="22"/>
          <w:szCs w:val="22"/>
          <w:lang w:val="en-IN"/>
        </w:rPr>
      </w:pPr>
    </w:p>
    <w:p w:rsidR="00426756" w:rsidRPr="00F111CD" w:rsidRDefault="00426756" w:rsidP="00C95347">
      <w:pPr>
        <w:spacing w:line="480" w:lineRule="auto"/>
        <w:jc w:val="both"/>
        <w:rPr>
          <w:lang w:val="en-IN"/>
        </w:rPr>
      </w:pPr>
      <w:r w:rsidRPr="00675DBD">
        <w:rPr>
          <w:b/>
          <w:sz w:val="22"/>
          <w:szCs w:val="22"/>
          <w:lang w:val="en-IN"/>
        </w:rPr>
        <w:t>REFERENCES</w:t>
      </w:r>
      <w:r w:rsidRPr="00F111CD">
        <w:rPr>
          <w:lang w:val="en-IN"/>
        </w:rPr>
        <w:t>:</w:t>
      </w:r>
    </w:p>
    <w:tbl>
      <w:tblPr>
        <w:tblpPr w:leftFromText="180" w:rightFromText="180" w:vertAnchor="page" w:horzAnchor="margin" w:tblpY="4036"/>
        <w:tblW w:w="5051" w:type="pct"/>
        <w:tblCellSpacing w:w="15" w:type="dxa"/>
        <w:tblCellMar>
          <w:top w:w="15" w:type="dxa"/>
          <w:left w:w="15" w:type="dxa"/>
          <w:bottom w:w="15" w:type="dxa"/>
          <w:right w:w="15" w:type="dxa"/>
        </w:tblCellMar>
        <w:tblLook w:val="04A0"/>
      </w:tblPr>
      <w:tblGrid>
        <w:gridCol w:w="325"/>
        <w:gridCol w:w="8158"/>
      </w:tblGrid>
      <w:tr w:rsidR="00EC2663" w:rsidRPr="000130E0" w:rsidTr="00EC2663">
        <w:trPr>
          <w:trHeight w:val="541"/>
          <w:tblCellSpacing w:w="15" w:type="dxa"/>
        </w:trPr>
        <w:tc>
          <w:tcPr>
            <w:tcW w:w="0" w:type="auto"/>
            <w:hideMark/>
          </w:tcPr>
          <w:p w:rsidR="00EC2663" w:rsidRPr="000130E0" w:rsidRDefault="00EC2663" w:rsidP="00EC2663">
            <w:pPr>
              <w:jc w:val="both"/>
              <w:rPr>
                <w:sz w:val="20"/>
                <w:szCs w:val="20"/>
                <w:lang w:val="en-IN"/>
              </w:rPr>
            </w:pPr>
            <w:r w:rsidRPr="000130E0">
              <w:rPr>
                <w:sz w:val="20"/>
                <w:szCs w:val="20"/>
                <w:lang w:val="en-IN"/>
              </w:rPr>
              <w:t>1.</w:t>
            </w:r>
          </w:p>
        </w:tc>
        <w:tc>
          <w:tcPr>
            <w:tcW w:w="0" w:type="auto"/>
            <w:hideMark/>
          </w:tcPr>
          <w:p w:rsidR="00EC2663" w:rsidRPr="000130E0" w:rsidRDefault="00EC2663" w:rsidP="00EC2663">
            <w:pPr>
              <w:jc w:val="both"/>
              <w:rPr>
                <w:sz w:val="16"/>
                <w:szCs w:val="16"/>
                <w:lang w:val="en-IN"/>
              </w:rPr>
            </w:pPr>
            <w:r w:rsidRPr="000130E0">
              <w:rPr>
                <w:sz w:val="16"/>
                <w:szCs w:val="16"/>
                <w:lang w:val="en-IN"/>
              </w:rPr>
              <w:t xml:space="preserve">Lopez AD, </w:t>
            </w:r>
            <w:proofErr w:type="spellStart"/>
            <w:r w:rsidRPr="000130E0">
              <w:rPr>
                <w:sz w:val="16"/>
                <w:szCs w:val="16"/>
                <w:lang w:val="en-IN"/>
              </w:rPr>
              <w:t>Mathers</w:t>
            </w:r>
            <w:proofErr w:type="spellEnd"/>
            <w:r w:rsidRPr="000130E0">
              <w:rPr>
                <w:sz w:val="16"/>
                <w:szCs w:val="16"/>
                <w:lang w:val="en-IN"/>
              </w:rPr>
              <w:t xml:space="preserve"> CD, </w:t>
            </w:r>
            <w:proofErr w:type="spellStart"/>
            <w:r w:rsidRPr="000130E0">
              <w:rPr>
                <w:sz w:val="16"/>
                <w:szCs w:val="16"/>
                <w:lang w:val="en-IN"/>
              </w:rPr>
              <w:t>Ezzati</w:t>
            </w:r>
            <w:proofErr w:type="spellEnd"/>
            <w:r w:rsidRPr="000130E0">
              <w:rPr>
                <w:sz w:val="16"/>
                <w:szCs w:val="16"/>
                <w:lang w:val="en-IN"/>
              </w:rPr>
              <w:t xml:space="preserve"> M, Jamison DT, Murray CJ. Global Burden of Disease and Risk Factors. Washington: The World Bank; 2006. .</w:t>
            </w:r>
          </w:p>
        </w:tc>
      </w:tr>
      <w:tr w:rsidR="00EC2663" w:rsidRPr="000130E0" w:rsidTr="00EC2663">
        <w:trPr>
          <w:trHeight w:val="516"/>
          <w:tblCellSpacing w:w="15" w:type="dxa"/>
        </w:trPr>
        <w:tc>
          <w:tcPr>
            <w:tcW w:w="0" w:type="auto"/>
            <w:hideMark/>
          </w:tcPr>
          <w:p w:rsidR="00EC2663" w:rsidRPr="000130E0" w:rsidRDefault="00EC2663" w:rsidP="00EC2663">
            <w:pPr>
              <w:jc w:val="both"/>
              <w:rPr>
                <w:sz w:val="20"/>
                <w:szCs w:val="20"/>
                <w:lang w:val="en-IN"/>
              </w:rPr>
            </w:pPr>
            <w:r w:rsidRPr="000130E0">
              <w:rPr>
                <w:sz w:val="20"/>
                <w:szCs w:val="20"/>
                <w:lang w:val="en-IN"/>
              </w:rPr>
              <w:t>2.</w:t>
            </w:r>
          </w:p>
        </w:tc>
        <w:tc>
          <w:tcPr>
            <w:tcW w:w="0" w:type="auto"/>
            <w:hideMark/>
          </w:tcPr>
          <w:p w:rsidR="00EC2663" w:rsidRPr="000130E0" w:rsidRDefault="00EC2663" w:rsidP="00EC2663">
            <w:pPr>
              <w:jc w:val="both"/>
              <w:rPr>
                <w:sz w:val="16"/>
                <w:szCs w:val="16"/>
                <w:lang w:val="en-IN"/>
              </w:rPr>
            </w:pPr>
            <w:proofErr w:type="spellStart"/>
            <w:r w:rsidRPr="000130E0">
              <w:rPr>
                <w:sz w:val="16"/>
                <w:szCs w:val="16"/>
                <w:lang w:val="en-IN"/>
              </w:rPr>
              <w:t>Dietschy</w:t>
            </w:r>
            <w:proofErr w:type="spellEnd"/>
            <w:r w:rsidRPr="000130E0">
              <w:rPr>
                <w:sz w:val="16"/>
                <w:szCs w:val="16"/>
                <w:lang w:val="en-IN"/>
              </w:rPr>
              <w:t xml:space="preserve"> JM. Central Nervous System: cholesterol turnover, brain development and </w:t>
            </w:r>
            <w:proofErr w:type="spellStart"/>
            <w:r w:rsidRPr="000130E0">
              <w:rPr>
                <w:sz w:val="16"/>
                <w:szCs w:val="16"/>
                <w:lang w:val="en-IN"/>
              </w:rPr>
              <w:t>neurodegeneration</w:t>
            </w:r>
            <w:proofErr w:type="spellEnd"/>
            <w:r w:rsidRPr="000130E0">
              <w:rPr>
                <w:sz w:val="16"/>
                <w:szCs w:val="16"/>
                <w:lang w:val="en-IN"/>
              </w:rPr>
              <w:t>. Biol. Chem. 2009:390:287-293. .</w:t>
            </w:r>
          </w:p>
        </w:tc>
      </w:tr>
      <w:tr w:rsidR="00EC2663" w:rsidRPr="000130E0" w:rsidTr="00EC2663">
        <w:trPr>
          <w:trHeight w:val="626"/>
          <w:tblCellSpacing w:w="15" w:type="dxa"/>
        </w:trPr>
        <w:tc>
          <w:tcPr>
            <w:tcW w:w="0" w:type="auto"/>
            <w:hideMark/>
          </w:tcPr>
          <w:p w:rsidR="00EC2663" w:rsidRPr="000130E0" w:rsidRDefault="00EC2663" w:rsidP="00EC2663">
            <w:pPr>
              <w:jc w:val="both"/>
              <w:rPr>
                <w:sz w:val="20"/>
                <w:szCs w:val="20"/>
                <w:lang w:val="en-IN"/>
              </w:rPr>
            </w:pPr>
            <w:r w:rsidRPr="000130E0">
              <w:rPr>
                <w:sz w:val="20"/>
                <w:szCs w:val="20"/>
                <w:lang w:val="en-IN"/>
              </w:rPr>
              <w:t>3.</w:t>
            </w:r>
          </w:p>
        </w:tc>
        <w:tc>
          <w:tcPr>
            <w:tcW w:w="0" w:type="auto"/>
            <w:hideMark/>
          </w:tcPr>
          <w:p w:rsidR="00EC2663" w:rsidRPr="000130E0" w:rsidRDefault="00EC2663" w:rsidP="00EC2663">
            <w:pPr>
              <w:jc w:val="both"/>
              <w:rPr>
                <w:sz w:val="16"/>
                <w:szCs w:val="16"/>
                <w:lang w:val="en-IN"/>
              </w:rPr>
            </w:pPr>
            <w:proofErr w:type="spellStart"/>
            <w:r w:rsidRPr="000130E0">
              <w:rPr>
                <w:sz w:val="16"/>
                <w:szCs w:val="16"/>
                <w:lang w:val="en-IN"/>
              </w:rPr>
              <w:t>Steegmans</w:t>
            </w:r>
            <w:proofErr w:type="spellEnd"/>
            <w:r w:rsidRPr="000130E0">
              <w:rPr>
                <w:sz w:val="16"/>
                <w:szCs w:val="16"/>
                <w:lang w:val="en-IN"/>
              </w:rPr>
              <w:t xml:space="preserve"> PH, Hoes AW, </w:t>
            </w:r>
            <w:proofErr w:type="spellStart"/>
            <w:r w:rsidRPr="000130E0">
              <w:rPr>
                <w:sz w:val="16"/>
                <w:szCs w:val="16"/>
                <w:lang w:val="en-IN"/>
              </w:rPr>
              <w:t>Bak</w:t>
            </w:r>
            <w:proofErr w:type="spellEnd"/>
            <w:r w:rsidRPr="000130E0">
              <w:rPr>
                <w:sz w:val="16"/>
                <w:szCs w:val="16"/>
                <w:lang w:val="en-IN"/>
              </w:rPr>
              <w:t xml:space="preserve"> AA, van </w:t>
            </w:r>
            <w:proofErr w:type="spellStart"/>
            <w:r w:rsidRPr="000130E0">
              <w:rPr>
                <w:sz w:val="16"/>
                <w:szCs w:val="16"/>
                <w:lang w:val="en-IN"/>
              </w:rPr>
              <w:t>der</w:t>
            </w:r>
            <w:proofErr w:type="spellEnd"/>
            <w:r w:rsidRPr="000130E0">
              <w:rPr>
                <w:sz w:val="16"/>
                <w:szCs w:val="16"/>
                <w:lang w:val="en-IN"/>
              </w:rPr>
              <w:t xml:space="preserve"> Does E, </w:t>
            </w:r>
            <w:proofErr w:type="spellStart"/>
            <w:r w:rsidRPr="000130E0">
              <w:rPr>
                <w:sz w:val="16"/>
                <w:szCs w:val="16"/>
                <w:lang w:val="en-IN"/>
              </w:rPr>
              <w:t>Grobbee</w:t>
            </w:r>
            <w:proofErr w:type="spellEnd"/>
            <w:r w:rsidRPr="000130E0">
              <w:rPr>
                <w:sz w:val="16"/>
                <w:szCs w:val="16"/>
                <w:lang w:val="en-IN"/>
              </w:rPr>
              <w:t xml:space="preserve"> DE. Higher </w:t>
            </w:r>
            <w:proofErr w:type="spellStart"/>
            <w:r w:rsidRPr="000130E0">
              <w:rPr>
                <w:sz w:val="16"/>
                <w:szCs w:val="16"/>
                <w:lang w:val="en-IN"/>
              </w:rPr>
              <w:t>prevalance</w:t>
            </w:r>
            <w:proofErr w:type="spellEnd"/>
            <w:r w:rsidRPr="000130E0">
              <w:rPr>
                <w:sz w:val="16"/>
                <w:szCs w:val="16"/>
                <w:lang w:val="en-IN"/>
              </w:rPr>
              <w:t xml:space="preserve"> of depressive symptoms in middle-aged men with low serum cholesterol. Psychosomatic Medicine. 2000; 62(2): p. 205-11.</w:t>
            </w:r>
          </w:p>
        </w:tc>
      </w:tr>
      <w:tr w:rsidR="00EC2663" w:rsidRPr="000130E0" w:rsidTr="00EC2663">
        <w:trPr>
          <w:trHeight w:val="349"/>
          <w:tblCellSpacing w:w="15" w:type="dxa"/>
        </w:trPr>
        <w:tc>
          <w:tcPr>
            <w:tcW w:w="0" w:type="auto"/>
            <w:hideMark/>
          </w:tcPr>
          <w:p w:rsidR="00EC2663" w:rsidRPr="000130E0" w:rsidRDefault="00EC2663" w:rsidP="00EC2663">
            <w:pPr>
              <w:jc w:val="both"/>
              <w:rPr>
                <w:sz w:val="20"/>
                <w:szCs w:val="20"/>
                <w:lang w:val="en-IN"/>
              </w:rPr>
            </w:pPr>
            <w:r w:rsidRPr="000130E0">
              <w:rPr>
                <w:sz w:val="20"/>
                <w:szCs w:val="20"/>
                <w:lang w:val="en-IN"/>
              </w:rPr>
              <w:t>4.</w:t>
            </w:r>
          </w:p>
        </w:tc>
        <w:tc>
          <w:tcPr>
            <w:tcW w:w="0" w:type="auto"/>
            <w:hideMark/>
          </w:tcPr>
          <w:p w:rsidR="00EC2663" w:rsidRPr="000130E0" w:rsidRDefault="00EC2663" w:rsidP="00EC2663">
            <w:pPr>
              <w:jc w:val="both"/>
              <w:rPr>
                <w:sz w:val="16"/>
                <w:szCs w:val="16"/>
                <w:lang w:val="en-IN"/>
              </w:rPr>
            </w:pPr>
            <w:proofErr w:type="spellStart"/>
            <w:r w:rsidRPr="000130E0">
              <w:rPr>
                <w:sz w:val="16"/>
                <w:szCs w:val="16"/>
                <w:lang w:val="en-IN"/>
              </w:rPr>
              <w:t>Fantinia</w:t>
            </w:r>
            <w:proofErr w:type="spellEnd"/>
            <w:r w:rsidRPr="000130E0">
              <w:rPr>
                <w:sz w:val="16"/>
                <w:szCs w:val="16"/>
                <w:lang w:val="en-IN"/>
              </w:rPr>
              <w:t xml:space="preserve"> J, </w:t>
            </w:r>
            <w:proofErr w:type="spellStart"/>
            <w:r w:rsidRPr="000130E0">
              <w:rPr>
                <w:sz w:val="16"/>
                <w:szCs w:val="16"/>
                <w:lang w:val="en-IN"/>
              </w:rPr>
              <w:t>Barrantes</w:t>
            </w:r>
            <w:proofErr w:type="spellEnd"/>
            <w:r w:rsidRPr="000130E0">
              <w:rPr>
                <w:sz w:val="16"/>
                <w:szCs w:val="16"/>
                <w:lang w:val="en-IN"/>
              </w:rPr>
              <w:t xml:space="preserve"> FJ. </w:t>
            </w:r>
            <w:proofErr w:type="spellStart"/>
            <w:r w:rsidRPr="000130E0">
              <w:rPr>
                <w:sz w:val="16"/>
                <w:szCs w:val="16"/>
                <w:lang w:val="en-IN"/>
              </w:rPr>
              <w:t>Biomembranes</w:t>
            </w:r>
            <w:proofErr w:type="spellEnd"/>
            <w:r w:rsidRPr="000130E0">
              <w:rPr>
                <w:sz w:val="16"/>
                <w:szCs w:val="16"/>
                <w:lang w:val="en-IN"/>
              </w:rPr>
              <w:t xml:space="preserve">. </w:t>
            </w:r>
            <w:proofErr w:type="spellStart"/>
            <w:r w:rsidRPr="000130E0">
              <w:rPr>
                <w:sz w:val="16"/>
                <w:szCs w:val="16"/>
                <w:lang w:val="en-IN"/>
              </w:rPr>
              <w:t>Biochemica</w:t>
            </w:r>
            <w:proofErr w:type="spellEnd"/>
            <w:r w:rsidRPr="000130E0">
              <w:rPr>
                <w:sz w:val="16"/>
                <w:szCs w:val="16"/>
                <w:lang w:val="en-IN"/>
              </w:rPr>
              <w:t xml:space="preserve"> et </w:t>
            </w:r>
            <w:proofErr w:type="spellStart"/>
            <w:proofErr w:type="gramStart"/>
            <w:r w:rsidRPr="000130E0">
              <w:rPr>
                <w:sz w:val="16"/>
                <w:szCs w:val="16"/>
                <w:lang w:val="en-IN"/>
              </w:rPr>
              <w:t>BiophysicaActa</w:t>
            </w:r>
            <w:proofErr w:type="spellEnd"/>
            <w:r w:rsidRPr="000130E0">
              <w:rPr>
                <w:sz w:val="16"/>
                <w:szCs w:val="16"/>
                <w:lang w:val="en-IN"/>
              </w:rPr>
              <w:t>(</w:t>
            </w:r>
            <w:proofErr w:type="gramEnd"/>
            <w:r w:rsidRPr="000130E0">
              <w:rPr>
                <w:sz w:val="16"/>
                <w:szCs w:val="16"/>
                <w:lang w:val="en-IN"/>
              </w:rPr>
              <w:t>BBA). 2009 November; 1788(11): p. 2345-2361.</w:t>
            </w:r>
          </w:p>
        </w:tc>
      </w:tr>
      <w:tr w:rsidR="00EC2663" w:rsidRPr="000130E0" w:rsidTr="00EC2663">
        <w:trPr>
          <w:trHeight w:val="516"/>
          <w:tblCellSpacing w:w="15" w:type="dxa"/>
        </w:trPr>
        <w:tc>
          <w:tcPr>
            <w:tcW w:w="0" w:type="auto"/>
            <w:hideMark/>
          </w:tcPr>
          <w:p w:rsidR="00EC2663" w:rsidRPr="000130E0" w:rsidRDefault="00EC2663" w:rsidP="00EC2663">
            <w:pPr>
              <w:jc w:val="both"/>
              <w:rPr>
                <w:sz w:val="20"/>
                <w:szCs w:val="20"/>
                <w:lang w:val="en-IN"/>
              </w:rPr>
            </w:pPr>
            <w:r w:rsidRPr="000130E0">
              <w:rPr>
                <w:sz w:val="20"/>
                <w:szCs w:val="20"/>
                <w:lang w:val="en-IN"/>
              </w:rPr>
              <w:t>5.</w:t>
            </w:r>
          </w:p>
        </w:tc>
        <w:tc>
          <w:tcPr>
            <w:tcW w:w="0" w:type="auto"/>
            <w:hideMark/>
          </w:tcPr>
          <w:p w:rsidR="00EC2663" w:rsidRPr="000130E0" w:rsidRDefault="00EC2663" w:rsidP="00EC2663">
            <w:pPr>
              <w:jc w:val="both"/>
              <w:rPr>
                <w:sz w:val="16"/>
                <w:szCs w:val="16"/>
                <w:lang w:val="en-IN"/>
              </w:rPr>
            </w:pPr>
            <w:r w:rsidRPr="000130E0">
              <w:rPr>
                <w:sz w:val="16"/>
                <w:szCs w:val="16"/>
                <w:lang w:val="en-IN"/>
              </w:rPr>
              <w:t xml:space="preserve">Shin, </w:t>
            </w:r>
            <w:proofErr w:type="spellStart"/>
            <w:r w:rsidRPr="000130E0">
              <w:rPr>
                <w:sz w:val="16"/>
                <w:szCs w:val="16"/>
                <w:lang w:val="en-IN"/>
              </w:rPr>
              <w:t>Yeon-Kyun</w:t>
            </w:r>
            <w:proofErr w:type="spellEnd"/>
            <w:r w:rsidRPr="000130E0">
              <w:rPr>
                <w:sz w:val="16"/>
                <w:szCs w:val="16"/>
                <w:lang w:val="en-IN"/>
              </w:rPr>
              <w:t xml:space="preserve"> (2009). Cholesterol, Statins, and Brain Function: A Hypothesis from a Molecular Perspective. http:/www.ibc7.org/article/journal_v.php?sid=31. .</w:t>
            </w:r>
          </w:p>
        </w:tc>
      </w:tr>
      <w:tr w:rsidR="00EC2663" w:rsidRPr="000130E0" w:rsidTr="00EC2663">
        <w:trPr>
          <w:trHeight w:val="262"/>
          <w:tblCellSpacing w:w="15" w:type="dxa"/>
        </w:trPr>
        <w:tc>
          <w:tcPr>
            <w:tcW w:w="0" w:type="auto"/>
            <w:hideMark/>
          </w:tcPr>
          <w:p w:rsidR="00EC2663" w:rsidRPr="000130E0" w:rsidRDefault="00EC2663" w:rsidP="00EC2663">
            <w:pPr>
              <w:jc w:val="both"/>
              <w:rPr>
                <w:sz w:val="20"/>
                <w:szCs w:val="20"/>
                <w:lang w:val="en-IN"/>
              </w:rPr>
            </w:pPr>
            <w:r w:rsidRPr="000130E0">
              <w:rPr>
                <w:sz w:val="20"/>
                <w:szCs w:val="20"/>
                <w:lang w:val="en-IN"/>
              </w:rPr>
              <w:t>6.</w:t>
            </w:r>
          </w:p>
        </w:tc>
        <w:tc>
          <w:tcPr>
            <w:tcW w:w="0" w:type="auto"/>
            <w:hideMark/>
          </w:tcPr>
          <w:p w:rsidR="00EC2663" w:rsidRPr="000130E0" w:rsidRDefault="00EC2663" w:rsidP="00EC2663">
            <w:pPr>
              <w:jc w:val="both"/>
              <w:rPr>
                <w:sz w:val="16"/>
                <w:szCs w:val="16"/>
                <w:lang w:val="en-IN"/>
              </w:rPr>
            </w:pPr>
            <w:proofErr w:type="spellStart"/>
            <w:r w:rsidRPr="000130E0">
              <w:rPr>
                <w:sz w:val="16"/>
                <w:szCs w:val="16"/>
                <w:lang w:val="en-IN"/>
              </w:rPr>
              <w:t>Trinder</w:t>
            </w:r>
            <w:proofErr w:type="spellEnd"/>
            <w:r w:rsidRPr="000130E0">
              <w:rPr>
                <w:sz w:val="16"/>
                <w:szCs w:val="16"/>
                <w:lang w:val="en-IN"/>
              </w:rPr>
              <w:t>, P.</w:t>
            </w:r>
            <w:proofErr w:type="gramStart"/>
            <w:r w:rsidRPr="000130E0">
              <w:rPr>
                <w:sz w:val="16"/>
                <w:szCs w:val="16"/>
                <w:lang w:val="en-IN"/>
              </w:rPr>
              <w:t>,(</w:t>
            </w:r>
            <w:proofErr w:type="gramEnd"/>
            <w:r w:rsidRPr="000130E0">
              <w:rPr>
                <w:sz w:val="16"/>
                <w:szCs w:val="16"/>
                <w:lang w:val="en-IN"/>
              </w:rPr>
              <w:t xml:space="preserve">1969) Ann. </w:t>
            </w:r>
            <w:proofErr w:type="spellStart"/>
            <w:r w:rsidRPr="000130E0">
              <w:rPr>
                <w:sz w:val="16"/>
                <w:szCs w:val="16"/>
                <w:lang w:val="en-IN"/>
              </w:rPr>
              <w:t>Clin</w:t>
            </w:r>
            <w:proofErr w:type="spellEnd"/>
            <w:r w:rsidRPr="000130E0">
              <w:rPr>
                <w:sz w:val="16"/>
                <w:szCs w:val="16"/>
                <w:lang w:val="en-IN"/>
              </w:rPr>
              <w:t xml:space="preserve">. Biochem.6:24. </w:t>
            </w:r>
          </w:p>
        </w:tc>
      </w:tr>
      <w:tr w:rsidR="00EC2663" w:rsidRPr="000130E0" w:rsidTr="00EC2663">
        <w:trPr>
          <w:trHeight w:val="308"/>
          <w:tblCellSpacing w:w="15" w:type="dxa"/>
        </w:trPr>
        <w:tc>
          <w:tcPr>
            <w:tcW w:w="0" w:type="auto"/>
            <w:hideMark/>
          </w:tcPr>
          <w:p w:rsidR="00EC2663" w:rsidRPr="000130E0" w:rsidRDefault="00EC2663" w:rsidP="00EC2663">
            <w:pPr>
              <w:jc w:val="both"/>
              <w:rPr>
                <w:sz w:val="20"/>
                <w:szCs w:val="20"/>
                <w:lang w:val="en-IN"/>
              </w:rPr>
            </w:pPr>
            <w:r w:rsidRPr="000130E0">
              <w:rPr>
                <w:sz w:val="20"/>
                <w:szCs w:val="20"/>
                <w:lang w:val="en-IN"/>
              </w:rPr>
              <w:t>7.</w:t>
            </w:r>
          </w:p>
        </w:tc>
        <w:tc>
          <w:tcPr>
            <w:tcW w:w="0" w:type="auto"/>
            <w:hideMark/>
          </w:tcPr>
          <w:p w:rsidR="00EC2663" w:rsidRPr="000130E0" w:rsidRDefault="00EC2663" w:rsidP="00EC2663">
            <w:pPr>
              <w:jc w:val="both"/>
              <w:rPr>
                <w:sz w:val="16"/>
                <w:szCs w:val="16"/>
                <w:lang w:val="en-IN"/>
              </w:rPr>
            </w:pPr>
            <w:proofErr w:type="spellStart"/>
            <w:r w:rsidRPr="000130E0">
              <w:rPr>
                <w:sz w:val="16"/>
                <w:szCs w:val="16"/>
                <w:lang w:val="en-IN"/>
              </w:rPr>
              <w:t>Allian</w:t>
            </w:r>
            <w:proofErr w:type="spellEnd"/>
            <w:r w:rsidRPr="000130E0">
              <w:rPr>
                <w:sz w:val="16"/>
                <w:szCs w:val="16"/>
                <w:lang w:val="en-IN"/>
              </w:rPr>
              <w:t xml:space="preserve"> C. C. et. Al.</w:t>
            </w:r>
            <w:proofErr w:type="gramStart"/>
            <w:r w:rsidRPr="000130E0">
              <w:rPr>
                <w:sz w:val="16"/>
                <w:szCs w:val="16"/>
                <w:lang w:val="en-IN"/>
              </w:rPr>
              <w:t>,(</w:t>
            </w:r>
            <w:proofErr w:type="gramEnd"/>
            <w:r w:rsidRPr="000130E0">
              <w:rPr>
                <w:sz w:val="16"/>
                <w:szCs w:val="16"/>
                <w:lang w:val="en-IN"/>
              </w:rPr>
              <w:t xml:space="preserve">1974) </w:t>
            </w:r>
            <w:proofErr w:type="spellStart"/>
            <w:r w:rsidRPr="000130E0">
              <w:rPr>
                <w:sz w:val="16"/>
                <w:szCs w:val="16"/>
                <w:lang w:val="en-IN"/>
              </w:rPr>
              <w:t>Clin</w:t>
            </w:r>
            <w:proofErr w:type="spellEnd"/>
            <w:r w:rsidRPr="000130E0">
              <w:rPr>
                <w:sz w:val="16"/>
                <w:szCs w:val="16"/>
                <w:lang w:val="en-IN"/>
              </w:rPr>
              <w:t xml:space="preserve">. </w:t>
            </w:r>
            <w:proofErr w:type="spellStart"/>
            <w:r w:rsidRPr="000130E0">
              <w:rPr>
                <w:sz w:val="16"/>
                <w:szCs w:val="16"/>
                <w:lang w:val="en-IN"/>
              </w:rPr>
              <w:t>Chem</w:t>
            </w:r>
            <w:proofErr w:type="spellEnd"/>
            <w:r w:rsidRPr="000130E0">
              <w:rPr>
                <w:sz w:val="16"/>
                <w:szCs w:val="16"/>
                <w:lang w:val="en-IN"/>
              </w:rPr>
              <w:t xml:space="preserve"> 20:470.</w:t>
            </w:r>
          </w:p>
        </w:tc>
      </w:tr>
      <w:tr w:rsidR="00EC2663" w:rsidRPr="000130E0" w:rsidTr="00EC2663">
        <w:trPr>
          <w:trHeight w:val="308"/>
          <w:tblCellSpacing w:w="15" w:type="dxa"/>
        </w:trPr>
        <w:tc>
          <w:tcPr>
            <w:tcW w:w="0" w:type="auto"/>
            <w:hideMark/>
          </w:tcPr>
          <w:p w:rsidR="00EC2663" w:rsidRPr="000130E0" w:rsidRDefault="00EC2663" w:rsidP="00EC2663">
            <w:pPr>
              <w:jc w:val="both"/>
              <w:rPr>
                <w:sz w:val="20"/>
                <w:szCs w:val="20"/>
                <w:lang w:val="en-IN"/>
              </w:rPr>
            </w:pPr>
            <w:r w:rsidRPr="000130E0">
              <w:rPr>
                <w:sz w:val="20"/>
                <w:szCs w:val="20"/>
                <w:lang w:val="en-IN"/>
              </w:rPr>
              <w:t>8.</w:t>
            </w:r>
          </w:p>
        </w:tc>
        <w:tc>
          <w:tcPr>
            <w:tcW w:w="0" w:type="auto"/>
            <w:hideMark/>
          </w:tcPr>
          <w:p w:rsidR="00EC2663" w:rsidRPr="000130E0" w:rsidRDefault="00EC2663" w:rsidP="00EC2663">
            <w:pPr>
              <w:jc w:val="both"/>
              <w:rPr>
                <w:sz w:val="16"/>
                <w:szCs w:val="16"/>
                <w:lang w:val="en-IN"/>
              </w:rPr>
            </w:pPr>
            <w:proofErr w:type="spellStart"/>
            <w:r w:rsidRPr="000130E0">
              <w:rPr>
                <w:sz w:val="16"/>
                <w:szCs w:val="16"/>
                <w:lang w:val="en-IN"/>
              </w:rPr>
              <w:t>Flegg.H.M</w:t>
            </w:r>
            <w:proofErr w:type="spellEnd"/>
            <w:proofErr w:type="gramStart"/>
            <w:r w:rsidRPr="000130E0">
              <w:rPr>
                <w:sz w:val="16"/>
                <w:szCs w:val="16"/>
                <w:lang w:val="en-IN"/>
              </w:rPr>
              <w:t>.(</w:t>
            </w:r>
            <w:proofErr w:type="gramEnd"/>
            <w:r w:rsidRPr="000130E0">
              <w:rPr>
                <w:sz w:val="16"/>
                <w:szCs w:val="16"/>
                <w:lang w:val="en-IN"/>
              </w:rPr>
              <w:t xml:space="preserve">1972)Ann. </w:t>
            </w:r>
            <w:proofErr w:type="spellStart"/>
            <w:r w:rsidRPr="000130E0">
              <w:rPr>
                <w:sz w:val="16"/>
                <w:szCs w:val="16"/>
                <w:lang w:val="en-IN"/>
              </w:rPr>
              <w:t>Clin</w:t>
            </w:r>
            <w:proofErr w:type="spellEnd"/>
            <w:r w:rsidRPr="000130E0">
              <w:rPr>
                <w:sz w:val="16"/>
                <w:szCs w:val="16"/>
                <w:lang w:val="en-IN"/>
              </w:rPr>
              <w:t>. Biochem.10-79.</w:t>
            </w:r>
          </w:p>
        </w:tc>
      </w:tr>
      <w:tr w:rsidR="00EC2663" w:rsidRPr="000130E0" w:rsidTr="00EC2663">
        <w:trPr>
          <w:trHeight w:val="308"/>
          <w:tblCellSpacing w:w="15" w:type="dxa"/>
        </w:trPr>
        <w:tc>
          <w:tcPr>
            <w:tcW w:w="0" w:type="auto"/>
            <w:hideMark/>
          </w:tcPr>
          <w:p w:rsidR="00EC2663" w:rsidRPr="000130E0" w:rsidRDefault="00EC2663" w:rsidP="00EC2663">
            <w:pPr>
              <w:jc w:val="both"/>
              <w:rPr>
                <w:sz w:val="20"/>
                <w:szCs w:val="20"/>
                <w:lang w:val="en-IN"/>
              </w:rPr>
            </w:pPr>
            <w:r w:rsidRPr="000130E0">
              <w:rPr>
                <w:sz w:val="20"/>
                <w:szCs w:val="20"/>
                <w:lang w:val="en-IN"/>
              </w:rPr>
              <w:t>9.</w:t>
            </w:r>
          </w:p>
        </w:tc>
        <w:tc>
          <w:tcPr>
            <w:tcW w:w="0" w:type="auto"/>
            <w:hideMark/>
          </w:tcPr>
          <w:p w:rsidR="00EC2663" w:rsidRPr="000130E0" w:rsidRDefault="00EC2663" w:rsidP="00EC2663">
            <w:pPr>
              <w:jc w:val="both"/>
              <w:rPr>
                <w:sz w:val="16"/>
                <w:szCs w:val="16"/>
                <w:lang w:val="en-IN"/>
              </w:rPr>
            </w:pPr>
            <w:proofErr w:type="spellStart"/>
            <w:r w:rsidRPr="000130E0">
              <w:rPr>
                <w:sz w:val="16"/>
                <w:szCs w:val="16"/>
                <w:lang w:val="en-IN"/>
              </w:rPr>
              <w:t>Grillo</w:t>
            </w:r>
            <w:proofErr w:type="gramStart"/>
            <w:r w:rsidRPr="000130E0">
              <w:rPr>
                <w:sz w:val="16"/>
                <w:szCs w:val="16"/>
                <w:lang w:val="en-IN"/>
              </w:rPr>
              <w:t>,F</w:t>
            </w:r>
            <w:proofErr w:type="gramEnd"/>
            <w:r w:rsidRPr="000130E0">
              <w:rPr>
                <w:sz w:val="16"/>
                <w:szCs w:val="16"/>
                <w:lang w:val="en-IN"/>
              </w:rPr>
              <w:t>.,et</w:t>
            </w:r>
            <w:proofErr w:type="spellEnd"/>
            <w:r w:rsidRPr="000130E0">
              <w:rPr>
                <w:sz w:val="16"/>
                <w:szCs w:val="16"/>
                <w:lang w:val="en-IN"/>
              </w:rPr>
              <w:t>. al</w:t>
            </w:r>
            <w:proofErr w:type="gramStart"/>
            <w:r w:rsidRPr="000130E0">
              <w:rPr>
                <w:sz w:val="16"/>
                <w:szCs w:val="16"/>
                <w:lang w:val="en-IN"/>
              </w:rPr>
              <w:t>.(</w:t>
            </w:r>
            <w:proofErr w:type="gramEnd"/>
            <w:r w:rsidRPr="000130E0">
              <w:rPr>
                <w:sz w:val="16"/>
                <w:szCs w:val="16"/>
                <w:lang w:val="en-IN"/>
              </w:rPr>
              <w:t>1981)</w:t>
            </w:r>
            <w:proofErr w:type="spellStart"/>
            <w:r w:rsidRPr="000130E0">
              <w:rPr>
                <w:sz w:val="16"/>
                <w:szCs w:val="16"/>
                <w:lang w:val="en-IN"/>
              </w:rPr>
              <w:t>Clin</w:t>
            </w:r>
            <w:proofErr w:type="spellEnd"/>
            <w:r w:rsidRPr="000130E0">
              <w:rPr>
                <w:sz w:val="16"/>
                <w:szCs w:val="16"/>
                <w:lang w:val="en-IN"/>
              </w:rPr>
              <w:t>. Chem. 27:375.</w:t>
            </w:r>
          </w:p>
        </w:tc>
      </w:tr>
      <w:tr w:rsidR="00EC2663" w:rsidRPr="000130E0" w:rsidTr="00EC2663">
        <w:trPr>
          <w:trHeight w:val="308"/>
          <w:tblCellSpacing w:w="15" w:type="dxa"/>
        </w:trPr>
        <w:tc>
          <w:tcPr>
            <w:tcW w:w="0" w:type="auto"/>
            <w:hideMark/>
          </w:tcPr>
          <w:p w:rsidR="00EC2663" w:rsidRPr="000130E0" w:rsidRDefault="00EC2663" w:rsidP="00EC2663">
            <w:pPr>
              <w:jc w:val="both"/>
              <w:rPr>
                <w:sz w:val="20"/>
                <w:szCs w:val="20"/>
                <w:lang w:val="en-IN"/>
              </w:rPr>
            </w:pPr>
            <w:r w:rsidRPr="000130E0">
              <w:rPr>
                <w:sz w:val="20"/>
                <w:szCs w:val="20"/>
                <w:lang w:val="en-IN"/>
              </w:rPr>
              <w:t>10.</w:t>
            </w:r>
          </w:p>
        </w:tc>
        <w:tc>
          <w:tcPr>
            <w:tcW w:w="0" w:type="auto"/>
            <w:hideMark/>
          </w:tcPr>
          <w:p w:rsidR="00EC2663" w:rsidRPr="000130E0" w:rsidRDefault="00EC2663" w:rsidP="00EC2663">
            <w:pPr>
              <w:jc w:val="both"/>
              <w:rPr>
                <w:sz w:val="16"/>
                <w:szCs w:val="16"/>
                <w:lang w:val="en-IN"/>
              </w:rPr>
            </w:pPr>
            <w:proofErr w:type="spellStart"/>
            <w:proofErr w:type="gramStart"/>
            <w:r w:rsidRPr="000130E0">
              <w:rPr>
                <w:sz w:val="16"/>
                <w:szCs w:val="16"/>
                <w:lang w:val="en-IN"/>
              </w:rPr>
              <w:t>Demacker</w:t>
            </w:r>
            <w:proofErr w:type="spellEnd"/>
            <w:r w:rsidRPr="000130E0">
              <w:rPr>
                <w:sz w:val="16"/>
                <w:szCs w:val="16"/>
                <w:lang w:val="en-IN"/>
              </w:rPr>
              <w:t xml:space="preserve"> ,</w:t>
            </w:r>
            <w:proofErr w:type="gramEnd"/>
            <w:r w:rsidRPr="000130E0">
              <w:rPr>
                <w:sz w:val="16"/>
                <w:szCs w:val="16"/>
                <w:lang w:val="en-IN"/>
              </w:rPr>
              <w:t xml:space="preserve"> P.N.M., et al. (1980) </w:t>
            </w:r>
            <w:proofErr w:type="spellStart"/>
            <w:r w:rsidRPr="000130E0">
              <w:rPr>
                <w:sz w:val="16"/>
                <w:szCs w:val="16"/>
                <w:lang w:val="en-IN"/>
              </w:rPr>
              <w:t>Clin</w:t>
            </w:r>
            <w:proofErr w:type="spellEnd"/>
            <w:r w:rsidRPr="000130E0">
              <w:rPr>
                <w:sz w:val="16"/>
                <w:szCs w:val="16"/>
                <w:lang w:val="en-IN"/>
              </w:rPr>
              <w:t xml:space="preserve">. </w:t>
            </w:r>
            <w:proofErr w:type="spellStart"/>
            <w:r w:rsidRPr="000130E0">
              <w:rPr>
                <w:sz w:val="16"/>
                <w:szCs w:val="16"/>
                <w:lang w:val="en-IN"/>
              </w:rPr>
              <w:t>Chem</w:t>
            </w:r>
            <w:proofErr w:type="spellEnd"/>
            <w:r w:rsidRPr="000130E0">
              <w:rPr>
                <w:sz w:val="16"/>
                <w:szCs w:val="16"/>
                <w:lang w:val="en-IN"/>
              </w:rPr>
              <w:t xml:space="preserve"> 26:1775. </w:t>
            </w:r>
          </w:p>
        </w:tc>
      </w:tr>
      <w:tr w:rsidR="00EC2663" w:rsidRPr="000130E0" w:rsidTr="00EC2663">
        <w:trPr>
          <w:trHeight w:val="488"/>
          <w:tblCellSpacing w:w="15" w:type="dxa"/>
        </w:trPr>
        <w:tc>
          <w:tcPr>
            <w:tcW w:w="0" w:type="auto"/>
            <w:hideMark/>
          </w:tcPr>
          <w:p w:rsidR="00EC2663" w:rsidRPr="000130E0" w:rsidRDefault="00EC2663" w:rsidP="00EC2663">
            <w:pPr>
              <w:jc w:val="both"/>
              <w:rPr>
                <w:sz w:val="20"/>
                <w:szCs w:val="20"/>
                <w:lang w:val="en-IN"/>
              </w:rPr>
            </w:pPr>
            <w:r w:rsidRPr="000130E0">
              <w:rPr>
                <w:sz w:val="20"/>
                <w:szCs w:val="20"/>
                <w:lang w:val="en-IN"/>
              </w:rPr>
              <w:t>11.</w:t>
            </w:r>
          </w:p>
        </w:tc>
        <w:tc>
          <w:tcPr>
            <w:tcW w:w="0" w:type="auto"/>
            <w:hideMark/>
          </w:tcPr>
          <w:p w:rsidR="00EC2663" w:rsidRPr="000130E0" w:rsidRDefault="00EC2663" w:rsidP="00EC2663">
            <w:pPr>
              <w:jc w:val="both"/>
              <w:rPr>
                <w:sz w:val="16"/>
                <w:szCs w:val="16"/>
                <w:lang w:val="en-IN"/>
              </w:rPr>
            </w:pPr>
            <w:r w:rsidRPr="000130E0">
              <w:rPr>
                <w:sz w:val="16"/>
                <w:szCs w:val="16"/>
                <w:lang w:val="en-IN"/>
              </w:rPr>
              <w:t xml:space="preserve">Kale AB, Kale BS, </w:t>
            </w:r>
            <w:proofErr w:type="spellStart"/>
            <w:r w:rsidRPr="000130E0">
              <w:rPr>
                <w:sz w:val="16"/>
                <w:szCs w:val="16"/>
                <w:lang w:val="en-IN"/>
              </w:rPr>
              <w:t>Chalak</w:t>
            </w:r>
            <w:proofErr w:type="spellEnd"/>
            <w:r w:rsidRPr="000130E0">
              <w:rPr>
                <w:sz w:val="16"/>
                <w:szCs w:val="16"/>
                <w:lang w:val="en-IN"/>
              </w:rPr>
              <w:t xml:space="preserve"> SS, </w:t>
            </w:r>
            <w:proofErr w:type="spellStart"/>
            <w:r w:rsidRPr="000130E0">
              <w:rPr>
                <w:sz w:val="16"/>
                <w:szCs w:val="16"/>
                <w:lang w:val="en-IN"/>
              </w:rPr>
              <w:t>TaTankhiwale</w:t>
            </w:r>
            <w:proofErr w:type="spellEnd"/>
            <w:r w:rsidRPr="000130E0">
              <w:rPr>
                <w:sz w:val="16"/>
                <w:szCs w:val="16"/>
                <w:lang w:val="en-IN"/>
              </w:rPr>
              <w:t xml:space="preserve"> SR, Bang G, Agra </w:t>
            </w:r>
            <w:proofErr w:type="spellStart"/>
            <w:r w:rsidRPr="000130E0">
              <w:rPr>
                <w:sz w:val="16"/>
                <w:szCs w:val="16"/>
                <w:lang w:val="en-IN"/>
              </w:rPr>
              <w:t>wal</w:t>
            </w:r>
            <w:proofErr w:type="spellEnd"/>
            <w:r w:rsidRPr="000130E0">
              <w:rPr>
                <w:sz w:val="16"/>
                <w:szCs w:val="16"/>
                <w:lang w:val="en-IN"/>
              </w:rPr>
              <w:t xml:space="preserve"> M, et al. Lipid Parameters : Significance in </w:t>
            </w:r>
            <w:proofErr w:type="spellStart"/>
            <w:r w:rsidRPr="000130E0">
              <w:rPr>
                <w:sz w:val="16"/>
                <w:szCs w:val="16"/>
                <w:lang w:val="en-IN"/>
              </w:rPr>
              <w:t>patientswith</w:t>
            </w:r>
            <w:proofErr w:type="spellEnd"/>
            <w:r w:rsidRPr="000130E0">
              <w:rPr>
                <w:sz w:val="16"/>
                <w:szCs w:val="16"/>
                <w:lang w:val="en-IN"/>
              </w:rPr>
              <w:t xml:space="preserve"> Endogenous </w:t>
            </w:r>
            <w:proofErr w:type="spellStart"/>
            <w:r w:rsidRPr="000130E0">
              <w:rPr>
                <w:sz w:val="16"/>
                <w:szCs w:val="16"/>
                <w:lang w:val="en-IN"/>
              </w:rPr>
              <w:t>Depresssion.Journal</w:t>
            </w:r>
            <w:proofErr w:type="spellEnd"/>
            <w:r w:rsidRPr="000130E0">
              <w:rPr>
                <w:sz w:val="16"/>
                <w:szCs w:val="16"/>
                <w:lang w:val="en-IN"/>
              </w:rPr>
              <w:t xml:space="preserve"> of Clinical and Diagnostic Research. 2014 Jan, Vol-8(1): 17-19. .</w:t>
            </w:r>
          </w:p>
        </w:tc>
      </w:tr>
      <w:tr w:rsidR="00EC2663" w:rsidRPr="000130E0" w:rsidTr="00EC2663">
        <w:trPr>
          <w:trHeight w:val="533"/>
          <w:tblCellSpacing w:w="15" w:type="dxa"/>
        </w:trPr>
        <w:tc>
          <w:tcPr>
            <w:tcW w:w="0" w:type="auto"/>
            <w:hideMark/>
          </w:tcPr>
          <w:p w:rsidR="00EC2663" w:rsidRPr="000130E0" w:rsidRDefault="00EC2663" w:rsidP="00EC2663">
            <w:pPr>
              <w:jc w:val="both"/>
              <w:rPr>
                <w:sz w:val="20"/>
                <w:szCs w:val="20"/>
                <w:lang w:val="en-IN"/>
              </w:rPr>
            </w:pPr>
            <w:r w:rsidRPr="000130E0">
              <w:rPr>
                <w:sz w:val="20"/>
                <w:szCs w:val="20"/>
                <w:lang w:val="en-IN"/>
              </w:rPr>
              <w:t>12.</w:t>
            </w:r>
          </w:p>
        </w:tc>
        <w:tc>
          <w:tcPr>
            <w:tcW w:w="0" w:type="auto"/>
            <w:hideMark/>
          </w:tcPr>
          <w:p w:rsidR="00EC2663" w:rsidRPr="000130E0" w:rsidRDefault="00EC2663" w:rsidP="00EC2663">
            <w:pPr>
              <w:jc w:val="both"/>
              <w:rPr>
                <w:sz w:val="16"/>
                <w:szCs w:val="16"/>
                <w:lang w:val="en-IN"/>
              </w:rPr>
            </w:pPr>
            <w:proofErr w:type="spellStart"/>
            <w:r w:rsidRPr="000130E0">
              <w:rPr>
                <w:sz w:val="16"/>
                <w:szCs w:val="16"/>
                <w:lang w:val="en-IN"/>
              </w:rPr>
              <w:t>Patra</w:t>
            </w:r>
            <w:proofErr w:type="spellEnd"/>
            <w:r w:rsidRPr="000130E0">
              <w:rPr>
                <w:sz w:val="16"/>
                <w:szCs w:val="16"/>
                <w:lang w:val="en-IN"/>
              </w:rPr>
              <w:t xml:space="preserve"> BN, </w:t>
            </w:r>
            <w:proofErr w:type="spellStart"/>
            <w:r w:rsidRPr="000130E0">
              <w:rPr>
                <w:sz w:val="16"/>
                <w:szCs w:val="16"/>
                <w:lang w:val="en-IN"/>
              </w:rPr>
              <w:t>Khandelwal</w:t>
            </w:r>
            <w:proofErr w:type="spellEnd"/>
            <w:r w:rsidRPr="000130E0">
              <w:rPr>
                <w:sz w:val="16"/>
                <w:szCs w:val="16"/>
                <w:lang w:val="en-IN"/>
              </w:rPr>
              <w:t xml:space="preserve"> SK, </w:t>
            </w:r>
            <w:proofErr w:type="spellStart"/>
            <w:r w:rsidRPr="000130E0">
              <w:rPr>
                <w:sz w:val="16"/>
                <w:szCs w:val="16"/>
                <w:lang w:val="en-IN"/>
              </w:rPr>
              <w:t>Chadda</w:t>
            </w:r>
            <w:proofErr w:type="spellEnd"/>
            <w:r w:rsidRPr="000130E0">
              <w:rPr>
                <w:sz w:val="16"/>
                <w:szCs w:val="16"/>
                <w:lang w:val="en-IN"/>
              </w:rPr>
              <w:t xml:space="preserve"> RK, </w:t>
            </w:r>
            <w:proofErr w:type="spellStart"/>
            <w:r w:rsidRPr="000130E0">
              <w:rPr>
                <w:sz w:val="16"/>
                <w:szCs w:val="16"/>
                <w:lang w:val="en-IN"/>
              </w:rPr>
              <w:t>Ramakrishnan</w:t>
            </w:r>
            <w:proofErr w:type="spellEnd"/>
            <w:r w:rsidRPr="000130E0">
              <w:rPr>
                <w:sz w:val="16"/>
                <w:szCs w:val="16"/>
                <w:lang w:val="en-IN"/>
              </w:rPr>
              <w:t xml:space="preserve"> L. A Controlled Study of Serum Lipid Profiles in Indian Patients with Depressive Episode. </w:t>
            </w:r>
            <w:proofErr w:type="spellStart"/>
            <w:r w:rsidRPr="000130E0">
              <w:rPr>
                <w:sz w:val="16"/>
                <w:szCs w:val="16"/>
                <w:lang w:val="en-IN"/>
              </w:rPr>
              <w:t>IndianJournal</w:t>
            </w:r>
            <w:proofErr w:type="spellEnd"/>
            <w:r w:rsidRPr="000130E0">
              <w:rPr>
                <w:sz w:val="16"/>
                <w:szCs w:val="16"/>
                <w:lang w:val="en-IN"/>
              </w:rPr>
              <w:t xml:space="preserve"> of Psychological Medicine. 2014 Apr-Jun; 36(2): p. 129-133.</w:t>
            </w:r>
          </w:p>
        </w:tc>
      </w:tr>
      <w:tr w:rsidR="00EC2663" w:rsidRPr="000130E0" w:rsidTr="00EC2663">
        <w:trPr>
          <w:trHeight w:val="398"/>
          <w:tblCellSpacing w:w="15" w:type="dxa"/>
        </w:trPr>
        <w:tc>
          <w:tcPr>
            <w:tcW w:w="0" w:type="auto"/>
            <w:hideMark/>
          </w:tcPr>
          <w:p w:rsidR="00EC2663" w:rsidRPr="000130E0" w:rsidRDefault="00EC2663" w:rsidP="00EC2663">
            <w:pPr>
              <w:jc w:val="both"/>
              <w:rPr>
                <w:sz w:val="20"/>
                <w:szCs w:val="20"/>
              </w:rPr>
            </w:pPr>
            <w:r w:rsidRPr="000130E0">
              <w:rPr>
                <w:sz w:val="20"/>
                <w:szCs w:val="20"/>
              </w:rPr>
              <w:t>13.</w:t>
            </w:r>
          </w:p>
        </w:tc>
        <w:tc>
          <w:tcPr>
            <w:tcW w:w="0" w:type="auto"/>
            <w:hideMark/>
          </w:tcPr>
          <w:p w:rsidR="00EC2663" w:rsidRPr="000130E0" w:rsidRDefault="00EC2663" w:rsidP="00EC2663">
            <w:pPr>
              <w:jc w:val="both"/>
              <w:rPr>
                <w:sz w:val="16"/>
                <w:szCs w:val="16"/>
              </w:rPr>
            </w:pPr>
            <w:r w:rsidRPr="000130E0">
              <w:rPr>
                <w:sz w:val="16"/>
                <w:szCs w:val="16"/>
              </w:rPr>
              <w:t xml:space="preserve">Marko </w:t>
            </w:r>
            <w:proofErr w:type="spellStart"/>
            <w:r w:rsidRPr="000130E0">
              <w:rPr>
                <w:sz w:val="16"/>
                <w:szCs w:val="16"/>
              </w:rPr>
              <w:t>Martinac</w:t>
            </w:r>
            <w:proofErr w:type="spellEnd"/>
            <w:r w:rsidRPr="000130E0">
              <w:rPr>
                <w:sz w:val="16"/>
                <w:szCs w:val="16"/>
              </w:rPr>
              <w:t xml:space="preserve">, </w:t>
            </w:r>
            <w:proofErr w:type="spellStart"/>
            <w:r w:rsidRPr="000130E0">
              <w:rPr>
                <w:sz w:val="16"/>
                <w:szCs w:val="16"/>
              </w:rPr>
              <w:t>DaliborKarlović</w:t>
            </w:r>
            <w:proofErr w:type="spellEnd"/>
            <w:r w:rsidRPr="000130E0">
              <w:rPr>
                <w:sz w:val="16"/>
                <w:szCs w:val="16"/>
              </w:rPr>
              <w:t xml:space="preserve">, Nada </w:t>
            </w:r>
            <w:proofErr w:type="spellStart"/>
            <w:r w:rsidRPr="000130E0">
              <w:rPr>
                <w:sz w:val="16"/>
                <w:szCs w:val="16"/>
              </w:rPr>
              <w:t>Vrkić</w:t>
            </w:r>
            <w:proofErr w:type="spellEnd"/>
            <w:r w:rsidRPr="000130E0">
              <w:rPr>
                <w:sz w:val="16"/>
                <w:szCs w:val="16"/>
              </w:rPr>
              <w:t xml:space="preserve">, </w:t>
            </w:r>
            <w:proofErr w:type="spellStart"/>
            <w:r w:rsidRPr="000130E0">
              <w:rPr>
                <w:sz w:val="16"/>
                <w:szCs w:val="16"/>
              </w:rPr>
              <w:t>DarkoMarčinko</w:t>
            </w:r>
            <w:proofErr w:type="spellEnd"/>
            <w:r w:rsidRPr="000130E0">
              <w:rPr>
                <w:sz w:val="16"/>
                <w:szCs w:val="16"/>
              </w:rPr>
              <w:t xml:space="preserve">, Nada </w:t>
            </w:r>
            <w:proofErr w:type="spellStart"/>
            <w:r w:rsidRPr="000130E0">
              <w:rPr>
                <w:sz w:val="16"/>
                <w:szCs w:val="16"/>
              </w:rPr>
              <w:t>Bazina</w:t>
            </w:r>
            <w:proofErr w:type="spellEnd"/>
            <w:r w:rsidRPr="000130E0">
              <w:rPr>
                <w:sz w:val="16"/>
                <w:szCs w:val="16"/>
              </w:rPr>
              <w:t xml:space="preserve">, </w:t>
            </w:r>
            <w:proofErr w:type="spellStart"/>
            <w:r w:rsidRPr="000130E0">
              <w:rPr>
                <w:sz w:val="16"/>
                <w:szCs w:val="16"/>
              </w:rPr>
              <w:t>DraganBabić</w:t>
            </w:r>
            <w:proofErr w:type="spellEnd"/>
            <w:r w:rsidRPr="000130E0">
              <w:rPr>
                <w:sz w:val="16"/>
                <w:szCs w:val="16"/>
              </w:rPr>
              <w:t xml:space="preserve">. Serum lipids in a depressive disorder with regard to depression type. </w:t>
            </w:r>
            <w:proofErr w:type="spellStart"/>
            <w:r w:rsidRPr="000130E0">
              <w:rPr>
                <w:sz w:val="16"/>
                <w:szCs w:val="16"/>
              </w:rPr>
              <w:t>BiochemiaMedica</w:t>
            </w:r>
            <w:proofErr w:type="spellEnd"/>
            <w:r w:rsidRPr="000130E0">
              <w:rPr>
                <w:sz w:val="16"/>
                <w:szCs w:val="16"/>
              </w:rPr>
              <w:t xml:space="preserve"> 2007</w:t>
            </w:r>
            <w:proofErr w:type="gramStart"/>
            <w:r w:rsidRPr="000130E0">
              <w:rPr>
                <w:sz w:val="16"/>
                <w:szCs w:val="16"/>
              </w:rPr>
              <w:t>;17</w:t>
            </w:r>
            <w:proofErr w:type="gramEnd"/>
            <w:r w:rsidRPr="000130E0">
              <w:rPr>
                <w:sz w:val="16"/>
                <w:szCs w:val="16"/>
              </w:rPr>
              <w:t>(1):94-101. http://dx.doi.org/10.11613/BM.2007.010. .</w:t>
            </w:r>
          </w:p>
        </w:tc>
      </w:tr>
      <w:tr w:rsidR="00EC2663" w:rsidRPr="000130E0" w:rsidTr="00EC2663">
        <w:trPr>
          <w:trHeight w:val="452"/>
          <w:tblCellSpacing w:w="15" w:type="dxa"/>
        </w:trPr>
        <w:tc>
          <w:tcPr>
            <w:tcW w:w="0" w:type="auto"/>
            <w:hideMark/>
          </w:tcPr>
          <w:p w:rsidR="00EC2663" w:rsidRPr="000130E0" w:rsidRDefault="00EC2663" w:rsidP="00EC2663">
            <w:pPr>
              <w:jc w:val="both"/>
              <w:rPr>
                <w:sz w:val="20"/>
                <w:szCs w:val="20"/>
                <w:lang w:val="en-IN"/>
              </w:rPr>
            </w:pPr>
            <w:r w:rsidRPr="000130E0">
              <w:rPr>
                <w:sz w:val="20"/>
                <w:szCs w:val="20"/>
                <w:lang w:val="en-IN"/>
              </w:rPr>
              <w:t>14.</w:t>
            </w:r>
          </w:p>
        </w:tc>
        <w:tc>
          <w:tcPr>
            <w:tcW w:w="0" w:type="auto"/>
            <w:hideMark/>
          </w:tcPr>
          <w:p w:rsidR="00EC2663" w:rsidRPr="000130E0" w:rsidRDefault="00EC2663" w:rsidP="00EC2663">
            <w:pPr>
              <w:jc w:val="both"/>
              <w:rPr>
                <w:sz w:val="16"/>
                <w:szCs w:val="16"/>
                <w:lang w:val="en-IN"/>
              </w:rPr>
            </w:pPr>
            <w:proofErr w:type="spellStart"/>
            <w:r w:rsidRPr="000130E0">
              <w:rPr>
                <w:sz w:val="16"/>
                <w:szCs w:val="16"/>
              </w:rPr>
              <w:t>Verma</w:t>
            </w:r>
            <w:proofErr w:type="spellEnd"/>
            <w:r w:rsidRPr="000130E0">
              <w:rPr>
                <w:sz w:val="16"/>
                <w:szCs w:val="16"/>
              </w:rPr>
              <w:t xml:space="preserve"> S, </w:t>
            </w:r>
            <w:proofErr w:type="spellStart"/>
            <w:r w:rsidRPr="000130E0">
              <w:rPr>
                <w:sz w:val="16"/>
                <w:szCs w:val="16"/>
              </w:rPr>
              <w:t>Trivedi</w:t>
            </w:r>
            <w:proofErr w:type="spellEnd"/>
            <w:r w:rsidRPr="000130E0">
              <w:rPr>
                <w:sz w:val="16"/>
                <w:szCs w:val="16"/>
              </w:rPr>
              <w:t xml:space="preserve"> JK, Singh H, </w:t>
            </w:r>
            <w:proofErr w:type="spellStart"/>
            <w:r w:rsidRPr="000130E0">
              <w:rPr>
                <w:sz w:val="16"/>
                <w:szCs w:val="16"/>
              </w:rPr>
              <w:t>Dalal</w:t>
            </w:r>
            <w:proofErr w:type="spellEnd"/>
            <w:r w:rsidRPr="000130E0">
              <w:rPr>
                <w:sz w:val="16"/>
                <w:szCs w:val="16"/>
              </w:rPr>
              <w:t xml:space="preserve"> PK, </w:t>
            </w:r>
            <w:proofErr w:type="spellStart"/>
            <w:r w:rsidRPr="000130E0">
              <w:rPr>
                <w:sz w:val="16"/>
                <w:szCs w:val="16"/>
              </w:rPr>
              <w:t>Asthana</w:t>
            </w:r>
            <w:proofErr w:type="spellEnd"/>
            <w:r w:rsidRPr="000130E0">
              <w:rPr>
                <w:sz w:val="16"/>
                <w:szCs w:val="16"/>
              </w:rPr>
              <w:t xml:space="preserve"> OP, </w:t>
            </w:r>
            <w:proofErr w:type="spellStart"/>
            <w:r w:rsidRPr="000130E0">
              <w:rPr>
                <w:sz w:val="16"/>
                <w:szCs w:val="16"/>
              </w:rPr>
              <w:t>Srivastava</w:t>
            </w:r>
            <w:proofErr w:type="spellEnd"/>
            <w:r w:rsidRPr="000130E0">
              <w:rPr>
                <w:sz w:val="16"/>
                <w:szCs w:val="16"/>
              </w:rPr>
              <w:t xml:space="preserve"> JS, et al. Serum Lipid Profile in Suicide Attempters. Indian journal of Psychiatry. 1999; 41(4): p. 300-306.</w:t>
            </w:r>
          </w:p>
        </w:tc>
      </w:tr>
      <w:tr w:rsidR="00EC2663" w:rsidRPr="000130E0" w:rsidTr="00EC2663">
        <w:trPr>
          <w:trHeight w:val="443"/>
          <w:tblCellSpacing w:w="15" w:type="dxa"/>
        </w:trPr>
        <w:tc>
          <w:tcPr>
            <w:tcW w:w="0" w:type="auto"/>
            <w:hideMark/>
          </w:tcPr>
          <w:p w:rsidR="00EC2663" w:rsidRPr="000130E0" w:rsidRDefault="00EC2663" w:rsidP="00EC2663">
            <w:pPr>
              <w:jc w:val="both"/>
              <w:rPr>
                <w:sz w:val="20"/>
                <w:szCs w:val="20"/>
                <w:lang w:val="en-IN"/>
              </w:rPr>
            </w:pPr>
            <w:r w:rsidRPr="000130E0">
              <w:rPr>
                <w:sz w:val="20"/>
                <w:szCs w:val="20"/>
                <w:lang w:val="en-IN"/>
              </w:rPr>
              <w:t>15.</w:t>
            </w:r>
          </w:p>
        </w:tc>
        <w:tc>
          <w:tcPr>
            <w:tcW w:w="0" w:type="auto"/>
            <w:hideMark/>
          </w:tcPr>
          <w:p w:rsidR="00EC2663" w:rsidRPr="000130E0" w:rsidRDefault="00EC2663" w:rsidP="00EC2663">
            <w:pPr>
              <w:jc w:val="both"/>
              <w:rPr>
                <w:sz w:val="16"/>
                <w:szCs w:val="16"/>
              </w:rPr>
            </w:pPr>
            <w:r w:rsidRPr="000130E0">
              <w:rPr>
                <w:sz w:val="16"/>
                <w:szCs w:val="16"/>
              </w:rPr>
              <w:t xml:space="preserve">Shin JY, </w:t>
            </w:r>
            <w:proofErr w:type="spellStart"/>
            <w:r w:rsidRPr="000130E0">
              <w:rPr>
                <w:sz w:val="16"/>
                <w:szCs w:val="16"/>
              </w:rPr>
              <w:t>Suls</w:t>
            </w:r>
            <w:proofErr w:type="spellEnd"/>
            <w:r w:rsidRPr="000130E0">
              <w:rPr>
                <w:sz w:val="16"/>
                <w:szCs w:val="16"/>
              </w:rPr>
              <w:t xml:space="preserve"> J, Martin R. Are cholesterol and depression inversely related? A meta-analysis of the association between two cardiac risk factors. Ann </w:t>
            </w:r>
            <w:proofErr w:type="spellStart"/>
            <w:r w:rsidRPr="000130E0">
              <w:rPr>
                <w:sz w:val="16"/>
                <w:szCs w:val="16"/>
              </w:rPr>
              <w:t>Behav</w:t>
            </w:r>
            <w:proofErr w:type="spellEnd"/>
            <w:r w:rsidRPr="000130E0">
              <w:rPr>
                <w:sz w:val="16"/>
                <w:szCs w:val="16"/>
              </w:rPr>
              <w:t xml:space="preserve"> Med. 2008 Aug</w:t>
            </w:r>
            <w:proofErr w:type="gramStart"/>
            <w:r w:rsidRPr="000130E0">
              <w:rPr>
                <w:sz w:val="16"/>
                <w:szCs w:val="16"/>
              </w:rPr>
              <w:t>;36</w:t>
            </w:r>
            <w:proofErr w:type="gramEnd"/>
            <w:r w:rsidRPr="000130E0">
              <w:rPr>
                <w:sz w:val="16"/>
                <w:szCs w:val="16"/>
              </w:rPr>
              <w:t xml:space="preserve">(1):33-43. </w:t>
            </w:r>
            <w:proofErr w:type="spellStart"/>
            <w:proofErr w:type="gramStart"/>
            <w:r w:rsidRPr="000130E0">
              <w:rPr>
                <w:sz w:val="16"/>
                <w:szCs w:val="16"/>
              </w:rPr>
              <w:t>doi</w:t>
            </w:r>
            <w:proofErr w:type="spellEnd"/>
            <w:proofErr w:type="gramEnd"/>
            <w:r w:rsidRPr="000130E0">
              <w:rPr>
                <w:sz w:val="16"/>
                <w:szCs w:val="16"/>
              </w:rPr>
              <w:t xml:space="preserve">: 10.1007/s12160-008-9045-8. </w:t>
            </w:r>
            <w:proofErr w:type="spellStart"/>
            <w:r w:rsidRPr="000130E0">
              <w:rPr>
                <w:sz w:val="16"/>
                <w:szCs w:val="16"/>
              </w:rPr>
              <w:t>Epub</w:t>
            </w:r>
            <w:proofErr w:type="spellEnd"/>
            <w:r w:rsidRPr="000130E0">
              <w:rPr>
                <w:sz w:val="16"/>
                <w:szCs w:val="16"/>
              </w:rPr>
              <w:t xml:space="preserve"> 2008 Sep 12.</w:t>
            </w:r>
          </w:p>
        </w:tc>
      </w:tr>
      <w:tr w:rsidR="00EC2663" w:rsidRPr="000130E0" w:rsidTr="00EC2663">
        <w:trPr>
          <w:trHeight w:val="182"/>
          <w:tblCellSpacing w:w="15" w:type="dxa"/>
        </w:trPr>
        <w:tc>
          <w:tcPr>
            <w:tcW w:w="0" w:type="auto"/>
            <w:hideMark/>
          </w:tcPr>
          <w:p w:rsidR="00EC2663" w:rsidRPr="000130E0" w:rsidRDefault="00EC2663" w:rsidP="00EC2663">
            <w:pPr>
              <w:jc w:val="both"/>
              <w:rPr>
                <w:sz w:val="20"/>
                <w:szCs w:val="20"/>
                <w:lang w:val="en-IN"/>
              </w:rPr>
            </w:pPr>
            <w:r w:rsidRPr="000130E0">
              <w:rPr>
                <w:sz w:val="20"/>
                <w:szCs w:val="20"/>
                <w:lang w:val="en-IN"/>
              </w:rPr>
              <w:t>16.</w:t>
            </w:r>
          </w:p>
        </w:tc>
        <w:tc>
          <w:tcPr>
            <w:tcW w:w="0" w:type="auto"/>
            <w:hideMark/>
          </w:tcPr>
          <w:p w:rsidR="00EC2663" w:rsidRPr="000130E0" w:rsidRDefault="00EC2663" w:rsidP="00EC2663">
            <w:pPr>
              <w:jc w:val="both"/>
              <w:rPr>
                <w:sz w:val="16"/>
                <w:szCs w:val="16"/>
              </w:rPr>
            </w:pPr>
            <w:proofErr w:type="spellStart"/>
            <w:proofErr w:type="gramStart"/>
            <w:r w:rsidRPr="000130E0">
              <w:rPr>
                <w:sz w:val="16"/>
                <w:szCs w:val="16"/>
              </w:rPr>
              <w:t>EngelbergH</w:t>
            </w:r>
            <w:proofErr w:type="spellEnd"/>
            <w:r w:rsidRPr="000130E0">
              <w:rPr>
                <w:sz w:val="16"/>
                <w:szCs w:val="16"/>
              </w:rPr>
              <w:t>(</w:t>
            </w:r>
            <w:proofErr w:type="gramEnd"/>
            <w:r w:rsidRPr="000130E0">
              <w:rPr>
                <w:sz w:val="16"/>
                <w:szCs w:val="16"/>
              </w:rPr>
              <w:t xml:space="preserve">1989):Low serum cholesterol and </w:t>
            </w:r>
            <w:proofErr w:type="spellStart"/>
            <w:r w:rsidRPr="000130E0">
              <w:rPr>
                <w:sz w:val="16"/>
                <w:szCs w:val="16"/>
              </w:rPr>
              <w:t>suicide.Lancet</w:t>
            </w:r>
            <w:proofErr w:type="spellEnd"/>
            <w:r w:rsidRPr="000130E0">
              <w:rPr>
                <w:sz w:val="16"/>
                <w:szCs w:val="16"/>
              </w:rPr>
              <w:t xml:space="preserve"> 339:727-729. </w:t>
            </w:r>
          </w:p>
        </w:tc>
      </w:tr>
      <w:tr w:rsidR="00EC2663" w:rsidRPr="000130E0" w:rsidTr="00EC2663">
        <w:trPr>
          <w:trHeight w:val="182"/>
          <w:tblCellSpacing w:w="15" w:type="dxa"/>
        </w:trPr>
        <w:tc>
          <w:tcPr>
            <w:tcW w:w="0" w:type="auto"/>
            <w:hideMark/>
          </w:tcPr>
          <w:p w:rsidR="00EC2663" w:rsidRPr="000130E0" w:rsidRDefault="00EC2663" w:rsidP="00EC2663">
            <w:pPr>
              <w:jc w:val="both"/>
              <w:rPr>
                <w:sz w:val="20"/>
                <w:szCs w:val="20"/>
                <w:lang w:val="en-IN"/>
              </w:rPr>
            </w:pPr>
            <w:r w:rsidRPr="000130E0">
              <w:rPr>
                <w:sz w:val="20"/>
                <w:szCs w:val="20"/>
                <w:lang w:val="en-IN"/>
              </w:rPr>
              <w:t>17.</w:t>
            </w:r>
          </w:p>
        </w:tc>
        <w:tc>
          <w:tcPr>
            <w:tcW w:w="0" w:type="auto"/>
            <w:hideMark/>
          </w:tcPr>
          <w:p w:rsidR="00EC2663" w:rsidRPr="000130E0" w:rsidRDefault="00EC2663" w:rsidP="00EC2663">
            <w:pPr>
              <w:jc w:val="both"/>
              <w:rPr>
                <w:sz w:val="16"/>
                <w:szCs w:val="16"/>
              </w:rPr>
            </w:pPr>
            <w:proofErr w:type="spellStart"/>
            <w:r w:rsidRPr="000130E0">
              <w:rPr>
                <w:sz w:val="16"/>
                <w:szCs w:val="16"/>
              </w:rPr>
              <w:t>Penttinen</w:t>
            </w:r>
            <w:proofErr w:type="spellEnd"/>
            <w:r w:rsidRPr="000130E0">
              <w:rPr>
                <w:sz w:val="16"/>
                <w:szCs w:val="16"/>
              </w:rPr>
              <w:t xml:space="preserve"> J. Hypothesis: low serum cholesterol, suicide and interleukin-2. </w:t>
            </w:r>
            <w:proofErr w:type="spellStart"/>
            <w:r w:rsidRPr="000130E0">
              <w:rPr>
                <w:sz w:val="16"/>
                <w:szCs w:val="16"/>
              </w:rPr>
              <w:t>Am.JEpidemiol</w:t>
            </w:r>
            <w:proofErr w:type="spellEnd"/>
            <w:r w:rsidRPr="000130E0">
              <w:rPr>
                <w:sz w:val="16"/>
                <w:szCs w:val="16"/>
              </w:rPr>
              <w:t>. 1995; 141(8): p. 716-718.</w:t>
            </w:r>
          </w:p>
        </w:tc>
      </w:tr>
      <w:tr w:rsidR="00EC2663" w:rsidRPr="000130E0" w:rsidTr="00EC2663">
        <w:trPr>
          <w:trHeight w:val="668"/>
          <w:tblCellSpacing w:w="15" w:type="dxa"/>
        </w:trPr>
        <w:tc>
          <w:tcPr>
            <w:tcW w:w="0" w:type="auto"/>
            <w:hideMark/>
          </w:tcPr>
          <w:p w:rsidR="00EC2663" w:rsidRPr="000130E0" w:rsidRDefault="00EC2663" w:rsidP="00EC2663">
            <w:pPr>
              <w:jc w:val="both"/>
              <w:rPr>
                <w:sz w:val="20"/>
                <w:szCs w:val="20"/>
                <w:lang w:val="en-IN"/>
              </w:rPr>
            </w:pPr>
            <w:r w:rsidRPr="000130E0">
              <w:rPr>
                <w:sz w:val="20"/>
                <w:szCs w:val="20"/>
                <w:lang w:val="en-IN"/>
              </w:rPr>
              <w:t>18.</w:t>
            </w:r>
          </w:p>
        </w:tc>
        <w:tc>
          <w:tcPr>
            <w:tcW w:w="0" w:type="auto"/>
            <w:hideMark/>
          </w:tcPr>
          <w:p w:rsidR="00EC2663" w:rsidRPr="000130E0" w:rsidRDefault="00EC2663" w:rsidP="00EC2663">
            <w:pPr>
              <w:jc w:val="both"/>
              <w:rPr>
                <w:sz w:val="16"/>
                <w:szCs w:val="16"/>
              </w:rPr>
            </w:pPr>
            <w:proofErr w:type="spellStart"/>
            <w:r w:rsidRPr="000130E0">
              <w:rPr>
                <w:sz w:val="16"/>
                <w:szCs w:val="16"/>
              </w:rPr>
              <w:t>Maes</w:t>
            </w:r>
            <w:proofErr w:type="spellEnd"/>
            <w:r w:rsidRPr="000130E0">
              <w:rPr>
                <w:sz w:val="16"/>
                <w:szCs w:val="16"/>
              </w:rPr>
              <w:t xml:space="preserve"> M, Smith R, Christophe A, </w:t>
            </w:r>
            <w:proofErr w:type="spellStart"/>
            <w:r w:rsidRPr="000130E0">
              <w:rPr>
                <w:sz w:val="16"/>
                <w:szCs w:val="16"/>
              </w:rPr>
              <w:t>Vandoolaeghe</w:t>
            </w:r>
            <w:proofErr w:type="spellEnd"/>
            <w:r w:rsidRPr="000130E0">
              <w:rPr>
                <w:sz w:val="16"/>
                <w:szCs w:val="16"/>
              </w:rPr>
              <w:t xml:space="preserve"> E, Van </w:t>
            </w:r>
            <w:proofErr w:type="spellStart"/>
            <w:r w:rsidRPr="000130E0">
              <w:rPr>
                <w:sz w:val="16"/>
                <w:szCs w:val="16"/>
              </w:rPr>
              <w:t>Gastel</w:t>
            </w:r>
            <w:proofErr w:type="spellEnd"/>
            <w:r w:rsidRPr="000130E0">
              <w:rPr>
                <w:sz w:val="16"/>
                <w:szCs w:val="16"/>
              </w:rPr>
              <w:t xml:space="preserve"> A, </w:t>
            </w:r>
            <w:proofErr w:type="spellStart"/>
            <w:r w:rsidRPr="000130E0">
              <w:rPr>
                <w:sz w:val="16"/>
                <w:szCs w:val="16"/>
              </w:rPr>
              <w:t>Neels</w:t>
            </w:r>
            <w:proofErr w:type="spellEnd"/>
            <w:r w:rsidRPr="000130E0">
              <w:rPr>
                <w:sz w:val="16"/>
                <w:szCs w:val="16"/>
              </w:rPr>
              <w:t xml:space="preserve"> H, et al. Lower serum high density lipoprotein(HDL-C) in major depression and in depressed men with serious suicidal attempts. </w:t>
            </w:r>
            <w:proofErr w:type="spellStart"/>
            <w:r w:rsidRPr="000130E0">
              <w:rPr>
                <w:sz w:val="16"/>
                <w:szCs w:val="16"/>
              </w:rPr>
              <w:t>ActaPsychiatr</w:t>
            </w:r>
            <w:proofErr w:type="spellEnd"/>
            <w:r w:rsidRPr="000130E0">
              <w:rPr>
                <w:sz w:val="16"/>
                <w:szCs w:val="16"/>
              </w:rPr>
              <w:t xml:space="preserve"> Scand. 1997 Mar; 95(3): p. 212-21.</w:t>
            </w:r>
          </w:p>
        </w:tc>
      </w:tr>
    </w:tbl>
    <w:p w:rsidR="00F367A2" w:rsidRPr="00F111CD" w:rsidRDefault="00F367A2" w:rsidP="0021548C">
      <w:pPr>
        <w:spacing w:line="480" w:lineRule="auto"/>
        <w:jc w:val="both"/>
        <w:rPr>
          <w:lang w:val="en-IN"/>
        </w:rPr>
      </w:pPr>
    </w:p>
    <w:sectPr w:rsidR="00F367A2" w:rsidRPr="00F111CD" w:rsidSect="00937AA0">
      <w:pgSz w:w="11907" w:h="16839" w:code="9"/>
      <w:pgMar w:top="1800" w:right="1800" w:bottom="180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3449B"/>
    <w:multiLevelType w:val="hybridMultilevel"/>
    <w:tmpl w:val="33F80C96"/>
    <w:lvl w:ilvl="0" w:tplc="DAE40496">
      <w:start w:val="1"/>
      <w:numFmt w:val="decimal"/>
      <w:lvlText w:val="%1."/>
      <w:lvlJc w:val="left"/>
      <w:pPr>
        <w:ind w:left="780" w:hanging="4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4591CD1"/>
    <w:multiLevelType w:val="hybridMultilevel"/>
    <w:tmpl w:val="549A0A5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7A803DC"/>
    <w:multiLevelType w:val="hybridMultilevel"/>
    <w:tmpl w:val="958466D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9D0FCD"/>
    <w:rsid w:val="00005DE0"/>
    <w:rsid w:val="000130E0"/>
    <w:rsid w:val="001F55D1"/>
    <w:rsid w:val="0021548C"/>
    <w:rsid w:val="002B1728"/>
    <w:rsid w:val="003020BE"/>
    <w:rsid w:val="00426756"/>
    <w:rsid w:val="004510CC"/>
    <w:rsid w:val="00515926"/>
    <w:rsid w:val="005F3B78"/>
    <w:rsid w:val="00675DBD"/>
    <w:rsid w:val="007D3442"/>
    <w:rsid w:val="007E5165"/>
    <w:rsid w:val="00882A61"/>
    <w:rsid w:val="00937AA0"/>
    <w:rsid w:val="00987FA6"/>
    <w:rsid w:val="009B6286"/>
    <w:rsid w:val="009D0FCD"/>
    <w:rsid w:val="00A31701"/>
    <w:rsid w:val="00A427C9"/>
    <w:rsid w:val="00AA3174"/>
    <w:rsid w:val="00AE3F44"/>
    <w:rsid w:val="00B5014B"/>
    <w:rsid w:val="00B94701"/>
    <w:rsid w:val="00C47F30"/>
    <w:rsid w:val="00C95347"/>
    <w:rsid w:val="00D77359"/>
    <w:rsid w:val="00DF7709"/>
    <w:rsid w:val="00EC2663"/>
    <w:rsid w:val="00EC5111"/>
    <w:rsid w:val="00F111CD"/>
    <w:rsid w:val="00F33234"/>
    <w:rsid w:val="00F367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30"/>
        <o:r id="V:Rule5" type="connector" idref="#_x0000_s1029"/>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16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174"/>
    <w:rPr>
      <w:rFonts w:ascii="Tahoma" w:hAnsi="Tahoma" w:cs="Tahoma"/>
      <w:sz w:val="16"/>
      <w:szCs w:val="16"/>
    </w:rPr>
  </w:style>
  <w:style w:type="character" w:customStyle="1" w:styleId="BalloonTextChar">
    <w:name w:val="Balloon Text Char"/>
    <w:basedOn w:val="DefaultParagraphFont"/>
    <w:link w:val="BalloonText"/>
    <w:uiPriority w:val="99"/>
    <w:semiHidden/>
    <w:rsid w:val="00AA3174"/>
    <w:rPr>
      <w:rFonts w:ascii="Tahoma" w:hAnsi="Tahoma" w:cs="Tahoma"/>
      <w:sz w:val="16"/>
      <w:szCs w:val="16"/>
    </w:rPr>
  </w:style>
  <w:style w:type="character" w:styleId="Hyperlink">
    <w:name w:val="Hyperlink"/>
    <w:basedOn w:val="DefaultParagraphFont"/>
    <w:uiPriority w:val="99"/>
    <w:unhideWhenUsed/>
    <w:rsid w:val="00675D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microsoft.com/office/2007/relationships/stylesWithEffects" Target="stylesWithEffects.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5"/>
  <c:chart>
    <c:title>
      <c:tx>
        <c:rich>
          <a:bodyPr/>
          <a:lstStyle/>
          <a:p>
            <a:pPr>
              <a:defRPr lang="en-IN" sz="900" b="0" i="1"/>
            </a:pPr>
            <a:r>
              <a:rPr lang="en-US" sz="900" b="0" i="1"/>
              <a:t>Age distribution of study participants</a:t>
            </a:r>
          </a:p>
        </c:rich>
      </c:tx>
      <c:layout>
        <c:manualLayout>
          <c:xMode val="edge"/>
          <c:yMode val="edge"/>
          <c:x val="0.25727617381160706"/>
          <c:y val="0"/>
        </c:manualLayout>
      </c:layout>
    </c:title>
    <c:view3D>
      <c:rotX val="0"/>
      <c:depthPercent val="150"/>
      <c:rAngAx val="1"/>
    </c:view3D>
    <c:plotArea>
      <c:layout>
        <c:manualLayout>
          <c:layoutTarget val="inner"/>
          <c:xMode val="edge"/>
          <c:yMode val="edge"/>
          <c:x val="0.13445438832341089"/>
          <c:y val="0.14060785015509433"/>
          <c:w val="0.86511617271400176"/>
          <c:h val="0.63804711911011458"/>
        </c:manualLayout>
      </c:layout>
      <c:bar3DChart>
        <c:barDir val="col"/>
        <c:grouping val="clustered"/>
        <c:ser>
          <c:idx val="0"/>
          <c:order val="0"/>
          <c:tx>
            <c:strRef>
              <c:f>Sheet1!$B$1</c:f>
              <c:strCache>
                <c:ptCount val="1"/>
                <c:pt idx="0">
                  <c:v>cases</c:v>
                </c:pt>
              </c:strCache>
            </c:strRef>
          </c:tx>
          <c:dLbls>
            <c:txPr>
              <a:bodyPr/>
              <a:lstStyle/>
              <a:p>
                <a:pPr>
                  <a:defRPr lang="en-IN"/>
                </a:pPr>
                <a:endParaRPr lang="en-US"/>
              </a:p>
            </c:txPr>
            <c:showVal val="1"/>
          </c:dLbls>
          <c:cat>
            <c:strRef>
              <c:f>Sheet1!$A$2:$A$8</c:f>
              <c:strCache>
                <c:ptCount val="7"/>
                <c:pt idx="0">
                  <c:v>16-20</c:v>
                </c:pt>
                <c:pt idx="1">
                  <c:v>21-25</c:v>
                </c:pt>
                <c:pt idx="2">
                  <c:v>26-30</c:v>
                </c:pt>
                <c:pt idx="3">
                  <c:v>31-35</c:v>
                </c:pt>
                <c:pt idx="4">
                  <c:v>36-40</c:v>
                </c:pt>
                <c:pt idx="5">
                  <c:v>41-45</c:v>
                </c:pt>
                <c:pt idx="6">
                  <c:v>46-50</c:v>
                </c:pt>
              </c:strCache>
            </c:strRef>
          </c:cat>
          <c:val>
            <c:numRef>
              <c:f>Sheet1!$B$2:$B$8</c:f>
              <c:numCache>
                <c:formatCode>General</c:formatCode>
                <c:ptCount val="7"/>
                <c:pt idx="0">
                  <c:v>3</c:v>
                </c:pt>
                <c:pt idx="1">
                  <c:v>12</c:v>
                </c:pt>
                <c:pt idx="2">
                  <c:v>13</c:v>
                </c:pt>
                <c:pt idx="3">
                  <c:v>7</c:v>
                </c:pt>
                <c:pt idx="4">
                  <c:v>4</c:v>
                </c:pt>
                <c:pt idx="5">
                  <c:v>5</c:v>
                </c:pt>
                <c:pt idx="6">
                  <c:v>6</c:v>
                </c:pt>
              </c:numCache>
            </c:numRef>
          </c:val>
        </c:ser>
        <c:ser>
          <c:idx val="1"/>
          <c:order val="1"/>
          <c:tx>
            <c:strRef>
              <c:f>Sheet1!$C$1</c:f>
              <c:strCache>
                <c:ptCount val="1"/>
                <c:pt idx="0">
                  <c:v>controls</c:v>
                </c:pt>
              </c:strCache>
            </c:strRef>
          </c:tx>
          <c:dLbls>
            <c:txPr>
              <a:bodyPr/>
              <a:lstStyle/>
              <a:p>
                <a:pPr>
                  <a:defRPr lang="en-IN"/>
                </a:pPr>
                <a:endParaRPr lang="en-US"/>
              </a:p>
            </c:txPr>
            <c:showVal val="1"/>
          </c:dLbls>
          <c:cat>
            <c:strRef>
              <c:f>Sheet1!$A$2:$A$8</c:f>
              <c:strCache>
                <c:ptCount val="7"/>
                <c:pt idx="0">
                  <c:v>16-20</c:v>
                </c:pt>
                <c:pt idx="1">
                  <c:v>21-25</c:v>
                </c:pt>
                <c:pt idx="2">
                  <c:v>26-30</c:v>
                </c:pt>
                <c:pt idx="3">
                  <c:v>31-35</c:v>
                </c:pt>
                <c:pt idx="4">
                  <c:v>36-40</c:v>
                </c:pt>
                <c:pt idx="5">
                  <c:v>41-45</c:v>
                </c:pt>
                <c:pt idx="6">
                  <c:v>46-50</c:v>
                </c:pt>
              </c:strCache>
            </c:strRef>
          </c:cat>
          <c:val>
            <c:numRef>
              <c:f>Sheet1!$C$2:$C$8</c:f>
              <c:numCache>
                <c:formatCode>General</c:formatCode>
                <c:ptCount val="7"/>
                <c:pt idx="0">
                  <c:v>3</c:v>
                </c:pt>
                <c:pt idx="1">
                  <c:v>12</c:v>
                </c:pt>
                <c:pt idx="2">
                  <c:v>13</c:v>
                </c:pt>
                <c:pt idx="3">
                  <c:v>7</c:v>
                </c:pt>
                <c:pt idx="4">
                  <c:v>4</c:v>
                </c:pt>
                <c:pt idx="5">
                  <c:v>5</c:v>
                </c:pt>
                <c:pt idx="6">
                  <c:v>6</c:v>
                </c:pt>
              </c:numCache>
            </c:numRef>
          </c:val>
        </c:ser>
        <c:dLbls>
          <c:showVal val="1"/>
        </c:dLbls>
        <c:gapWidth val="100"/>
        <c:shape val="box"/>
        <c:axId val="46971136"/>
        <c:axId val="46975232"/>
        <c:axId val="0"/>
      </c:bar3DChart>
      <c:catAx>
        <c:axId val="46971136"/>
        <c:scaling>
          <c:orientation val="minMax"/>
        </c:scaling>
        <c:axPos val="b"/>
        <c:title>
          <c:tx>
            <c:rich>
              <a:bodyPr/>
              <a:lstStyle/>
              <a:p>
                <a:pPr>
                  <a:defRPr lang="en-IN"/>
                </a:pPr>
                <a:r>
                  <a:rPr lang="en-IN"/>
                  <a:t>Age distribution(years)</a:t>
                </a:r>
              </a:p>
            </c:rich>
          </c:tx>
          <c:layout>
            <c:manualLayout>
              <c:xMode val="edge"/>
              <c:yMode val="edge"/>
              <c:x val="0.37020853300258727"/>
              <c:y val="0.90740259906536025"/>
            </c:manualLayout>
          </c:layout>
        </c:title>
        <c:numFmt formatCode="General" sourceLinked="1"/>
        <c:tickLblPos val="nextTo"/>
        <c:txPr>
          <a:bodyPr/>
          <a:lstStyle/>
          <a:p>
            <a:pPr>
              <a:defRPr lang="en-IN"/>
            </a:pPr>
            <a:endParaRPr lang="en-US"/>
          </a:p>
        </c:txPr>
        <c:crossAx val="46975232"/>
        <c:crosses val="autoZero"/>
        <c:auto val="1"/>
        <c:lblAlgn val="ctr"/>
        <c:lblOffset val="100"/>
      </c:catAx>
      <c:valAx>
        <c:axId val="46975232"/>
        <c:scaling>
          <c:orientation val="minMax"/>
        </c:scaling>
        <c:axPos val="l"/>
        <c:majorGridlines/>
        <c:title>
          <c:tx>
            <c:rich>
              <a:bodyPr/>
              <a:lstStyle/>
              <a:p>
                <a:pPr>
                  <a:defRPr lang="en-IN"/>
                </a:pPr>
                <a:r>
                  <a:rPr lang="en-IN"/>
                  <a:t>Number  of participants</a:t>
                </a:r>
              </a:p>
            </c:rich>
          </c:tx>
          <c:layout>
            <c:manualLayout>
              <c:xMode val="edge"/>
              <c:yMode val="edge"/>
              <c:x val="2.7295372800622181E-2"/>
              <c:y val="0.1585306743199156"/>
            </c:manualLayout>
          </c:layout>
        </c:title>
        <c:numFmt formatCode="General" sourceLinked="1"/>
        <c:tickLblPos val="nextTo"/>
        <c:txPr>
          <a:bodyPr/>
          <a:lstStyle/>
          <a:p>
            <a:pPr>
              <a:defRPr lang="en-IN"/>
            </a:pPr>
            <a:endParaRPr lang="en-US"/>
          </a:p>
        </c:txPr>
        <c:crossAx val="46971136"/>
        <c:crosses val="autoZero"/>
        <c:crossBetween val="between"/>
      </c:valAx>
    </c:plotArea>
    <c:legend>
      <c:legendPos val="r"/>
      <c:layout>
        <c:manualLayout>
          <c:xMode val="edge"/>
          <c:yMode val="edge"/>
          <c:x val="0.7959599494507632"/>
          <c:y val="3.4353376282510177E-3"/>
          <c:w val="0.16826893166132034"/>
          <c:h val="0.16298775153105879"/>
        </c:manualLayout>
      </c:layout>
      <c:txPr>
        <a:bodyPr/>
        <a:lstStyle/>
        <a:p>
          <a:pPr>
            <a:defRPr lang="en-IN"/>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5"/>
  <c:chart>
    <c:autoTitleDeleted val="1"/>
    <c:view3D>
      <c:rotX val="30"/>
      <c:perspective val="30"/>
    </c:view3D>
    <c:plotArea>
      <c:layout/>
      <c:pie3DChart>
        <c:varyColors val="1"/>
        <c:ser>
          <c:idx val="0"/>
          <c:order val="0"/>
          <c:tx>
            <c:strRef>
              <c:f>Sheet1!$B$1</c:f>
              <c:strCache>
                <c:ptCount val="1"/>
                <c:pt idx="0">
                  <c:v>cases</c:v>
                </c:pt>
              </c:strCache>
            </c:strRef>
          </c:tx>
          <c:dPt>
            <c:idx val="0"/>
            <c:explosion val="6"/>
          </c:dPt>
          <c:dLbls>
            <c:txPr>
              <a:bodyPr/>
              <a:lstStyle/>
              <a:p>
                <a:pPr>
                  <a:defRPr lang="en-IN"/>
                </a:pPr>
                <a:endParaRPr lang="en-US"/>
              </a:p>
            </c:txPr>
            <c:dLblPos val="ctr"/>
            <c:showPercent val="1"/>
          </c:dLbls>
          <c:cat>
            <c:strRef>
              <c:f>Sheet1!$A$2:$A$3</c:f>
              <c:strCache>
                <c:ptCount val="2"/>
                <c:pt idx="0">
                  <c:v>male</c:v>
                </c:pt>
                <c:pt idx="1">
                  <c:v>female</c:v>
                </c:pt>
              </c:strCache>
            </c:strRef>
          </c:cat>
          <c:val>
            <c:numRef>
              <c:f>Sheet1!$B$2:$B$3</c:f>
              <c:numCache>
                <c:formatCode>General</c:formatCode>
                <c:ptCount val="2"/>
                <c:pt idx="0">
                  <c:v>20</c:v>
                </c:pt>
                <c:pt idx="1">
                  <c:v>30</c:v>
                </c:pt>
              </c:numCache>
            </c:numRef>
          </c:val>
        </c:ser>
        <c:dLbls>
          <c:showVal val="1"/>
        </c:dLbls>
      </c:pie3DChart>
    </c:plotArea>
    <c:legend>
      <c:legendPos val="r"/>
      <c:txPr>
        <a:bodyPr/>
        <a:lstStyle/>
        <a:p>
          <a:pPr>
            <a:defRPr lang="en-IN"/>
          </a:pPr>
          <a:endParaRPr lang="en-US"/>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33"/>
  <c:chart>
    <c:autoTitleDeleted val="1"/>
    <c:view3D>
      <c:rotX val="30"/>
      <c:perspective val="30"/>
    </c:view3D>
    <c:plotArea>
      <c:layout>
        <c:manualLayout>
          <c:layoutTarget val="inner"/>
          <c:xMode val="edge"/>
          <c:yMode val="edge"/>
          <c:x val="5.2469135802469126E-2"/>
          <c:y val="6.0185185185185147E-2"/>
          <c:w val="0.89197530864197561"/>
          <c:h val="0.8611111111111116"/>
        </c:manualLayout>
      </c:layout>
      <c:pie3DChart>
        <c:varyColors val="1"/>
        <c:ser>
          <c:idx val="0"/>
          <c:order val="0"/>
          <c:tx>
            <c:strRef>
              <c:f>Sheet1!$B$1</c:f>
              <c:strCache>
                <c:ptCount val="1"/>
                <c:pt idx="0">
                  <c:v>cases</c:v>
                </c:pt>
              </c:strCache>
            </c:strRef>
          </c:tx>
          <c:dLbls>
            <c:dLbl>
              <c:idx val="2"/>
              <c:layout>
                <c:manualLayout>
                  <c:x val="6.1728395061728392E-3"/>
                  <c:y val="-3.2407407407407607E-2"/>
                </c:manualLayout>
              </c:layout>
              <c:dLblPos val="ctr"/>
              <c:showCatName val="1"/>
              <c:showPercent val="1"/>
            </c:dLbl>
            <c:txPr>
              <a:bodyPr/>
              <a:lstStyle/>
              <a:p>
                <a:pPr>
                  <a:defRPr lang="en-IN"/>
                </a:pPr>
                <a:endParaRPr lang="en-US"/>
              </a:p>
            </c:txPr>
            <c:dLblPos val="ctr"/>
            <c:showCatName val="1"/>
            <c:showPercent val="1"/>
          </c:dLbls>
          <c:cat>
            <c:strRef>
              <c:f>Sheet1!$A$2:$A$4</c:f>
              <c:strCache>
                <c:ptCount val="3"/>
                <c:pt idx="0">
                  <c:v>mild</c:v>
                </c:pt>
                <c:pt idx="1">
                  <c:v>moderate</c:v>
                </c:pt>
                <c:pt idx="2">
                  <c:v>severe</c:v>
                </c:pt>
              </c:strCache>
            </c:strRef>
          </c:cat>
          <c:val>
            <c:numRef>
              <c:f>Sheet1!$B$2:$B$4</c:f>
              <c:numCache>
                <c:formatCode>General</c:formatCode>
                <c:ptCount val="3"/>
                <c:pt idx="0">
                  <c:v>25</c:v>
                </c:pt>
                <c:pt idx="1">
                  <c:v>17</c:v>
                </c:pt>
                <c:pt idx="2">
                  <c:v>8</c:v>
                </c:pt>
              </c:numCache>
            </c:numRef>
          </c:val>
        </c:ser>
        <c:dLbls>
          <c:showVal val="1"/>
        </c:dLbls>
      </c:pie3DChart>
    </c:plotArea>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scatterChart>
        <c:scatterStyle val="lineMarker"/>
        <c:ser>
          <c:idx val="0"/>
          <c:order val="0"/>
          <c:tx>
            <c:strRef>
              <c:f>Sheet1!$B$1</c:f>
              <c:strCache>
                <c:ptCount val="1"/>
                <c:pt idx="0">
                  <c:v>HAMILTON SCORE</c:v>
                </c:pt>
              </c:strCache>
            </c:strRef>
          </c:tx>
          <c:spPr>
            <a:ln w="28575">
              <a:noFill/>
            </a:ln>
          </c:spPr>
          <c:trendline>
            <c:trendlineType val="linear"/>
          </c:trendline>
          <c:trendline>
            <c:trendlineType val="linear"/>
            <c:dispEq val="1"/>
            <c:trendlineLbl>
              <c:layout>
                <c:manualLayout>
                  <c:x val="0.15054635126101104"/>
                  <c:y val="-0.37760878755159688"/>
                </c:manualLayout>
              </c:layout>
              <c:numFmt formatCode="General" sourceLinked="0"/>
              <c:spPr>
                <a:solidFill>
                  <a:schemeClr val="bg1"/>
                </a:solidFill>
              </c:spPr>
              <c:txPr>
                <a:bodyPr/>
                <a:lstStyle/>
                <a:p>
                  <a:pPr>
                    <a:defRPr lang="en-IN"/>
                  </a:pPr>
                  <a:endParaRPr lang="en-US"/>
                </a:p>
              </c:txPr>
            </c:trendlineLbl>
          </c:trendline>
          <c:xVal>
            <c:numRef>
              <c:f>Sheet1!$A$2:$A$51</c:f>
              <c:numCache>
                <c:formatCode>General</c:formatCode>
                <c:ptCount val="50"/>
                <c:pt idx="0">
                  <c:v>152</c:v>
                </c:pt>
                <c:pt idx="1">
                  <c:v>202</c:v>
                </c:pt>
                <c:pt idx="2">
                  <c:v>110</c:v>
                </c:pt>
                <c:pt idx="3">
                  <c:v>176</c:v>
                </c:pt>
                <c:pt idx="4">
                  <c:v>179</c:v>
                </c:pt>
                <c:pt idx="5">
                  <c:v>142</c:v>
                </c:pt>
                <c:pt idx="6">
                  <c:v>143</c:v>
                </c:pt>
                <c:pt idx="7">
                  <c:v>141</c:v>
                </c:pt>
                <c:pt idx="8">
                  <c:v>140</c:v>
                </c:pt>
                <c:pt idx="9">
                  <c:v>155.5</c:v>
                </c:pt>
                <c:pt idx="10">
                  <c:v>158</c:v>
                </c:pt>
                <c:pt idx="11">
                  <c:v>202</c:v>
                </c:pt>
                <c:pt idx="12">
                  <c:v>135</c:v>
                </c:pt>
                <c:pt idx="13">
                  <c:v>166.9</c:v>
                </c:pt>
                <c:pt idx="14">
                  <c:v>178</c:v>
                </c:pt>
                <c:pt idx="15">
                  <c:v>170</c:v>
                </c:pt>
                <c:pt idx="16">
                  <c:v>158</c:v>
                </c:pt>
                <c:pt idx="17">
                  <c:v>139.69999999999999</c:v>
                </c:pt>
                <c:pt idx="18">
                  <c:v>168.1</c:v>
                </c:pt>
                <c:pt idx="19">
                  <c:v>147</c:v>
                </c:pt>
                <c:pt idx="20">
                  <c:v>104.5</c:v>
                </c:pt>
                <c:pt idx="21">
                  <c:v>171</c:v>
                </c:pt>
                <c:pt idx="22">
                  <c:v>134</c:v>
                </c:pt>
                <c:pt idx="23">
                  <c:v>173</c:v>
                </c:pt>
                <c:pt idx="24">
                  <c:v>158.30000000000001</c:v>
                </c:pt>
                <c:pt idx="25">
                  <c:v>180</c:v>
                </c:pt>
                <c:pt idx="26">
                  <c:v>130</c:v>
                </c:pt>
                <c:pt idx="27">
                  <c:v>171</c:v>
                </c:pt>
                <c:pt idx="28">
                  <c:v>174.3</c:v>
                </c:pt>
                <c:pt idx="29">
                  <c:v>194.3</c:v>
                </c:pt>
                <c:pt idx="30">
                  <c:v>113</c:v>
                </c:pt>
                <c:pt idx="31">
                  <c:v>150</c:v>
                </c:pt>
                <c:pt idx="32">
                  <c:v>109</c:v>
                </c:pt>
                <c:pt idx="33">
                  <c:v>124.3</c:v>
                </c:pt>
                <c:pt idx="34">
                  <c:v>115</c:v>
                </c:pt>
                <c:pt idx="35">
                  <c:v>122</c:v>
                </c:pt>
                <c:pt idx="36">
                  <c:v>175</c:v>
                </c:pt>
                <c:pt idx="37">
                  <c:v>146</c:v>
                </c:pt>
                <c:pt idx="38">
                  <c:v>140.80000000000001</c:v>
                </c:pt>
                <c:pt idx="39">
                  <c:v>109</c:v>
                </c:pt>
                <c:pt idx="40">
                  <c:v>100.9</c:v>
                </c:pt>
                <c:pt idx="41">
                  <c:v>206.7</c:v>
                </c:pt>
                <c:pt idx="42">
                  <c:v>158</c:v>
                </c:pt>
                <c:pt idx="43">
                  <c:v>100</c:v>
                </c:pt>
                <c:pt idx="44">
                  <c:v>141</c:v>
                </c:pt>
                <c:pt idx="45">
                  <c:v>168</c:v>
                </c:pt>
                <c:pt idx="46">
                  <c:v>143</c:v>
                </c:pt>
                <c:pt idx="47">
                  <c:v>166</c:v>
                </c:pt>
                <c:pt idx="48">
                  <c:v>120</c:v>
                </c:pt>
                <c:pt idx="49">
                  <c:v>117.6</c:v>
                </c:pt>
              </c:numCache>
            </c:numRef>
          </c:xVal>
          <c:yVal>
            <c:numRef>
              <c:f>Sheet1!$B$2:$B$51</c:f>
              <c:numCache>
                <c:formatCode>General</c:formatCode>
                <c:ptCount val="50"/>
                <c:pt idx="0">
                  <c:v>11</c:v>
                </c:pt>
                <c:pt idx="1">
                  <c:v>9</c:v>
                </c:pt>
                <c:pt idx="2">
                  <c:v>19</c:v>
                </c:pt>
                <c:pt idx="3">
                  <c:v>9</c:v>
                </c:pt>
                <c:pt idx="4">
                  <c:v>12</c:v>
                </c:pt>
                <c:pt idx="5">
                  <c:v>15</c:v>
                </c:pt>
                <c:pt idx="6">
                  <c:v>12</c:v>
                </c:pt>
                <c:pt idx="7">
                  <c:v>15</c:v>
                </c:pt>
                <c:pt idx="8">
                  <c:v>12</c:v>
                </c:pt>
                <c:pt idx="9">
                  <c:v>13</c:v>
                </c:pt>
                <c:pt idx="10">
                  <c:v>15</c:v>
                </c:pt>
                <c:pt idx="11">
                  <c:v>9</c:v>
                </c:pt>
                <c:pt idx="12">
                  <c:v>15</c:v>
                </c:pt>
                <c:pt idx="13">
                  <c:v>12</c:v>
                </c:pt>
                <c:pt idx="14">
                  <c:v>10</c:v>
                </c:pt>
                <c:pt idx="15">
                  <c:v>12</c:v>
                </c:pt>
                <c:pt idx="16">
                  <c:v>13</c:v>
                </c:pt>
                <c:pt idx="17">
                  <c:v>16</c:v>
                </c:pt>
                <c:pt idx="18">
                  <c:v>13</c:v>
                </c:pt>
                <c:pt idx="19">
                  <c:v>14</c:v>
                </c:pt>
                <c:pt idx="20">
                  <c:v>20</c:v>
                </c:pt>
                <c:pt idx="21">
                  <c:v>9</c:v>
                </c:pt>
                <c:pt idx="22">
                  <c:v>12</c:v>
                </c:pt>
                <c:pt idx="23">
                  <c:v>10</c:v>
                </c:pt>
                <c:pt idx="24">
                  <c:v>14</c:v>
                </c:pt>
                <c:pt idx="25">
                  <c:v>10</c:v>
                </c:pt>
                <c:pt idx="26">
                  <c:v>14</c:v>
                </c:pt>
                <c:pt idx="27">
                  <c:v>11</c:v>
                </c:pt>
                <c:pt idx="28">
                  <c:v>10</c:v>
                </c:pt>
                <c:pt idx="29">
                  <c:v>8</c:v>
                </c:pt>
                <c:pt idx="30">
                  <c:v>19</c:v>
                </c:pt>
                <c:pt idx="31">
                  <c:v>14</c:v>
                </c:pt>
                <c:pt idx="32">
                  <c:v>20</c:v>
                </c:pt>
                <c:pt idx="33">
                  <c:v>16</c:v>
                </c:pt>
                <c:pt idx="34">
                  <c:v>19</c:v>
                </c:pt>
                <c:pt idx="35">
                  <c:v>14</c:v>
                </c:pt>
                <c:pt idx="36">
                  <c:v>19</c:v>
                </c:pt>
                <c:pt idx="37">
                  <c:v>13</c:v>
                </c:pt>
                <c:pt idx="38">
                  <c:v>16</c:v>
                </c:pt>
                <c:pt idx="39">
                  <c:v>21</c:v>
                </c:pt>
                <c:pt idx="40">
                  <c:v>17</c:v>
                </c:pt>
                <c:pt idx="41">
                  <c:v>9</c:v>
                </c:pt>
                <c:pt idx="42">
                  <c:v>10</c:v>
                </c:pt>
                <c:pt idx="43">
                  <c:v>19</c:v>
                </c:pt>
                <c:pt idx="44">
                  <c:v>14</c:v>
                </c:pt>
                <c:pt idx="45">
                  <c:v>11</c:v>
                </c:pt>
                <c:pt idx="46">
                  <c:v>15</c:v>
                </c:pt>
                <c:pt idx="47">
                  <c:v>12</c:v>
                </c:pt>
                <c:pt idx="48">
                  <c:v>17</c:v>
                </c:pt>
                <c:pt idx="49">
                  <c:v>14</c:v>
                </c:pt>
              </c:numCache>
            </c:numRef>
          </c:yVal>
        </c:ser>
        <c:axId val="61151104"/>
        <c:axId val="61153280"/>
      </c:scatterChart>
      <c:valAx>
        <c:axId val="61151104"/>
        <c:scaling>
          <c:orientation val="minMax"/>
        </c:scaling>
        <c:axPos val="b"/>
        <c:majorGridlines/>
        <c:minorGridlines/>
        <c:title>
          <c:tx>
            <c:rich>
              <a:bodyPr/>
              <a:lstStyle/>
              <a:p>
                <a:pPr>
                  <a:defRPr lang="en-IN"/>
                </a:pPr>
                <a:r>
                  <a:rPr lang="en-IN"/>
                  <a:t>Total Cholesterol</a:t>
                </a:r>
              </a:p>
            </c:rich>
          </c:tx>
        </c:title>
        <c:numFmt formatCode="General" sourceLinked="1"/>
        <c:tickLblPos val="nextTo"/>
        <c:txPr>
          <a:bodyPr/>
          <a:lstStyle/>
          <a:p>
            <a:pPr>
              <a:defRPr lang="en-IN"/>
            </a:pPr>
            <a:endParaRPr lang="en-US"/>
          </a:p>
        </c:txPr>
        <c:crossAx val="61153280"/>
        <c:crosses val="autoZero"/>
        <c:crossBetween val="midCat"/>
      </c:valAx>
      <c:valAx>
        <c:axId val="61153280"/>
        <c:scaling>
          <c:orientation val="minMax"/>
          <c:min val="0"/>
        </c:scaling>
        <c:axPos val="l"/>
        <c:majorGridlines/>
        <c:minorGridlines/>
        <c:title>
          <c:tx>
            <c:rich>
              <a:bodyPr/>
              <a:lstStyle/>
              <a:p>
                <a:pPr>
                  <a:defRPr lang="en-IN"/>
                </a:pPr>
                <a:r>
                  <a:rPr lang="en-IN"/>
                  <a:t>Hamilton Score</a:t>
                </a:r>
              </a:p>
            </c:rich>
          </c:tx>
        </c:title>
        <c:numFmt formatCode="General" sourceLinked="1"/>
        <c:tickLblPos val="nextTo"/>
        <c:txPr>
          <a:bodyPr/>
          <a:lstStyle/>
          <a:p>
            <a:pPr>
              <a:defRPr lang="en-IN"/>
            </a:pPr>
            <a:endParaRPr lang="en-US"/>
          </a:p>
        </c:txPr>
        <c:crossAx val="61151104"/>
        <c:crosses val="autoZero"/>
        <c:crossBetween val="midCat"/>
        <c:majorUnit val="2"/>
      </c:valAx>
    </c:plotArea>
    <c:legend>
      <c:legendPos val="b"/>
      <c:txPr>
        <a:bodyPr/>
        <a:lstStyle/>
        <a:p>
          <a:pPr>
            <a:defRPr lang="en-IN"/>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7</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Pratim</dc:creator>
  <cp:lastModifiedBy>Pratim</cp:lastModifiedBy>
  <cp:revision>6</cp:revision>
  <dcterms:created xsi:type="dcterms:W3CDTF">2017-04-30T18:19:00Z</dcterms:created>
  <dcterms:modified xsi:type="dcterms:W3CDTF">2017-05-05T17:07:00Z</dcterms:modified>
</cp:coreProperties>
</file>