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FD" w:rsidRPr="00587F5D" w:rsidRDefault="005A4BA4" w:rsidP="00FB3E47">
      <w:pPr>
        <w:jc w:val="center"/>
        <w:rPr>
          <w:rFonts w:asciiTheme="majorHAnsi" w:hAnsiTheme="majorHAnsi"/>
          <w:b/>
          <w:sz w:val="44"/>
          <w:szCs w:val="44"/>
        </w:rPr>
      </w:pPr>
      <w:r w:rsidRPr="00587F5D">
        <w:rPr>
          <w:rFonts w:asciiTheme="majorHAnsi" w:hAnsiTheme="majorHAnsi"/>
          <w:b/>
          <w:sz w:val="44"/>
          <w:szCs w:val="44"/>
        </w:rPr>
        <w:t xml:space="preserve">Prevalence of </w:t>
      </w:r>
      <w:r w:rsidR="00845D44" w:rsidRPr="00587F5D">
        <w:rPr>
          <w:rFonts w:asciiTheme="majorHAnsi" w:hAnsiTheme="majorHAnsi"/>
          <w:b/>
          <w:sz w:val="44"/>
          <w:szCs w:val="44"/>
        </w:rPr>
        <w:t>Hypothyroid</w:t>
      </w:r>
      <w:r w:rsidR="00CD32D8" w:rsidRPr="00587F5D">
        <w:rPr>
          <w:rFonts w:asciiTheme="majorHAnsi" w:hAnsiTheme="majorHAnsi"/>
          <w:b/>
          <w:sz w:val="44"/>
          <w:szCs w:val="44"/>
        </w:rPr>
        <w:t>ism</w:t>
      </w:r>
      <w:r w:rsidR="00845D44" w:rsidRPr="00587F5D">
        <w:rPr>
          <w:rFonts w:asciiTheme="majorHAnsi" w:hAnsiTheme="majorHAnsi"/>
          <w:b/>
          <w:sz w:val="44"/>
          <w:szCs w:val="44"/>
        </w:rPr>
        <w:t xml:space="preserve"> in C</w:t>
      </w:r>
      <w:r w:rsidR="00CD32D8" w:rsidRPr="00587F5D">
        <w:rPr>
          <w:rFonts w:asciiTheme="majorHAnsi" w:hAnsiTheme="majorHAnsi"/>
          <w:b/>
          <w:sz w:val="44"/>
          <w:szCs w:val="44"/>
        </w:rPr>
        <w:t xml:space="preserve">hronic </w:t>
      </w:r>
      <w:r w:rsidR="00845D44" w:rsidRPr="00587F5D">
        <w:rPr>
          <w:rFonts w:asciiTheme="majorHAnsi" w:hAnsiTheme="majorHAnsi"/>
          <w:b/>
          <w:sz w:val="44"/>
          <w:szCs w:val="44"/>
        </w:rPr>
        <w:t>K</w:t>
      </w:r>
      <w:r w:rsidR="00CD32D8" w:rsidRPr="00587F5D">
        <w:rPr>
          <w:rFonts w:asciiTheme="majorHAnsi" w:hAnsiTheme="majorHAnsi"/>
          <w:b/>
          <w:sz w:val="44"/>
          <w:szCs w:val="44"/>
        </w:rPr>
        <w:t xml:space="preserve">idney </w:t>
      </w:r>
      <w:r w:rsidR="00845D44" w:rsidRPr="00587F5D">
        <w:rPr>
          <w:rFonts w:asciiTheme="majorHAnsi" w:hAnsiTheme="majorHAnsi"/>
          <w:b/>
          <w:sz w:val="44"/>
          <w:szCs w:val="44"/>
        </w:rPr>
        <w:t>D</w:t>
      </w:r>
      <w:r w:rsidR="00CD32D8" w:rsidRPr="00587F5D">
        <w:rPr>
          <w:rFonts w:asciiTheme="majorHAnsi" w:hAnsiTheme="majorHAnsi"/>
          <w:b/>
          <w:sz w:val="44"/>
          <w:szCs w:val="44"/>
        </w:rPr>
        <w:t>isease</w:t>
      </w:r>
      <w:r w:rsidRPr="00587F5D">
        <w:rPr>
          <w:rFonts w:asciiTheme="majorHAnsi" w:hAnsiTheme="majorHAnsi"/>
          <w:b/>
          <w:sz w:val="44"/>
          <w:szCs w:val="44"/>
        </w:rPr>
        <w:t>:</w:t>
      </w:r>
      <w:r w:rsidR="00FB3E47" w:rsidRPr="00587F5D">
        <w:rPr>
          <w:rFonts w:asciiTheme="majorHAnsi" w:hAnsiTheme="majorHAnsi"/>
          <w:b/>
          <w:sz w:val="44"/>
          <w:szCs w:val="44"/>
        </w:rPr>
        <w:t xml:space="preserve"> A Single </w:t>
      </w:r>
      <w:r w:rsidR="00557759" w:rsidRPr="00587F5D">
        <w:rPr>
          <w:rFonts w:asciiTheme="majorHAnsi" w:hAnsiTheme="majorHAnsi"/>
          <w:b/>
          <w:sz w:val="44"/>
          <w:szCs w:val="44"/>
        </w:rPr>
        <w:t>Centre</w:t>
      </w:r>
      <w:r w:rsidR="00FB3E47" w:rsidRPr="00587F5D">
        <w:rPr>
          <w:rFonts w:asciiTheme="majorHAnsi" w:hAnsiTheme="majorHAnsi"/>
          <w:b/>
          <w:sz w:val="44"/>
          <w:szCs w:val="44"/>
        </w:rPr>
        <w:t xml:space="preserve"> Cross-Sectional Study</w:t>
      </w:r>
    </w:p>
    <w:p w:rsidR="00587F5D" w:rsidRPr="00587F5D" w:rsidRDefault="00587F5D" w:rsidP="00587F5D">
      <w:pPr>
        <w:pStyle w:val="NoSpacing"/>
        <w:rPr>
          <w:b/>
          <w:sz w:val="28"/>
          <w:szCs w:val="28"/>
        </w:rPr>
      </w:pPr>
      <w:r w:rsidRPr="00587F5D">
        <w:rPr>
          <w:b/>
          <w:sz w:val="28"/>
          <w:szCs w:val="28"/>
        </w:rPr>
        <w:t>Abstract</w:t>
      </w:r>
    </w:p>
    <w:p w:rsidR="00587F5D" w:rsidRDefault="00587F5D" w:rsidP="00587F5D">
      <w:pPr>
        <w:pStyle w:val="NoSpacing"/>
        <w:rPr>
          <w:sz w:val="20"/>
        </w:rPr>
      </w:pPr>
    </w:p>
    <w:p w:rsidR="00587F5D" w:rsidRPr="00A619EB" w:rsidRDefault="005A39B2" w:rsidP="008F0B6E">
      <w:pPr>
        <w:autoSpaceDE w:val="0"/>
        <w:autoSpaceDN w:val="0"/>
        <w:adjustRightInd w:val="0"/>
        <w:spacing w:after="0" w:line="240" w:lineRule="auto"/>
        <w:rPr>
          <w:rFonts w:ascii="Times New Roman" w:hAnsi="Times New Roman" w:cs="Times New Roman"/>
          <w:sz w:val="20"/>
          <w:szCs w:val="20"/>
        </w:rPr>
      </w:pPr>
      <w:r w:rsidRPr="00A619EB">
        <w:rPr>
          <w:rFonts w:ascii="Times New Roman" w:hAnsi="Times New Roman" w:cs="Times New Roman"/>
          <w:b/>
          <w:sz w:val="20"/>
          <w:szCs w:val="20"/>
        </w:rPr>
        <w:t>Background</w:t>
      </w:r>
      <w:r w:rsidR="00587F5D" w:rsidRPr="00A619EB">
        <w:rPr>
          <w:rFonts w:ascii="Times New Roman" w:hAnsi="Times New Roman" w:cs="Times New Roman"/>
          <w:color w:val="000000"/>
          <w:sz w:val="20"/>
          <w:szCs w:val="20"/>
        </w:rPr>
        <w:t xml:space="preserve">: </w:t>
      </w:r>
      <w:r w:rsidR="00587F5D" w:rsidRPr="00A619EB">
        <w:rPr>
          <w:rFonts w:ascii="Times New Roman" w:hAnsi="Times New Roman" w:cs="Times New Roman"/>
          <w:sz w:val="20"/>
          <w:szCs w:val="20"/>
        </w:rPr>
        <w:t>The kidney normally plays an important role in the metabolism, degradation and excretion of thyroid hormones. CKD affects the hypothalamus pituitary thyroid axis and peripheral metabolism of thyroid hormone, and thus affects thyroid function in many ways.  Despite considerable overlap in the symptoms related to hypothyroidism and advanced chronic kidney disease CKD, relatively little is known about the prevalence of thyroid abnormalities in persons with CKD.  In patients with end-stage renal disease, it has been suggested that primary hypothyroidism may be more common in patients with ESRD compared with the general population. Thus this study was conducted to estimate the prevalence of hypothyroid in CKD.</w:t>
      </w:r>
    </w:p>
    <w:p w:rsidR="00587F5D" w:rsidRPr="00A619EB" w:rsidRDefault="00587F5D" w:rsidP="008F0B6E">
      <w:pPr>
        <w:autoSpaceDE w:val="0"/>
        <w:autoSpaceDN w:val="0"/>
        <w:adjustRightInd w:val="0"/>
        <w:spacing w:after="0" w:line="240" w:lineRule="auto"/>
        <w:jc w:val="both"/>
        <w:rPr>
          <w:rFonts w:ascii="Times New Roman" w:hAnsi="Times New Roman" w:cs="Times New Roman"/>
          <w:color w:val="000000"/>
          <w:sz w:val="20"/>
          <w:szCs w:val="20"/>
        </w:rPr>
      </w:pPr>
    </w:p>
    <w:p w:rsidR="00587F5D" w:rsidRPr="00A619EB" w:rsidRDefault="005A39B2" w:rsidP="008F0B6E">
      <w:pPr>
        <w:autoSpaceDE w:val="0"/>
        <w:autoSpaceDN w:val="0"/>
        <w:adjustRightInd w:val="0"/>
        <w:spacing w:after="0" w:line="240" w:lineRule="auto"/>
        <w:jc w:val="both"/>
        <w:rPr>
          <w:rFonts w:ascii="Times New Roman" w:hAnsi="Times New Roman" w:cs="Times New Roman"/>
          <w:b/>
          <w:sz w:val="20"/>
          <w:szCs w:val="20"/>
        </w:rPr>
      </w:pPr>
      <w:r w:rsidRPr="00A619EB">
        <w:rPr>
          <w:rFonts w:ascii="Times New Roman" w:hAnsi="Times New Roman" w:cs="Times New Roman"/>
          <w:b/>
          <w:sz w:val="20"/>
          <w:szCs w:val="20"/>
        </w:rPr>
        <w:t>Aim of the study</w:t>
      </w:r>
      <w:r w:rsidR="00587F5D" w:rsidRPr="00A619EB">
        <w:rPr>
          <w:rFonts w:ascii="Times New Roman" w:hAnsi="Times New Roman" w:cs="Times New Roman"/>
          <w:b/>
          <w:sz w:val="20"/>
          <w:szCs w:val="20"/>
        </w:rPr>
        <w:t xml:space="preserve">: </w:t>
      </w:r>
      <w:r w:rsidR="00587F5D" w:rsidRPr="00A619EB">
        <w:rPr>
          <w:rFonts w:ascii="Times New Roman" w:hAnsi="Times New Roman" w:cs="Times New Roman"/>
          <w:sz w:val="20"/>
          <w:szCs w:val="20"/>
        </w:rPr>
        <w:t xml:space="preserve">To study the prevalence of hypothyroid in CKD and to see if prevalence increases with advancement of CKD stage. </w:t>
      </w:r>
    </w:p>
    <w:p w:rsidR="00587F5D" w:rsidRPr="00A619EB" w:rsidRDefault="00587F5D" w:rsidP="008F0B6E">
      <w:pPr>
        <w:autoSpaceDE w:val="0"/>
        <w:autoSpaceDN w:val="0"/>
        <w:adjustRightInd w:val="0"/>
        <w:spacing w:after="0" w:line="240" w:lineRule="auto"/>
        <w:jc w:val="both"/>
        <w:rPr>
          <w:rFonts w:ascii="Times New Roman" w:hAnsi="Times New Roman" w:cs="Times New Roman"/>
          <w:b/>
          <w:sz w:val="20"/>
          <w:szCs w:val="20"/>
        </w:rPr>
      </w:pPr>
    </w:p>
    <w:p w:rsidR="00587F5D" w:rsidRPr="00A619EB" w:rsidRDefault="005A39B2" w:rsidP="008F0B6E">
      <w:pPr>
        <w:autoSpaceDE w:val="0"/>
        <w:autoSpaceDN w:val="0"/>
        <w:adjustRightInd w:val="0"/>
        <w:spacing w:after="0" w:line="240" w:lineRule="auto"/>
        <w:rPr>
          <w:rFonts w:ascii="Times New Roman" w:hAnsi="Times New Roman" w:cs="Times New Roman"/>
          <w:sz w:val="20"/>
          <w:szCs w:val="20"/>
        </w:rPr>
      </w:pPr>
      <w:r w:rsidRPr="00A619EB">
        <w:rPr>
          <w:rFonts w:ascii="Times New Roman" w:hAnsi="Times New Roman" w:cs="Times New Roman"/>
          <w:b/>
          <w:sz w:val="20"/>
          <w:szCs w:val="20"/>
        </w:rPr>
        <w:t>Materials and methods</w:t>
      </w:r>
      <w:r w:rsidR="00587F5D" w:rsidRPr="00A619EB">
        <w:rPr>
          <w:rFonts w:ascii="Times New Roman" w:hAnsi="Times New Roman" w:cs="Times New Roman"/>
          <w:b/>
          <w:sz w:val="20"/>
          <w:szCs w:val="20"/>
        </w:rPr>
        <w:t xml:space="preserve">: </w:t>
      </w:r>
      <w:r w:rsidR="00587F5D" w:rsidRPr="00A619EB">
        <w:rPr>
          <w:rFonts w:ascii="Times New Roman" w:hAnsi="Times New Roman" w:cs="Times New Roman"/>
          <w:sz w:val="20"/>
          <w:szCs w:val="20"/>
        </w:rPr>
        <w:t>this study is a Cross-Sectional study that was conducted among nondialytic CKD patients attending nephrology OPD of GMCH from March 2014 to Feb 2016. Out of 1742 CKD patients, 280 patients who met the study criteria were included in the study. Demographic features (age and sex) and medical history of each patient were noted at the time of diagnosis.</w:t>
      </w:r>
    </w:p>
    <w:p w:rsidR="00587F5D" w:rsidRPr="00A619EB" w:rsidRDefault="00587F5D" w:rsidP="008F0B6E">
      <w:pPr>
        <w:spacing w:after="0" w:line="240" w:lineRule="auto"/>
        <w:jc w:val="both"/>
        <w:rPr>
          <w:rFonts w:ascii="Times New Roman" w:hAnsi="Times New Roman" w:cs="Times New Roman"/>
          <w:sz w:val="20"/>
          <w:szCs w:val="20"/>
        </w:rPr>
      </w:pPr>
    </w:p>
    <w:p w:rsidR="00587F5D" w:rsidRPr="00A619EB" w:rsidRDefault="005A39B2" w:rsidP="008F0B6E">
      <w:pPr>
        <w:autoSpaceDE w:val="0"/>
        <w:autoSpaceDN w:val="0"/>
        <w:adjustRightInd w:val="0"/>
        <w:spacing w:after="0" w:line="240" w:lineRule="auto"/>
        <w:rPr>
          <w:rFonts w:ascii="Times New Roman" w:hAnsi="Times New Roman" w:cs="Times New Roman"/>
          <w:sz w:val="20"/>
          <w:szCs w:val="20"/>
        </w:rPr>
      </w:pPr>
      <w:r w:rsidRPr="00A619EB">
        <w:rPr>
          <w:rFonts w:ascii="Times New Roman" w:hAnsi="Times New Roman" w:cs="Times New Roman"/>
          <w:b/>
          <w:sz w:val="20"/>
          <w:szCs w:val="20"/>
        </w:rPr>
        <w:t>Results</w:t>
      </w:r>
      <w:r w:rsidR="00587F5D" w:rsidRPr="00A619EB">
        <w:rPr>
          <w:rFonts w:ascii="Times New Roman" w:hAnsi="Times New Roman" w:cs="Times New Roman"/>
          <w:b/>
          <w:sz w:val="20"/>
          <w:szCs w:val="20"/>
        </w:rPr>
        <w:t xml:space="preserve">: </w:t>
      </w:r>
      <w:r w:rsidR="00587F5D" w:rsidRPr="00A619EB">
        <w:rPr>
          <w:rFonts w:ascii="Times New Roman" w:hAnsi="Times New Roman" w:cs="Times New Roman"/>
          <w:sz w:val="20"/>
          <w:szCs w:val="20"/>
        </w:rPr>
        <w:t>The mean age of patients with overt hypothyroid was 59.64 years, in sub-clinical hypothyroid group was 58.14 years, and in patients with normal thyroid function was 55.51 years. We observed that prevalence of hypothyroidism was increased in patients with reduced GFR, and it increases as eGFR decreases ranging from 13.33% in stage 2 to 35.55% in ESRD. We also found that 68.8% of hypothyroids have sub-clinical hypothyroidism.</w:t>
      </w:r>
    </w:p>
    <w:p w:rsidR="00587F5D" w:rsidRPr="00A619EB" w:rsidRDefault="00587F5D" w:rsidP="008F0B6E">
      <w:pPr>
        <w:spacing w:after="0" w:line="240" w:lineRule="auto"/>
        <w:jc w:val="both"/>
        <w:rPr>
          <w:rFonts w:ascii="Times New Roman" w:hAnsi="Times New Roman" w:cs="Times New Roman"/>
          <w:sz w:val="20"/>
          <w:szCs w:val="20"/>
        </w:rPr>
      </w:pPr>
    </w:p>
    <w:p w:rsidR="00587F5D" w:rsidRPr="00A619EB" w:rsidRDefault="00A619EB" w:rsidP="008F0B6E">
      <w:pPr>
        <w:spacing w:line="240" w:lineRule="auto"/>
        <w:jc w:val="both"/>
        <w:rPr>
          <w:rFonts w:ascii="Times New Roman" w:hAnsi="Times New Roman" w:cs="Times New Roman"/>
          <w:b/>
          <w:sz w:val="20"/>
          <w:szCs w:val="20"/>
        </w:rPr>
      </w:pPr>
      <w:r w:rsidRPr="00A619EB">
        <w:rPr>
          <w:rFonts w:ascii="Times New Roman" w:hAnsi="Times New Roman" w:cs="Times New Roman"/>
          <w:b/>
          <w:sz w:val="20"/>
          <w:szCs w:val="20"/>
        </w:rPr>
        <w:t>Conclusion</w:t>
      </w:r>
      <w:r w:rsidR="00587F5D" w:rsidRPr="00A619EB">
        <w:rPr>
          <w:rFonts w:ascii="Times New Roman" w:hAnsi="Times New Roman" w:cs="Times New Roman"/>
          <w:b/>
          <w:sz w:val="20"/>
          <w:szCs w:val="20"/>
        </w:rPr>
        <w:t xml:space="preserve">: </w:t>
      </w:r>
      <w:r w:rsidR="00587F5D" w:rsidRPr="00A619EB">
        <w:rPr>
          <w:rFonts w:ascii="Times New Roman" w:hAnsi="Times New Roman" w:cs="Times New Roman"/>
          <w:sz w:val="20"/>
          <w:szCs w:val="20"/>
        </w:rPr>
        <w:t>This study concludes that prevalence of hypothyroid in CKD is more than that of general population and it further increases as eGFR decreases</w:t>
      </w:r>
      <w:r w:rsidR="00587F5D" w:rsidRPr="00A619EB">
        <w:rPr>
          <w:rFonts w:ascii="Times New Roman" w:hAnsi="Times New Roman" w:cs="Times New Roman"/>
          <w:b/>
          <w:sz w:val="20"/>
          <w:szCs w:val="20"/>
        </w:rPr>
        <w:t>.</w:t>
      </w:r>
    </w:p>
    <w:p w:rsidR="00A619EB" w:rsidRPr="00070664" w:rsidRDefault="00A619EB" w:rsidP="008F0B6E">
      <w:pPr>
        <w:spacing w:line="240" w:lineRule="auto"/>
        <w:jc w:val="both"/>
        <w:rPr>
          <w:rFonts w:ascii="Times New Roman" w:hAnsi="Times New Roman" w:cs="Times New Roman"/>
          <w:sz w:val="20"/>
          <w:szCs w:val="24"/>
        </w:rPr>
      </w:pPr>
      <w:r w:rsidRPr="00A619EB">
        <w:rPr>
          <w:rFonts w:ascii="Times New Roman" w:hAnsi="Times New Roman" w:cs="Times New Roman"/>
          <w:b/>
          <w:sz w:val="28"/>
          <w:szCs w:val="24"/>
        </w:rPr>
        <w:t xml:space="preserve">Keywords: </w:t>
      </w:r>
      <w:r w:rsidRPr="00070664">
        <w:rPr>
          <w:rFonts w:ascii="Times New Roman" w:hAnsi="Times New Roman" w:cs="Times New Roman"/>
          <w:b/>
          <w:sz w:val="20"/>
          <w:szCs w:val="24"/>
        </w:rPr>
        <w:t xml:space="preserve">Hypothyroid, CKD, </w:t>
      </w:r>
      <w:r w:rsidR="00070664" w:rsidRPr="00070664">
        <w:rPr>
          <w:rFonts w:ascii="Times New Roman" w:hAnsi="Times New Roman" w:cs="Times New Roman"/>
          <w:b/>
          <w:sz w:val="20"/>
          <w:szCs w:val="24"/>
        </w:rPr>
        <w:t>Hypothyroid in CKD</w:t>
      </w:r>
      <w:r w:rsidRPr="00070664">
        <w:rPr>
          <w:rFonts w:ascii="Times New Roman" w:hAnsi="Times New Roman" w:cs="Times New Roman"/>
          <w:b/>
          <w:sz w:val="20"/>
          <w:szCs w:val="24"/>
        </w:rPr>
        <w:t xml:space="preserve"> </w:t>
      </w:r>
    </w:p>
    <w:p w:rsidR="00587F5D" w:rsidRPr="008F0B6E" w:rsidRDefault="00587F5D" w:rsidP="008F0B6E">
      <w:pPr>
        <w:spacing w:line="240" w:lineRule="auto"/>
        <w:jc w:val="both"/>
        <w:rPr>
          <w:rFonts w:ascii="Times New Roman" w:hAnsi="Times New Roman" w:cs="Times New Roman"/>
          <w:sz w:val="24"/>
          <w:szCs w:val="24"/>
        </w:rPr>
      </w:pPr>
    </w:p>
    <w:p w:rsidR="00845D44" w:rsidRPr="00070664" w:rsidRDefault="00A619EB" w:rsidP="008F0B6E">
      <w:pPr>
        <w:autoSpaceDE w:val="0"/>
        <w:autoSpaceDN w:val="0"/>
        <w:adjustRightInd w:val="0"/>
        <w:spacing w:after="0" w:line="240" w:lineRule="auto"/>
        <w:rPr>
          <w:rFonts w:ascii="Times New Roman" w:hAnsi="Times New Roman" w:cs="Times New Roman"/>
          <w:b/>
          <w:sz w:val="20"/>
          <w:szCs w:val="28"/>
        </w:rPr>
      </w:pPr>
      <w:r w:rsidRPr="00070664">
        <w:rPr>
          <w:rFonts w:ascii="Times New Roman" w:hAnsi="Times New Roman" w:cs="Times New Roman"/>
          <w:b/>
          <w:sz w:val="20"/>
          <w:szCs w:val="28"/>
        </w:rPr>
        <w:t>Introduction</w:t>
      </w:r>
    </w:p>
    <w:p w:rsidR="00DC255E" w:rsidRPr="008F0B6E" w:rsidRDefault="00DC255E" w:rsidP="008F0B6E">
      <w:pPr>
        <w:autoSpaceDE w:val="0"/>
        <w:autoSpaceDN w:val="0"/>
        <w:adjustRightInd w:val="0"/>
        <w:spacing w:after="0" w:line="240" w:lineRule="auto"/>
        <w:rPr>
          <w:rFonts w:ascii="Times New Roman" w:hAnsi="Times New Roman" w:cs="Times New Roman"/>
          <w:b/>
          <w:szCs w:val="28"/>
        </w:rPr>
      </w:pPr>
    </w:p>
    <w:p w:rsidR="00554224" w:rsidRPr="00070664" w:rsidRDefault="00DC255E" w:rsidP="008F0B6E">
      <w:pPr>
        <w:autoSpaceDE w:val="0"/>
        <w:autoSpaceDN w:val="0"/>
        <w:adjustRightInd w:val="0"/>
        <w:spacing w:after="0" w:line="240" w:lineRule="auto"/>
        <w:rPr>
          <w:rFonts w:ascii="Times New Roman" w:hAnsi="Times New Roman" w:cs="Times New Roman"/>
          <w:sz w:val="20"/>
          <w:szCs w:val="24"/>
        </w:rPr>
      </w:pPr>
      <w:r w:rsidRPr="00070664">
        <w:rPr>
          <w:rFonts w:ascii="Times New Roman" w:hAnsi="Times New Roman" w:cs="Times New Roman"/>
          <w:sz w:val="20"/>
          <w:szCs w:val="24"/>
        </w:rPr>
        <w:t>The thyroid produces hormones (T3 and T4) that have many actions including metabolism, development, protein synthesis, and the regulation of</w:t>
      </w:r>
      <w:r w:rsidR="00554224" w:rsidRPr="00070664">
        <w:rPr>
          <w:rFonts w:ascii="Times New Roman" w:hAnsi="Times New Roman" w:cs="Times New Roman"/>
          <w:sz w:val="20"/>
          <w:szCs w:val="24"/>
        </w:rPr>
        <w:t xml:space="preserve"> </w:t>
      </w:r>
      <w:r w:rsidRPr="00070664">
        <w:rPr>
          <w:rFonts w:ascii="Times New Roman" w:hAnsi="Times New Roman" w:cs="Times New Roman"/>
          <w:sz w:val="20"/>
          <w:szCs w:val="24"/>
        </w:rPr>
        <w:t xml:space="preserve">many other important hormones. </w:t>
      </w:r>
      <w:r w:rsidR="00B56116" w:rsidRPr="00070664">
        <w:rPr>
          <w:rFonts w:ascii="Times New Roman" w:hAnsi="Times New Roman" w:cs="Times New Roman"/>
          <w:sz w:val="20"/>
          <w:szCs w:val="24"/>
        </w:rPr>
        <w:t>The kidney normally plays an important role in the metabolism, degradation and excretion of thyroid hormones. CKD affects the hypo</w:t>
      </w:r>
      <w:r w:rsidR="005D3044" w:rsidRPr="00070664">
        <w:rPr>
          <w:rFonts w:ascii="Times New Roman" w:hAnsi="Times New Roman" w:cs="Times New Roman"/>
          <w:sz w:val="20"/>
          <w:szCs w:val="24"/>
        </w:rPr>
        <w:t xml:space="preserve">thalamus pituitary thyroid axis </w:t>
      </w:r>
      <w:r w:rsidRPr="00070664">
        <w:rPr>
          <w:rFonts w:ascii="Times New Roman" w:hAnsi="Times New Roman" w:cs="Times New Roman"/>
          <w:sz w:val="20"/>
          <w:szCs w:val="24"/>
        </w:rPr>
        <w:t xml:space="preserve">and peripheral metabolism of thyroid hormone, </w:t>
      </w:r>
      <w:r w:rsidR="005D3044" w:rsidRPr="00070664">
        <w:rPr>
          <w:rFonts w:ascii="Times New Roman" w:hAnsi="Times New Roman" w:cs="Times New Roman"/>
          <w:sz w:val="20"/>
          <w:szCs w:val="24"/>
        </w:rPr>
        <w:t>and thus affects</w:t>
      </w:r>
      <w:r w:rsidR="00B56116" w:rsidRPr="00070664">
        <w:rPr>
          <w:rFonts w:ascii="Times New Roman" w:hAnsi="Times New Roman" w:cs="Times New Roman"/>
          <w:sz w:val="20"/>
          <w:szCs w:val="24"/>
        </w:rPr>
        <w:t xml:space="preserve"> </w:t>
      </w:r>
      <w:r w:rsidR="005D3044" w:rsidRPr="00070664">
        <w:rPr>
          <w:rFonts w:ascii="Times New Roman" w:hAnsi="Times New Roman" w:cs="Times New Roman"/>
          <w:sz w:val="20"/>
          <w:szCs w:val="24"/>
        </w:rPr>
        <w:t>thyroid function in many ways</w:t>
      </w:r>
      <w:r w:rsidR="00B56116" w:rsidRPr="00070664">
        <w:rPr>
          <w:rFonts w:ascii="Times New Roman" w:hAnsi="Times New Roman" w:cs="Times New Roman"/>
          <w:sz w:val="20"/>
          <w:szCs w:val="24"/>
        </w:rPr>
        <w:t>.</w:t>
      </w:r>
      <w:r w:rsidR="00554224" w:rsidRPr="00070664">
        <w:rPr>
          <w:rFonts w:ascii="Times New Roman" w:hAnsi="Times New Roman" w:cs="Times New Roman"/>
          <w:sz w:val="20"/>
          <w:szCs w:val="24"/>
        </w:rPr>
        <w:t xml:space="preserve"> </w:t>
      </w:r>
    </w:p>
    <w:p w:rsidR="00845D55" w:rsidRPr="00070664" w:rsidRDefault="00554224" w:rsidP="008F0B6E">
      <w:pPr>
        <w:autoSpaceDE w:val="0"/>
        <w:autoSpaceDN w:val="0"/>
        <w:adjustRightInd w:val="0"/>
        <w:spacing w:after="0" w:line="240" w:lineRule="auto"/>
        <w:rPr>
          <w:rFonts w:ascii="Times New Roman" w:hAnsi="Times New Roman" w:cs="Times New Roman"/>
          <w:sz w:val="20"/>
          <w:szCs w:val="24"/>
        </w:rPr>
      </w:pPr>
      <w:r w:rsidRPr="00070664">
        <w:rPr>
          <w:rFonts w:ascii="Times New Roman" w:hAnsi="Times New Roman" w:cs="Times New Roman"/>
          <w:sz w:val="20"/>
          <w:szCs w:val="24"/>
        </w:rPr>
        <w:t xml:space="preserve"> Thyroid stimulating hormone (TSH) is disturbed in uraemia and the TSH response to the hypothalamic thyrotrophic releasing hormone (TRH) is reduced.</w:t>
      </w:r>
      <w:r w:rsidRPr="00070664">
        <w:rPr>
          <w:rFonts w:ascii="Times New Roman" w:hAnsi="Times New Roman" w:cs="Times New Roman"/>
          <w:sz w:val="20"/>
          <w:szCs w:val="24"/>
          <w:vertAlign w:val="superscript"/>
        </w:rPr>
        <w:t>1</w:t>
      </w:r>
      <w:r w:rsidR="00630B8F" w:rsidRPr="00070664">
        <w:rPr>
          <w:rFonts w:ascii="Times New Roman" w:hAnsi="Times New Roman" w:cs="Times New Roman"/>
          <w:sz w:val="20"/>
          <w:szCs w:val="24"/>
          <w:vertAlign w:val="superscript"/>
        </w:rPr>
        <w:t>, 2</w:t>
      </w:r>
      <w:r w:rsidRPr="00070664">
        <w:rPr>
          <w:rFonts w:ascii="Times New Roman" w:hAnsi="Times New Roman" w:cs="Times New Roman"/>
          <w:sz w:val="20"/>
          <w:szCs w:val="24"/>
        </w:rPr>
        <w:t xml:space="preserve"> CKD affects the thyroid function by lowering levels of circulating the thyroid hormones, disrupting metabolism and elimination of thyroid hormones</w:t>
      </w:r>
      <w:r w:rsidRPr="00070664">
        <w:rPr>
          <w:rFonts w:ascii="Times New Roman" w:hAnsi="Times New Roman" w:cs="Times New Roman"/>
          <w:sz w:val="20"/>
          <w:szCs w:val="24"/>
          <w:vertAlign w:val="superscript"/>
        </w:rPr>
        <w:t>3</w:t>
      </w:r>
      <w:r w:rsidRPr="00070664">
        <w:rPr>
          <w:rFonts w:ascii="Times New Roman" w:hAnsi="Times New Roman" w:cs="Times New Roman"/>
          <w:sz w:val="20"/>
          <w:szCs w:val="24"/>
        </w:rPr>
        <w:t xml:space="preserve"> and affect the storage of iodine in thyroid gland.</w:t>
      </w:r>
      <w:r w:rsidRPr="00070664">
        <w:rPr>
          <w:rFonts w:ascii="Times New Roman" w:hAnsi="Times New Roman" w:cs="Times New Roman"/>
          <w:sz w:val="20"/>
          <w:szCs w:val="24"/>
          <w:vertAlign w:val="superscript"/>
        </w:rPr>
        <w:t>4</w:t>
      </w:r>
      <w:r w:rsidRPr="00070664">
        <w:rPr>
          <w:rFonts w:ascii="Times New Roman" w:hAnsi="Times New Roman" w:cs="Times New Roman"/>
          <w:sz w:val="20"/>
          <w:szCs w:val="24"/>
        </w:rPr>
        <w:t xml:space="preserve"> The concentration of serum iodine in patients with CKD is higher due to lower iodine clearance caused by reduced glomerular filtration. Elevated levels of serum inorganic iodine in patients with CKD may potentially block thyroid hormone synthesis (Wolf-Chaikoff effect), what can explain higher prevalence of diffuse goitre and hypothyroidism in these patients</w:t>
      </w:r>
      <w:r w:rsidRPr="00070664">
        <w:rPr>
          <w:rFonts w:ascii="Times New Roman" w:hAnsi="Times New Roman" w:cs="Times New Roman"/>
          <w:sz w:val="20"/>
          <w:szCs w:val="24"/>
          <w:vertAlign w:val="superscript"/>
        </w:rPr>
        <w:t>5</w:t>
      </w:r>
      <w:r w:rsidR="00B56116" w:rsidRPr="00070664">
        <w:rPr>
          <w:rFonts w:ascii="Times New Roman" w:hAnsi="Times New Roman" w:cs="Times New Roman"/>
          <w:sz w:val="20"/>
          <w:szCs w:val="24"/>
        </w:rPr>
        <w:t xml:space="preserve"> </w:t>
      </w:r>
      <w:r w:rsidR="00FB3E47" w:rsidRPr="00070664">
        <w:rPr>
          <w:rFonts w:ascii="Times New Roman" w:hAnsi="Times New Roman" w:cs="Times New Roman"/>
          <w:sz w:val="20"/>
          <w:szCs w:val="24"/>
        </w:rPr>
        <w:t>Despite considerable overlap in the symptoms related to hypothyroidism and advan</w:t>
      </w:r>
      <w:r w:rsidR="00DC255E" w:rsidRPr="00070664">
        <w:rPr>
          <w:rFonts w:ascii="Times New Roman" w:hAnsi="Times New Roman" w:cs="Times New Roman"/>
          <w:sz w:val="20"/>
          <w:szCs w:val="24"/>
        </w:rPr>
        <w:t>ced chronic kidney disease CKD</w:t>
      </w:r>
      <w:r w:rsidR="00FB3E47" w:rsidRPr="00070664">
        <w:rPr>
          <w:rFonts w:ascii="Times New Roman" w:hAnsi="Times New Roman" w:cs="Times New Roman"/>
          <w:sz w:val="20"/>
          <w:szCs w:val="24"/>
        </w:rPr>
        <w:t xml:space="preserve">, relatively little is known </w:t>
      </w:r>
      <w:r w:rsidR="00DC255E" w:rsidRPr="00070664">
        <w:rPr>
          <w:rFonts w:ascii="Times New Roman" w:hAnsi="Times New Roman" w:cs="Times New Roman"/>
          <w:sz w:val="20"/>
          <w:szCs w:val="24"/>
        </w:rPr>
        <w:t>about the prevalence</w:t>
      </w:r>
      <w:r w:rsidR="00FB3E47" w:rsidRPr="00070664">
        <w:rPr>
          <w:rFonts w:ascii="Times New Roman" w:hAnsi="Times New Roman" w:cs="Times New Roman"/>
          <w:sz w:val="20"/>
          <w:szCs w:val="24"/>
        </w:rPr>
        <w:t xml:space="preserve"> of thyroid abnormalities in persons with CKD.  </w:t>
      </w:r>
      <w:r w:rsidR="005D3044" w:rsidRPr="00070664">
        <w:rPr>
          <w:rFonts w:ascii="Times New Roman" w:hAnsi="Times New Roman" w:cs="Times New Roman"/>
          <w:sz w:val="20"/>
          <w:szCs w:val="24"/>
        </w:rPr>
        <w:t>I</w:t>
      </w:r>
      <w:r w:rsidR="00FB3E47" w:rsidRPr="00070664">
        <w:rPr>
          <w:rFonts w:ascii="Times New Roman" w:hAnsi="Times New Roman" w:cs="Times New Roman"/>
          <w:sz w:val="20"/>
          <w:szCs w:val="24"/>
        </w:rPr>
        <w:t>n patients with end</w:t>
      </w:r>
      <w:r w:rsidR="00DC255E" w:rsidRPr="00070664">
        <w:rPr>
          <w:rFonts w:ascii="Times New Roman" w:hAnsi="Times New Roman" w:cs="Times New Roman"/>
          <w:sz w:val="20"/>
          <w:szCs w:val="24"/>
        </w:rPr>
        <w:t>-stage renal disease</w:t>
      </w:r>
      <w:r w:rsidR="005D3044" w:rsidRPr="00070664">
        <w:rPr>
          <w:rFonts w:ascii="Times New Roman" w:hAnsi="Times New Roman" w:cs="Times New Roman"/>
          <w:sz w:val="20"/>
          <w:szCs w:val="24"/>
        </w:rPr>
        <w:t>,</w:t>
      </w:r>
      <w:r w:rsidR="00FB3E47" w:rsidRPr="00070664">
        <w:rPr>
          <w:rFonts w:ascii="Times New Roman" w:hAnsi="Times New Roman" w:cs="Times New Roman"/>
          <w:sz w:val="20"/>
          <w:szCs w:val="24"/>
        </w:rPr>
        <w:t xml:space="preserve"> it has been suggested that primary hypothyroidism may be more common in patients with ESRD compared with the general population</w:t>
      </w:r>
      <w:r w:rsidRPr="00070664">
        <w:rPr>
          <w:rFonts w:ascii="Times New Roman" w:hAnsi="Times New Roman" w:cs="Times New Roman"/>
          <w:sz w:val="20"/>
          <w:szCs w:val="24"/>
        </w:rPr>
        <w:t>.</w:t>
      </w:r>
      <w:r w:rsidRPr="00070664">
        <w:rPr>
          <w:rFonts w:ascii="Times New Roman" w:hAnsi="Times New Roman" w:cs="Times New Roman"/>
          <w:sz w:val="20"/>
          <w:szCs w:val="24"/>
          <w:vertAlign w:val="superscript"/>
        </w:rPr>
        <w:t>5</w:t>
      </w:r>
      <w:r w:rsidR="00E80F2E" w:rsidRPr="00070664">
        <w:rPr>
          <w:rFonts w:ascii="Times New Roman" w:hAnsi="Times New Roman" w:cs="Times New Roman"/>
          <w:sz w:val="20"/>
          <w:szCs w:val="24"/>
        </w:rPr>
        <w:t xml:space="preserve"> Thus </w:t>
      </w:r>
      <w:r w:rsidR="005D3044" w:rsidRPr="00070664">
        <w:rPr>
          <w:rFonts w:ascii="Times New Roman" w:hAnsi="Times New Roman" w:cs="Times New Roman"/>
          <w:sz w:val="20"/>
          <w:szCs w:val="24"/>
        </w:rPr>
        <w:t>t</w:t>
      </w:r>
      <w:r w:rsidR="00A938CC" w:rsidRPr="00070664">
        <w:rPr>
          <w:rFonts w:ascii="Times New Roman" w:hAnsi="Times New Roman" w:cs="Times New Roman"/>
          <w:sz w:val="20"/>
          <w:szCs w:val="24"/>
        </w:rPr>
        <w:t xml:space="preserve">his study was </w:t>
      </w:r>
      <w:r w:rsidR="005D3044" w:rsidRPr="00070664">
        <w:rPr>
          <w:rFonts w:ascii="Times New Roman" w:hAnsi="Times New Roman" w:cs="Times New Roman"/>
          <w:sz w:val="20"/>
          <w:szCs w:val="24"/>
        </w:rPr>
        <w:t>conducted</w:t>
      </w:r>
      <w:r w:rsidR="00A938CC" w:rsidRPr="00070664">
        <w:rPr>
          <w:rFonts w:ascii="Times New Roman" w:hAnsi="Times New Roman" w:cs="Times New Roman"/>
          <w:sz w:val="20"/>
          <w:szCs w:val="24"/>
        </w:rPr>
        <w:t xml:space="preserve"> to estimate the prevalence of hypothyroid in </w:t>
      </w:r>
      <w:r w:rsidR="005D3044" w:rsidRPr="00070664">
        <w:rPr>
          <w:rFonts w:ascii="Times New Roman" w:hAnsi="Times New Roman" w:cs="Times New Roman"/>
          <w:sz w:val="20"/>
          <w:szCs w:val="24"/>
        </w:rPr>
        <w:t>CKD</w:t>
      </w:r>
      <w:r w:rsidR="00A938CC" w:rsidRPr="00070664">
        <w:rPr>
          <w:rFonts w:ascii="Times New Roman" w:hAnsi="Times New Roman" w:cs="Times New Roman"/>
          <w:sz w:val="20"/>
          <w:szCs w:val="24"/>
        </w:rPr>
        <w:t>.</w:t>
      </w:r>
    </w:p>
    <w:p w:rsidR="00B56116" w:rsidRPr="008F0B6E" w:rsidRDefault="00B56116" w:rsidP="008F0B6E">
      <w:pPr>
        <w:autoSpaceDE w:val="0"/>
        <w:autoSpaceDN w:val="0"/>
        <w:adjustRightInd w:val="0"/>
        <w:spacing w:after="0" w:line="240" w:lineRule="auto"/>
        <w:rPr>
          <w:rFonts w:ascii="Times New Roman" w:hAnsi="Times New Roman" w:cs="Times New Roman"/>
          <w:b/>
          <w:sz w:val="24"/>
          <w:szCs w:val="24"/>
        </w:rPr>
      </w:pPr>
    </w:p>
    <w:p w:rsidR="00736952" w:rsidRDefault="00736952" w:rsidP="008F0B6E">
      <w:pPr>
        <w:autoSpaceDE w:val="0"/>
        <w:autoSpaceDN w:val="0"/>
        <w:adjustRightInd w:val="0"/>
        <w:spacing w:after="0" w:line="240" w:lineRule="auto"/>
        <w:rPr>
          <w:rFonts w:ascii="Times New Roman" w:hAnsi="Times New Roman" w:cs="Times New Roman"/>
          <w:b/>
          <w:sz w:val="20"/>
          <w:szCs w:val="20"/>
        </w:rPr>
      </w:pPr>
    </w:p>
    <w:p w:rsidR="00DC255E" w:rsidRPr="00070664" w:rsidRDefault="00070664" w:rsidP="008F0B6E">
      <w:pPr>
        <w:autoSpaceDE w:val="0"/>
        <w:autoSpaceDN w:val="0"/>
        <w:adjustRightInd w:val="0"/>
        <w:spacing w:after="0" w:line="240" w:lineRule="auto"/>
        <w:rPr>
          <w:rFonts w:ascii="Times New Roman" w:hAnsi="Times New Roman" w:cs="Times New Roman"/>
          <w:b/>
          <w:sz w:val="20"/>
          <w:szCs w:val="20"/>
        </w:rPr>
      </w:pPr>
      <w:r w:rsidRPr="00070664">
        <w:rPr>
          <w:rFonts w:ascii="Times New Roman" w:hAnsi="Times New Roman" w:cs="Times New Roman"/>
          <w:b/>
          <w:sz w:val="20"/>
          <w:szCs w:val="20"/>
        </w:rPr>
        <w:lastRenderedPageBreak/>
        <w:t>Materials and Methods</w:t>
      </w:r>
    </w:p>
    <w:p w:rsidR="00070664" w:rsidRPr="00070664" w:rsidRDefault="00070664" w:rsidP="008F0B6E">
      <w:pPr>
        <w:autoSpaceDE w:val="0"/>
        <w:autoSpaceDN w:val="0"/>
        <w:adjustRightInd w:val="0"/>
        <w:spacing w:after="0" w:line="240" w:lineRule="auto"/>
        <w:rPr>
          <w:rFonts w:ascii="Times New Roman" w:hAnsi="Times New Roman" w:cs="Times New Roman"/>
          <w:b/>
          <w:sz w:val="20"/>
          <w:szCs w:val="20"/>
        </w:rPr>
      </w:pPr>
    </w:p>
    <w:p w:rsidR="00514B77" w:rsidRPr="00070664" w:rsidRDefault="00640E85"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 Cross-S</w:t>
      </w:r>
      <w:r w:rsidR="006211B4" w:rsidRPr="00070664">
        <w:rPr>
          <w:rFonts w:ascii="Times New Roman" w:hAnsi="Times New Roman" w:cs="Times New Roman"/>
          <w:sz w:val="20"/>
          <w:szCs w:val="20"/>
        </w:rPr>
        <w:t xml:space="preserve">ectional study was conducted among </w:t>
      </w:r>
      <w:r w:rsidR="00DF47B4" w:rsidRPr="00070664">
        <w:rPr>
          <w:rFonts w:ascii="Times New Roman" w:hAnsi="Times New Roman" w:cs="Times New Roman"/>
          <w:sz w:val="20"/>
          <w:szCs w:val="20"/>
        </w:rPr>
        <w:t xml:space="preserve">nondialytic </w:t>
      </w:r>
      <w:r w:rsidR="006211B4" w:rsidRPr="00070664">
        <w:rPr>
          <w:rFonts w:ascii="Times New Roman" w:hAnsi="Times New Roman" w:cs="Times New Roman"/>
          <w:sz w:val="20"/>
          <w:szCs w:val="20"/>
        </w:rPr>
        <w:t xml:space="preserve">CKD patients attending nephrology OPD of GMCH from </w:t>
      </w:r>
      <w:r w:rsidR="00DF47B4" w:rsidRPr="00070664">
        <w:rPr>
          <w:rFonts w:ascii="Times New Roman" w:hAnsi="Times New Roman" w:cs="Times New Roman"/>
          <w:sz w:val="20"/>
          <w:szCs w:val="20"/>
        </w:rPr>
        <w:t>M</w:t>
      </w:r>
      <w:r w:rsidR="00407F8F" w:rsidRPr="00070664">
        <w:rPr>
          <w:rFonts w:ascii="Times New Roman" w:hAnsi="Times New Roman" w:cs="Times New Roman"/>
          <w:sz w:val="20"/>
          <w:szCs w:val="20"/>
        </w:rPr>
        <w:t>arch</w:t>
      </w:r>
      <w:r w:rsidR="006211B4" w:rsidRPr="00070664">
        <w:rPr>
          <w:rFonts w:ascii="Times New Roman" w:hAnsi="Times New Roman" w:cs="Times New Roman"/>
          <w:sz w:val="20"/>
          <w:szCs w:val="20"/>
        </w:rPr>
        <w:t xml:space="preserve"> 2014 to </w:t>
      </w:r>
      <w:r w:rsidR="00DF47B4" w:rsidRPr="00070664">
        <w:rPr>
          <w:rFonts w:ascii="Times New Roman" w:hAnsi="Times New Roman" w:cs="Times New Roman"/>
          <w:sz w:val="20"/>
          <w:szCs w:val="20"/>
        </w:rPr>
        <w:t>F</w:t>
      </w:r>
      <w:r w:rsidR="00407F8F" w:rsidRPr="00070664">
        <w:rPr>
          <w:rFonts w:ascii="Times New Roman" w:hAnsi="Times New Roman" w:cs="Times New Roman"/>
          <w:sz w:val="20"/>
          <w:szCs w:val="20"/>
        </w:rPr>
        <w:t>eb</w:t>
      </w:r>
      <w:r w:rsidR="006211B4" w:rsidRPr="00070664">
        <w:rPr>
          <w:rFonts w:ascii="Times New Roman" w:hAnsi="Times New Roman" w:cs="Times New Roman"/>
          <w:sz w:val="20"/>
          <w:szCs w:val="20"/>
        </w:rPr>
        <w:t xml:space="preserve"> 2016 to investigate </w:t>
      </w:r>
      <w:r w:rsidR="00F8611C" w:rsidRPr="00070664">
        <w:rPr>
          <w:rFonts w:ascii="Times New Roman" w:hAnsi="Times New Roman" w:cs="Times New Roman"/>
          <w:sz w:val="20"/>
          <w:szCs w:val="20"/>
        </w:rPr>
        <w:t>for hypothyroid</w:t>
      </w:r>
      <w:r w:rsidR="006211B4" w:rsidRPr="00070664">
        <w:rPr>
          <w:rFonts w:ascii="Times New Roman" w:hAnsi="Times New Roman" w:cs="Times New Roman"/>
          <w:sz w:val="20"/>
          <w:szCs w:val="20"/>
        </w:rPr>
        <w:t>.</w:t>
      </w:r>
      <w:r w:rsidR="00514B77" w:rsidRPr="00070664">
        <w:rPr>
          <w:rFonts w:ascii="Times New Roman" w:hAnsi="Times New Roman" w:cs="Times New Roman"/>
          <w:sz w:val="20"/>
          <w:szCs w:val="20"/>
        </w:rPr>
        <w:t xml:space="preserve"> </w:t>
      </w:r>
      <w:r w:rsidR="004C6FAC" w:rsidRPr="00070664">
        <w:rPr>
          <w:rFonts w:ascii="Times New Roman" w:hAnsi="Times New Roman" w:cs="Times New Roman"/>
          <w:sz w:val="20"/>
          <w:szCs w:val="20"/>
        </w:rPr>
        <w:t xml:space="preserve">A total of </w:t>
      </w:r>
      <w:r w:rsidR="008F60E6" w:rsidRPr="00070664">
        <w:rPr>
          <w:rFonts w:ascii="Times New Roman" w:hAnsi="Times New Roman" w:cs="Times New Roman"/>
          <w:sz w:val="20"/>
          <w:szCs w:val="20"/>
        </w:rPr>
        <w:t>1742</w:t>
      </w:r>
      <w:r w:rsidR="004C6FAC" w:rsidRPr="00070664">
        <w:rPr>
          <w:rFonts w:ascii="Times New Roman" w:hAnsi="Times New Roman" w:cs="Times New Roman"/>
          <w:sz w:val="20"/>
          <w:szCs w:val="20"/>
        </w:rPr>
        <w:t xml:space="preserve"> </w:t>
      </w:r>
      <w:r w:rsidRPr="00070664">
        <w:rPr>
          <w:rFonts w:ascii="Times New Roman" w:hAnsi="Times New Roman" w:cs="Times New Roman"/>
          <w:sz w:val="20"/>
          <w:szCs w:val="20"/>
        </w:rPr>
        <w:t>CKD patients attended nephrology OPD during study period</w:t>
      </w:r>
      <w:r w:rsidR="004C6FAC" w:rsidRPr="00070664">
        <w:rPr>
          <w:rFonts w:ascii="Times New Roman" w:hAnsi="Times New Roman" w:cs="Times New Roman"/>
          <w:sz w:val="20"/>
          <w:szCs w:val="20"/>
        </w:rPr>
        <w:t xml:space="preserve">. </w:t>
      </w:r>
      <w:r w:rsidR="00DF47B4" w:rsidRPr="00070664">
        <w:rPr>
          <w:rFonts w:ascii="Times New Roman" w:hAnsi="Times New Roman" w:cs="Times New Roman"/>
          <w:sz w:val="20"/>
          <w:szCs w:val="20"/>
        </w:rPr>
        <w:t>Out of</w:t>
      </w:r>
      <w:r w:rsidR="004C6FAC" w:rsidRPr="00070664">
        <w:rPr>
          <w:rFonts w:ascii="Times New Roman" w:hAnsi="Times New Roman" w:cs="Times New Roman"/>
          <w:sz w:val="20"/>
          <w:szCs w:val="20"/>
        </w:rPr>
        <w:t xml:space="preserve"> </w:t>
      </w:r>
      <w:r w:rsidR="008F60E6" w:rsidRPr="00070664">
        <w:rPr>
          <w:rFonts w:ascii="Times New Roman" w:hAnsi="Times New Roman" w:cs="Times New Roman"/>
          <w:sz w:val="20"/>
          <w:szCs w:val="20"/>
        </w:rPr>
        <w:t>1742</w:t>
      </w:r>
      <w:r w:rsidR="004C6FAC" w:rsidRPr="00070664">
        <w:rPr>
          <w:rFonts w:ascii="Times New Roman" w:hAnsi="Times New Roman" w:cs="Times New Roman"/>
          <w:sz w:val="20"/>
          <w:szCs w:val="20"/>
        </w:rPr>
        <w:t xml:space="preserve"> CKD patients</w:t>
      </w:r>
      <w:r w:rsidR="00DF47B4" w:rsidRPr="00070664">
        <w:rPr>
          <w:rFonts w:ascii="Times New Roman" w:hAnsi="Times New Roman" w:cs="Times New Roman"/>
          <w:sz w:val="20"/>
          <w:szCs w:val="20"/>
        </w:rPr>
        <w:t xml:space="preserve">, </w:t>
      </w:r>
      <w:r w:rsidR="009B4F6B" w:rsidRPr="00070664">
        <w:rPr>
          <w:rFonts w:ascii="Times New Roman" w:hAnsi="Times New Roman" w:cs="Times New Roman"/>
          <w:sz w:val="20"/>
          <w:szCs w:val="20"/>
        </w:rPr>
        <w:t>280</w:t>
      </w:r>
      <w:r w:rsidR="00DF47B4" w:rsidRPr="00070664">
        <w:rPr>
          <w:rFonts w:ascii="Times New Roman" w:hAnsi="Times New Roman" w:cs="Times New Roman"/>
          <w:sz w:val="20"/>
          <w:szCs w:val="20"/>
        </w:rPr>
        <w:t xml:space="preserve"> patients who met the study criteria were included in the study</w:t>
      </w:r>
      <w:r w:rsidR="004C6FAC" w:rsidRPr="00070664">
        <w:rPr>
          <w:rFonts w:ascii="Times New Roman" w:hAnsi="Times New Roman" w:cs="Times New Roman"/>
          <w:sz w:val="20"/>
          <w:szCs w:val="20"/>
        </w:rPr>
        <w:t>.</w:t>
      </w:r>
      <w:r w:rsidR="006B3077" w:rsidRPr="00070664">
        <w:rPr>
          <w:rFonts w:ascii="Times New Roman" w:hAnsi="Times New Roman" w:cs="Times New Roman"/>
          <w:sz w:val="20"/>
          <w:szCs w:val="20"/>
        </w:rPr>
        <w:t xml:space="preserve"> Demographic features (age and sex) and medical history of diabetes mellitus, hypertension and CVD of each patient were noted at the time of diagnosis.</w:t>
      </w:r>
    </w:p>
    <w:p w:rsidR="006B3077" w:rsidRPr="00070664" w:rsidRDefault="006B3077"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 xml:space="preserve">CKD was defined on the basis of </w:t>
      </w:r>
      <w:r w:rsidR="00D11917" w:rsidRPr="00070664">
        <w:rPr>
          <w:rFonts w:ascii="Times New Roman" w:hAnsi="Times New Roman" w:cs="Times New Roman"/>
          <w:sz w:val="20"/>
          <w:szCs w:val="20"/>
        </w:rPr>
        <w:t>MDRD</w:t>
      </w:r>
      <w:r w:rsidRPr="00070664">
        <w:rPr>
          <w:rFonts w:ascii="Times New Roman" w:hAnsi="Times New Roman" w:cs="Times New Roman"/>
          <w:sz w:val="20"/>
          <w:szCs w:val="20"/>
        </w:rPr>
        <w:t xml:space="preserve"> formula. Overt hypothyroidism would be defined by a TSH &gt;5.5 mIU/L and Free T4 &lt;0.89 ng/dl with clinical symptoms. Subclinical</w:t>
      </w:r>
      <w:r w:rsidR="00364CF3" w:rsidRPr="00070664">
        <w:rPr>
          <w:rFonts w:ascii="Times New Roman" w:hAnsi="Times New Roman" w:cs="Times New Roman"/>
          <w:sz w:val="20"/>
          <w:szCs w:val="20"/>
        </w:rPr>
        <w:t xml:space="preserve"> </w:t>
      </w:r>
      <w:r w:rsidRPr="00070664">
        <w:rPr>
          <w:rFonts w:ascii="Times New Roman" w:hAnsi="Times New Roman" w:cs="Times New Roman"/>
          <w:sz w:val="20"/>
          <w:szCs w:val="20"/>
        </w:rPr>
        <w:t>hypothyroidism would be defined by a TSH &gt;5.5 mIU/L and Free T4 ≥0.89 ng/dl (the lower limit of the normal range).</w:t>
      </w:r>
    </w:p>
    <w:p w:rsidR="004C6FAC" w:rsidRPr="00070664" w:rsidRDefault="004C6FAC" w:rsidP="008F0B6E">
      <w:pPr>
        <w:autoSpaceDE w:val="0"/>
        <w:autoSpaceDN w:val="0"/>
        <w:adjustRightInd w:val="0"/>
        <w:spacing w:after="0" w:line="240" w:lineRule="auto"/>
        <w:rPr>
          <w:rFonts w:ascii="Times New Roman" w:hAnsi="Times New Roman" w:cs="Times New Roman"/>
          <w:sz w:val="20"/>
          <w:szCs w:val="20"/>
        </w:rPr>
      </w:pPr>
    </w:p>
    <w:p w:rsidR="008F60E6" w:rsidRPr="00070664" w:rsidRDefault="008F60E6" w:rsidP="008F0B6E">
      <w:pPr>
        <w:autoSpaceDE w:val="0"/>
        <w:autoSpaceDN w:val="0"/>
        <w:adjustRightInd w:val="0"/>
        <w:spacing w:after="0" w:line="240" w:lineRule="auto"/>
        <w:rPr>
          <w:rFonts w:ascii="Times New Roman" w:hAnsi="Times New Roman" w:cs="Times New Roman"/>
          <w:sz w:val="20"/>
          <w:szCs w:val="20"/>
        </w:rPr>
      </w:pPr>
    </w:p>
    <w:p w:rsidR="00640E85" w:rsidRPr="00070664" w:rsidRDefault="00070664"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b/>
          <w:sz w:val="20"/>
          <w:szCs w:val="20"/>
        </w:rPr>
        <w:t>Inclusion Criteria</w:t>
      </w:r>
    </w:p>
    <w:p w:rsidR="00DC255E" w:rsidRPr="00070664" w:rsidRDefault="00DC255E" w:rsidP="008F0B6E">
      <w:pPr>
        <w:autoSpaceDE w:val="0"/>
        <w:autoSpaceDN w:val="0"/>
        <w:adjustRightInd w:val="0"/>
        <w:spacing w:after="0" w:line="240" w:lineRule="auto"/>
        <w:rPr>
          <w:rFonts w:ascii="Times New Roman" w:hAnsi="Times New Roman" w:cs="Times New Roman"/>
          <w:sz w:val="20"/>
          <w:szCs w:val="20"/>
        </w:rPr>
      </w:pPr>
    </w:p>
    <w:p w:rsidR="004C6FAC" w:rsidRPr="00070664" w:rsidRDefault="00276FD9" w:rsidP="008F0B6E">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w:t>
      </w:r>
      <w:r w:rsidR="004C6FAC" w:rsidRPr="00070664">
        <w:rPr>
          <w:rFonts w:ascii="Times New Roman" w:hAnsi="Times New Roman" w:cs="Times New Roman"/>
          <w:sz w:val="20"/>
          <w:szCs w:val="20"/>
        </w:rPr>
        <w:t>ll CKD patients (&gt;18 years of age) not requiring dialysis</w:t>
      </w:r>
    </w:p>
    <w:p w:rsidR="007416ED" w:rsidRPr="00070664" w:rsidRDefault="004C6FAC" w:rsidP="008F0B6E">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TSH levels &gt;5.5 mIU/L</w:t>
      </w:r>
    </w:p>
    <w:p w:rsidR="00E51241" w:rsidRPr="00070664" w:rsidRDefault="00E51241" w:rsidP="008F0B6E">
      <w:pPr>
        <w:pStyle w:val="ListParagraph"/>
        <w:autoSpaceDE w:val="0"/>
        <w:autoSpaceDN w:val="0"/>
        <w:adjustRightInd w:val="0"/>
        <w:spacing w:after="0" w:line="240" w:lineRule="auto"/>
        <w:rPr>
          <w:rFonts w:ascii="Times New Roman" w:hAnsi="Times New Roman" w:cs="Times New Roman"/>
          <w:sz w:val="20"/>
          <w:szCs w:val="20"/>
        </w:rPr>
      </w:pPr>
    </w:p>
    <w:p w:rsidR="00DF5489" w:rsidRPr="00070664" w:rsidRDefault="00DF5489" w:rsidP="008F0B6E">
      <w:pPr>
        <w:autoSpaceDE w:val="0"/>
        <w:autoSpaceDN w:val="0"/>
        <w:adjustRightInd w:val="0"/>
        <w:spacing w:after="0" w:line="240" w:lineRule="auto"/>
        <w:rPr>
          <w:rFonts w:ascii="Times New Roman" w:hAnsi="Times New Roman" w:cs="Times New Roman"/>
          <w:b/>
          <w:sz w:val="20"/>
          <w:szCs w:val="20"/>
        </w:rPr>
      </w:pPr>
    </w:p>
    <w:p w:rsidR="00640E85" w:rsidRPr="00070664" w:rsidRDefault="00070664" w:rsidP="008F0B6E">
      <w:pPr>
        <w:autoSpaceDE w:val="0"/>
        <w:autoSpaceDN w:val="0"/>
        <w:adjustRightInd w:val="0"/>
        <w:spacing w:after="0" w:line="240" w:lineRule="auto"/>
        <w:rPr>
          <w:rFonts w:ascii="Times New Roman" w:hAnsi="Times New Roman" w:cs="Times New Roman"/>
          <w:b/>
          <w:sz w:val="20"/>
          <w:szCs w:val="20"/>
        </w:rPr>
      </w:pPr>
      <w:r w:rsidRPr="00070664">
        <w:rPr>
          <w:rFonts w:ascii="Times New Roman" w:hAnsi="Times New Roman" w:cs="Times New Roman"/>
          <w:b/>
          <w:sz w:val="20"/>
          <w:szCs w:val="20"/>
        </w:rPr>
        <w:t>Exclusion Criteria</w:t>
      </w:r>
    </w:p>
    <w:p w:rsidR="00DC255E" w:rsidRPr="00070664" w:rsidRDefault="00DC255E" w:rsidP="008F0B6E">
      <w:pPr>
        <w:autoSpaceDE w:val="0"/>
        <w:autoSpaceDN w:val="0"/>
        <w:adjustRightInd w:val="0"/>
        <w:spacing w:after="0" w:line="240" w:lineRule="auto"/>
        <w:rPr>
          <w:rFonts w:ascii="Times New Roman" w:hAnsi="Times New Roman" w:cs="Times New Roman"/>
          <w:sz w:val="20"/>
          <w:szCs w:val="20"/>
        </w:rPr>
      </w:pPr>
    </w:p>
    <w:p w:rsidR="004C6FAC" w:rsidRPr="00070664" w:rsidRDefault="00276FD9" w:rsidP="008F0B6E">
      <w:pPr>
        <w:pStyle w:val="ListParagraph"/>
        <w:numPr>
          <w:ilvl w:val="0"/>
          <w:numId w:val="3"/>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w:t>
      </w:r>
      <w:r w:rsidR="004C6FAC" w:rsidRPr="00070664">
        <w:rPr>
          <w:rFonts w:ascii="Times New Roman" w:hAnsi="Times New Roman" w:cs="Times New Roman"/>
          <w:sz w:val="20"/>
          <w:szCs w:val="20"/>
        </w:rPr>
        <w:t xml:space="preserve">ge&lt; 18yrs </w:t>
      </w:r>
    </w:p>
    <w:p w:rsidR="00276FD9" w:rsidRPr="00070664" w:rsidRDefault="00B80349" w:rsidP="008F0B6E">
      <w:pPr>
        <w:pStyle w:val="ListParagraph"/>
        <w:numPr>
          <w:ilvl w:val="0"/>
          <w:numId w:val="3"/>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w:t>
      </w:r>
      <w:r w:rsidR="004C6FAC" w:rsidRPr="00070664">
        <w:rPr>
          <w:rFonts w:ascii="Times New Roman" w:hAnsi="Times New Roman" w:cs="Times New Roman"/>
          <w:sz w:val="20"/>
          <w:szCs w:val="20"/>
        </w:rPr>
        <w:t xml:space="preserve">hose on medications affecting thyroid function, e.g. lithium </w:t>
      </w:r>
    </w:p>
    <w:p w:rsidR="004C6FAC" w:rsidRPr="00070664" w:rsidRDefault="00554188"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 xml:space="preserve">              </w:t>
      </w:r>
      <w:r w:rsidR="004C6FAC" w:rsidRPr="00070664">
        <w:rPr>
          <w:rFonts w:ascii="Times New Roman" w:hAnsi="Times New Roman" w:cs="Times New Roman"/>
          <w:sz w:val="20"/>
          <w:szCs w:val="20"/>
        </w:rPr>
        <w:t>and high-dose steroids , and pregnant women were excluded from the study</w:t>
      </w:r>
    </w:p>
    <w:p w:rsidR="004C6FAC" w:rsidRPr="00070664" w:rsidRDefault="004C6FAC" w:rsidP="008F0B6E">
      <w:pPr>
        <w:pStyle w:val="ListParagraph"/>
        <w:numPr>
          <w:ilvl w:val="0"/>
          <w:numId w:val="3"/>
        </w:num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All secondary cases of hypothyroidism and subjects in whom kidney functions could not be estimated due to missing serum creatinine values or those in whom thyroid stimulating hormone (TSH) or Free T4 levels were not available.</w:t>
      </w:r>
    </w:p>
    <w:p w:rsidR="00230F9F" w:rsidRPr="00070664" w:rsidRDefault="00DB00AA" w:rsidP="008F0B6E">
      <w:pPr>
        <w:pStyle w:val="ListParagraph"/>
        <w:numPr>
          <w:ilvl w:val="0"/>
          <w:numId w:val="3"/>
        </w:numPr>
        <w:autoSpaceDE w:val="0"/>
        <w:autoSpaceDN w:val="0"/>
        <w:adjustRightInd w:val="0"/>
        <w:spacing w:after="0" w:line="240" w:lineRule="auto"/>
        <w:rPr>
          <w:rFonts w:ascii="Times New Roman" w:hAnsi="Times New Roman" w:cs="Times New Roman"/>
          <w:color w:val="FF0000"/>
          <w:sz w:val="20"/>
          <w:szCs w:val="20"/>
        </w:rPr>
      </w:pPr>
      <w:r w:rsidRPr="00070664">
        <w:rPr>
          <w:rFonts w:ascii="Times New Roman" w:hAnsi="Times New Roman" w:cs="Times New Roman"/>
          <w:sz w:val="20"/>
          <w:szCs w:val="20"/>
        </w:rPr>
        <w:t>Patients on</w:t>
      </w:r>
      <w:r w:rsidR="00CC67D8" w:rsidRPr="00070664">
        <w:rPr>
          <w:rFonts w:ascii="Times New Roman" w:hAnsi="Times New Roman" w:cs="Times New Roman"/>
          <w:sz w:val="20"/>
          <w:szCs w:val="20"/>
        </w:rPr>
        <w:t xml:space="preserve"> </w:t>
      </w:r>
      <w:r w:rsidRPr="00070664">
        <w:rPr>
          <w:rFonts w:ascii="Times New Roman" w:hAnsi="Times New Roman" w:cs="Times New Roman"/>
          <w:sz w:val="20"/>
          <w:szCs w:val="20"/>
        </w:rPr>
        <w:t xml:space="preserve">dialysis </w:t>
      </w:r>
    </w:p>
    <w:p w:rsidR="00306093" w:rsidRPr="00070664" w:rsidRDefault="00306093" w:rsidP="008F0B6E">
      <w:pPr>
        <w:autoSpaceDE w:val="0"/>
        <w:autoSpaceDN w:val="0"/>
        <w:adjustRightInd w:val="0"/>
        <w:spacing w:after="0" w:line="240" w:lineRule="auto"/>
        <w:rPr>
          <w:rFonts w:ascii="Times New Roman" w:hAnsi="Times New Roman" w:cs="Times New Roman"/>
          <w:b/>
          <w:sz w:val="20"/>
          <w:szCs w:val="20"/>
        </w:rPr>
      </w:pPr>
    </w:p>
    <w:p w:rsidR="00306093" w:rsidRPr="00070664" w:rsidRDefault="00306093" w:rsidP="008F0B6E">
      <w:pPr>
        <w:autoSpaceDE w:val="0"/>
        <w:autoSpaceDN w:val="0"/>
        <w:adjustRightInd w:val="0"/>
        <w:spacing w:after="0" w:line="240" w:lineRule="auto"/>
        <w:rPr>
          <w:rFonts w:ascii="Times New Roman" w:hAnsi="Times New Roman" w:cs="Times New Roman"/>
          <w:b/>
          <w:sz w:val="20"/>
          <w:szCs w:val="20"/>
        </w:rPr>
      </w:pPr>
    </w:p>
    <w:p w:rsidR="005F4BF6" w:rsidRPr="00070664" w:rsidRDefault="002F26F5" w:rsidP="008F0B6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Observations and </w:t>
      </w:r>
      <w:r w:rsidR="00070664" w:rsidRPr="00070664">
        <w:rPr>
          <w:rFonts w:ascii="Times New Roman" w:hAnsi="Times New Roman" w:cs="Times New Roman"/>
          <w:b/>
          <w:sz w:val="20"/>
          <w:szCs w:val="20"/>
        </w:rPr>
        <w:t>Results</w:t>
      </w:r>
    </w:p>
    <w:p w:rsidR="009B4F6B" w:rsidRPr="00070664" w:rsidRDefault="009B4F6B" w:rsidP="008F0B6E">
      <w:pPr>
        <w:autoSpaceDE w:val="0"/>
        <w:autoSpaceDN w:val="0"/>
        <w:adjustRightInd w:val="0"/>
        <w:spacing w:after="0" w:line="240" w:lineRule="auto"/>
        <w:rPr>
          <w:rFonts w:ascii="Times New Roman" w:hAnsi="Times New Roman" w:cs="Times New Roman"/>
          <w:b/>
          <w:sz w:val="20"/>
          <w:szCs w:val="20"/>
        </w:rPr>
      </w:pPr>
    </w:p>
    <w:p w:rsidR="0042798C" w:rsidRPr="00070664" w:rsidRDefault="009B4F6B"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A total of 1742 non-dialytic CKD patients had attended the Nephrology OPD during the study period</w:t>
      </w:r>
      <w:r w:rsidR="0042798C" w:rsidRPr="00070664">
        <w:rPr>
          <w:rFonts w:ascii="Times New Roman" w:hAnsi="Times New Roman" w:cs="Times New Roman"/>
          <w:sz w:val="20"/>
          <w:szCs w:val="20"/>
        </w:rPr>
        <w:t>. O</w:t>
      </w:r>
      <w:r w:rsidR="00545137" w:rsidRPr="00070664">
        <w:rPr>
          <w:rFonts w:ascii="Times New Roman" w:hAnsi="Times New Roman" w:cs="Times New Roman"/>
          <w:sz w:val="20"/>
          <w:szCs w:val="20"/>
        </w:rPr>
        <w:t>ut of 1742, two hundred and eighty</w:t>
      </w:r>
      <w:r w:rsidRPr="00070664">
        <w:rPr>
          <w:rFonts w:ascii="Times New Roman" w:hAnsi="Times New Roman" w:cs="Times New Roman"/>
          <w:sz w:val="20"/>
          <w:szCs w:val="20"/>
        </w:rPr>
        <w:t xml:space="preserve"> patients met the study criteria, and were finally included in the study. The mean age of patients with overt hypothyroid was 59.64 years, in sub-clinical hypothyroid group was 58.14 years, and in patients with normal thyroid function was 55.51 years. </w:t>
      </w:r>
      <w:r w:rsidR="00805809" w:rsidRPr="00070664">
        <w:rPr>
          <w:rFonts w:ascii="Times New Roman" w:hAnsi="Times New Roman" w:cs="Times New Roman"/>
          <w:sz w:val="20"/>
          <w:szCs w:val="20"/>
        </w:rPr>
        <w:t>When age in hypothyroid group (overt and sub-clinical) as a whole is compared with euthyroid group, the difference was statistically significant (p=0.023).</w:t>
      </w:r>
      <w:r w:rsidR="0042798C" w:rsidRPr="00070664">
        <w:rPr>
          <w:rFonts w:ascii="Times New Roman" w:hAnsi="Times New Roman" w:cs="Times New Roman"/>
          <w:sz w:val="20"/>
          <w:szCs w:val="20"/>
        </w:rPr>
        <w:t xml:space="preserve"> </w:t>
      </w:r>
      <w:r w:rsidR="00805809" w:rsidRPr="00070664">
        <w:rPr>
          <w:rFonts w:ascii="Times New Roman" w:hAnsi="Times New Roman" w:cs="Times New Roman"/>
          <w:sz w:val="20"/>
          <w:szCs w:val="20"/>
        </w:rPr>
        <w:t>A</w:t>
      </w:r>
      <w:r w:rsidR="0042798C" w:rsidRPr="00070664">
        <w:rPr>
          <w:rFonts w:ascii="Times New Roman" w:hAnsi="Times New Roman" w:cs="Times New Roman"/>
          <w:sz w:val="20"/>
          <w:szCs w:val="20"/>
        </w:rPr>
        <w:t xml:space="preserve">mong the hypothyroid patients, 12% were males and 26% were </w:t>
      </w:r>
      <w:r w:rsidR="00805809" w:rsidRPr="00070664">
        <w:rPr>
          <w:rFonts w:ascii="Times New Roman" w:hAnsi="Times New Roman" w:cs="Times New Roman"/>
          <w:sz w:val="20"/>
          <w:szCs w:val="20"/>
        </w:rPr>
        <w:t>females</w:t>
      </w:r>
      <w:r w:rsidR="0042798C" w:rsidRPr="00070664">
        <w:rPr>
          <w:rFonts w:ascii="Times New Roman" w:hAnsi="Times New Roman" w:cs="Times New Roman"/>
          <w:sz w:val="20"/>
          <w:szCs w:val="20"/>
        </w:rPr>
        <w:t>. The mean age of the patients is shown in table 1, 2 and figure 1</w:t>
      </w:r>
    </w:p>
    <w:p w:rsidR="00FD72F1" w:rsidRPr="00070664" w:rsidRDefault="00FD72F1" w:rsidP="008F0B6E">
      <w:pPr>
        <w:autoSpaceDE w:val="0"/>
        <w:autoSpaceDN w:val="0"/>
        <w:adjustRightInd w:val="0"/>
        <w:spacing w:after="0" w:line="240" w:lineRule="auto"/>
        <w:rPr>
          <w:rFonts w:ascii="Times New Roman" w:hAnsi="Times New Roman" w:cs="Times New Roman"/>
          <w:sz w:val="20"/>
          <w:szCs w:val="20"/>
        </w:rPr>
      </w:pPr>
    </w:p>
    <w:p w:rsidR="00D53E9B" w:rsidRPr="00070664" w:rsidRDefault="00230F9F"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The mean TSH in overt hypothyroid group was 24.55 mIU/L, in sub-clinical hypothyroid was 7.59 mIU/L, whereas in euthyroid group was 2.8 mIU/L. when TSH was compared between hypothyroid patients, overall, with euthyroid, the difference was significant (</w:t>
      </w:r>
      <w:r w:rsidR="00E1174E" w:rsidRPr="00070664">
        <w:rPr>
          <w:rFonts w:ascii="Times New Roman" w:hAnsi="Times New Roman" w:cs="Times New Roman"/>
          <w:sz w:val="20"/>
          <w:szCs w:val="20"/>
        </w:rPr>
        <w:t>p&lt; 0.0001</w:t>
      </w:r>
      <w:r w:rsidRPr="00070664">
        <w:rPr>
          <w:rFonts w:ascii="Times New Roman" w:hAnsi="Times New Roman" w:cs="Times New Roman"/>
          <w:sz w:val="20"/>
          <w:szCs w:val="20"/>
        </w:rPr>
        <w:t xml:space="preserve">) </w:t>
      </w:r>
      <w:r w:rsidR="00E1174E" w:rsidRPr="00070664">
        <w:rPr>
          <w:rFonts w:ascii="Times New Roman" w:hAnsi="Times New Roman" w:cs="Times New Roman"/>
          <w:sz w:val="20"/>
          <w:szCs w:val="20"/>
        </w:rPr>
        <w:t>.</w:t>
      </w:r>
    </w:p>
    <w:p w:rsidR="00E1174E" w:rsidRPr="00070664" w:rsidRDefault="00E1174E"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The difference in Free T4 between hypothyroid and euthyroid was also statistically significant (p&lt; 0.0001).</w:t>
      </w:r>
    </w:p>
    <w:p w:rsidR="0013339A" w:rsidRPr="00070664" w:rsidRDefault="00E1174E"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Table 3, fig2 and table 4 shows mean TSH and FT4</w:t>
      </w:r>
    </w:p>
    <w:p w:rsidR="00545137" w:rsidRPr="00070664" w:rsidRDefault="00545137" w:rsidP="008F0B6E">
      <w:pPr>
        <w:autoSpaceDE w:val="0"/>
        <w:autoSpaceDN w:val="0"/>
        <w:adjustRightInd w:val="0"/>
        <w:spacing w:after="0" w:line="240" w:lineRule="auto"/>
        <w:rPr>
          <w:rFonts w:ascii="Times New Roman" w:hAnsi="Times New Roman" w:cs="Times New Roman"/>
          <w:sz w:val="20"/>
          <w:szCs w:val="20"/>
        </w:rPr>
      </w:pPr>
    </w:p>
    <w:p w:rsidR="0013339A" w:rsidRPr="00070664" w:rsidRDefault="0013339A"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 xml:space="preserve">We observed that </w:t>
      </w:r>
      <w:r w:rsidR="00FA4C38" w:rsidRPr="00070664">
        <w:rPr>
          <w:rFonts w:ascii="Times New Roman" w:hAnsi="Times New Roman" w:cs="Times New Roman"/>
          <w:sz w:val="20"/>
          <w:szCs w:val="20"/>
        </w:rPr>
        <w:t>prevale</w:t>
      </w:r>
      <w:r w:rsidRPr="00070664">
        <w:rPr>
          <w:rFonts w:ascii="Times New Roman" w:hAnsi="Times New Roman" w:cs="Times New Roman"/>
          <w:sz w:val="20"/>
          <w:szCs w:val="20"/>
        </w:rPr>
        <w:t xml:space="preserve">nce of hypothyroidism </w:t>
      </w:r>
      <w:r w:rsidR="00FA4C38" w:rsidRPr="00070664">
        <w:rPr>
          <w:rFonts w:ascii="Times New Roman" w:hAnsi="Times New Roman" w:cs="Times New Roman"/>
          <w:sz w:val="20"/>
          <w:szCs w:val="20"/>
        </w:rPr>
        <w:t>was increased in patients with reduced GFR, ranging from 13.33% in stage 2 to 35.55% in ESRD.</w:t>
      </w:r>
    </w:p>
    <w:p w:rsidR="001F4FF4" w:rsidRPr="00070664" w:rsidRDefault="001F4FF4"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We found tha</w:t>
      </w:r>
      <w:r w:rsidR="00364CF3" w:rsidRPr="00070664">
        <w:rPr>
          <w:rFonts w:ascii="Times New Roman" w:hAnsi="Times New Roman" w:cs="Times New Roman"/>
          <w:sz w:val="20"/>
          <w:szCs w:val="20"/>
        </w:rPr>
        <w:t>t 68.8% of hypothyroids have sub</w:t>
      </w:r>
      <w:r w:rsidRPr="00070664">
        <w:rPr>
          <w:rFonts w:ascii="Times New Roman" w:hAnsi="Times New Roman" w:cs="Times New Roman"/>
          <w:sz w:val="20"/>
          <w:szCs w:val="20"/>
        </w:rPr>
        <w:t>-clinical hypotrhyroidism</w:t>
      </w:r>
    </w:p>
    <w:p w:rsidR="00BE056E" w:rsidRPr="00070664" w:rsidRDefault="005817CD"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 xml:space="preserve">When we compared prevalence of hypothyroid in stage 5 CKD to stage 2 CKD, we found that it was significantly higher in stage 5 CKD (P = 0.05). </w:t>
      </w:r>
      <w:r w:rsidR="003D2C8E" w:rsidRPr="00070664">
        <w:rPr>
          <w:rFonts w:ascii="Times New Roman" w:hAnsi="Times New Roman" w:cs="Times New Roman"/>
          <w:sz w:val="20"/>
          <w:szCs w:val="20"/>
        </w:rPr>
        <w:t xml:space="preserve">similarly we compared prevalence of hypothyroid in stage 3 CKD to stage 4 and stage 5 CKD, and it was significantly higher in stage 4(p = 0.021) and stage 5 CKD (p = 0.005).   </w:t>
      </w:r>
      <w:r w:rsidRPr="00070664">
        <w:rPr>
          <w:rFonts w:ascii="Times New Roman" w:hAnsi="Times New Roman" w:cs="Times New Roman"/>
          <w:sz w:val="20"/>
          <w:szCs w:val="20"/>
        </w:rPr>
        <w:t xml:space="preserve">   </w:t>
      </w:r>
    </w:p>
    <w:p w:rsidR="00545137" w:rsidRPr="00070664" w:rsidRDefault="00545137" w:rsidP="008F0B6E">
      <w:pPr>
        <w:autoSpaceDE w:val="0"/>
        <w:autoSpaceDN w:val="0"/>
        <w:adjustRightInd w:val="0"/>
        <w:spacing w:after="0" w:line="240" w:lineRule="auto"/>
        <w:rPr>
          <w:rFonts w:ascii="Times New Roman" w:hAnsi="Times New Roman" w:cs="Times New Roman"/>
          <w:b/>
          <w:sz w:val="20"/>
          <w:szCs w:val="20"/>
        </w:rPr>
      </w:pPr>
    </w:p>
    <w:p w:rsidR="00AF1A6B" w:rsidRPr="00070664" w:rsidRDefault="00070664" w:rsidP="008F0B6E">
      <w:pPr>
        <w:autoSpaceDE w:val="0"/>
        <w:autoSpaceDN w:val="0"/>
        <w:adjustRightInd w:val="0"/>
        <w:spacing w:after="0" w:line="240" w:lineRule="auto"/>
        <w:rPr>
          <w:rFonts w:ascii="Times New Roman" w:hAnsi="Times New Roman" w:cs="Times New Roman"/>
          <w:b/>
          <w:sz w:val="20"/>
          <w:szCs w:val="20"/>
        </w:rPr>
      </w:pPr>
      <w:r w:rsidRPr="00070664">
        <w:rPr>
          <w:rFonts w:ascii="Times New Roman" w:hAnsi="Times New Roman" w:cs="Times New Roman"/>
          <w:b/>
          <w:sz w:val="20"/>
          <w:szCs w:val="20"/>
        </w:rPr>
        <w:t>Discussion</w:t>
      </w:r>
    </w:p>
    <w:p w:rsidR="00BE056E" w:rsidRPr="00070664" w:rsidRDefault="00BE056E" w:rsidP="008F0B6E">
      <w:pPr>
        <w:autoSpaceDE w:val="0"/>
        <w:autoSpaceDN w:val="0"/>
        <w:adjustRightInd w:val="0"/>
        <w:spacing w:after="0" w:line="240" w:lineRule="auto"/>
        <w:rPr>
          <w:rFonts w:ascii="Times New Roman" w:hAnsi="Times New Roman" w:cs="Times New Roman"/>
          <w:b/>
          <w:sz w:val="20"/>
          <w:szCs w:val="20"/>
        </w:rPr>
      </w:pPr>
    </w:p>
    <w:p w:rsidR="001F4FF4" w:rsidRPr="00070664" w:rsidRDefault="001F4FF4"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The mean age of patients with hypothyroid in our study was 58.64 years, while in a study by chonchol et al</w:t>
      </w:r>
      <w:r w:rsidR="00F22F6F" w:rsidRPr="00070664">
        <w:rPr>
          <w:rFonts w:ascii="Times New Roman" w:hAnsi="Times New Roman" w:cs="Times New Roman"/>
          <w:sz w:val="20"/>
          <w:szCs w:val="20"/>
        </w:rPr>
        <w:t>,</w:t>
      </w:r>
      <w:r w:rsidR="00F22F6F" w:rsidRPr="00070664">
        <w:rPr>
          <w:rFonts w:ascii="Times New Roman" w:hAnsi="Times New Roman" w:cs="Times New Roman"/>
          <w:sz w:val="20"/>
          <w:szCs w:val="20"/>
          <w:vertAlign w:val="superscript"/>
        </w:rPr>
        <w:t>6</w:t>
      </w:r>
      <w:r w:rsidRPr="00070664">
        <w:rPr>
          <w:rFonts w:ascii="Times New Roman" w:hAnsi="Times New Roman" w:cs="Times New Roman"/>
          <w:sz w:val="20"/>
          <w:szCs w:val="20"/>
          <w:vertAlign w:val="superscript"/>
        </w:rPr>
        <w:t xml:space="preserve">  </w:t>
      </w:r>
      <w:r w:rsidRPr="00070664">
        <w:rPr>
          <w:rFonts w:ascii="Times New Roman" w:hAnsi="Times New Roman" w:cs="Times New Roman"/>
          <w:sz w:val="20"/>
          <w:szCs w:val="20"/>
        </w:rPr>
        <w:t xml:space="preserve">the mean age was </w:t>
      </w:r>
      <w:r w:rsidR="00667BCF" w:rsidRPr="00070664">
        <w:rPr>
          <w:rFonts w:ascii="Times New Roman" w:hAnsi="Times New Roman" w:cs="Times New Roman"/>
          <w:sz w:val="20"/>
          <w:szCs w:val="20"/>
        </w:rPr>
        <w:t>57.9 years</w:t>
      </w:r>
      <w:r w:rsidRPr="00070664">
        <w:rPr>
          <w:rFonts w:ascii="Times New Roman" w:hAnsi="Times New Roman" w:cs="Times New Roman"/>
          <w:sz w:val="20"/>
          <w:szCs w:val="20"/>
        </w:rPr>
        <w:t xml:space="preserve">. </w:t>
      </w:r>
      <w:r w:rsidR="00667BCF" w:rsidRPr="00070664">
        <w:rPr>
          <w:rFonts w:ascii="Times New Roman" w:hAnsi="Times New Roman" w:cs="Times New Roman"/>
          <w:sz w:val="20"/>
          <w:szCs w:val="20"/>
        </w:rPr>
        <w:t>A</w:t>
      </w:r>
      <w:r w:rsidRPr="00070664">
        <w:rPr>
          <w:rFonts w:ascii="Times New Roman" w:hAnsi="Times New Roman" w:cs="Times New Roman"/>
          <w:sz w:val="20"/>
          <w:szCs w:val="20"/>
        </w:rPr>
        <w:t>l</w:t>
      </w:r>
      <w:r w:rsidR="00A90CE1" w:rsidRPr="00070664">
        <w:rPr>
          <w:rFonts w:ascii="Times New Roman" w:hAnsi="Times New Roman" w:cs="Times New Roman"/>
          <w:sz w:val="20"/>
          <w:szCs w:val="20"/>
        </w:rPr>
        <w:t xml:space="preserve">so in our study 46.66% </w:t>
      </w:r>
      <w:r w:rsidR="00667BCF" w:rsidRPr="00070664">
        <w:rPr>
          <w:rFonts w:ascii="Times New Roman" w:hAnsi="Times New Roman" w:cs="Times New Roman"/>
          <w:sz w:val="20"/>
          <w:szCs w:val="20"/>
        </w:rPr>
        <w:t>% of patients with hypothyroid were female, while in another study by Lo et al</w:t>
      </w:r>
      <w:r w:rsidR="00F22F6F" w:rsidRPr="00070664">
        <w:rPr>
          <w:rFonts w:ascii="Times New Roman" w:hAnsi="Times New Roman" w:cs="Times New Roman"/>
          <w:sz w:val="20"/>
          <w:szCs w:val="20"/>
        </w:rPr>
        <w:t>.</w:t>
      </w:r>
      <w:r w:rsidR="00F22F6F" w:rsidRPr="00070664">
        <w:rPr>
          <w:rFonts w:ascii="Times New Roman" w:hAnsi="Times New Roman" w:cs="Times New Roman"/>
          <w:sz w:val="20"/>
          <w:szCs w:val="20"/>
          <w:vertAlign w:val="superscript"/>
        </w:rPr>
        <w:t>7</w:t>
      </w:r>
      <w:r w:rsidR="00667BCF" w:rsidRPr="00070664">
        <w:rPr>
          <w:rFonts w:ascii="Times New Roman" w:hAnsi="Times New Roman" w:cs="Times New Roman"/>
          <w:sz w:val="20"/>
          <w:szCs w:val="20"/>
        </w:rPr>
        <w:t xml:space="preserve"> </w:t>
      </w:r>
      <w:r w:rsidR="00667BCF" w:rsidRPr="00070664">
        <w:rPr>
          <w:rFonts w:ascii="Times New Roman" w:hAnsi="Times New Roman" w:cs="Times New Roman"/>
          <w:sz w:val="20"/>
          <w:szCs w:val="20"/>
          <w:vertAlign w:val="superscript"/>
        </w:rPr>
        <w:t xml:space="preserve"> </w:t>
      </w:r>
      <w:r w:rsidR="00667BCF" w:rsidRPr="00070664">
        <w:rPr>
          <w:rFonts w:ascii="Times New Roman" w:hAnsi="Times New Roman" w:cs="Times New Roman"/>
          <w:sz w:val="20"/>
          <w:szCs w:val="20"/>
        </w:rPr>
        <w:t xml:space="preserve">52% of patients were female. </w:t>
      </w:r>
    </w:p>
    <w:p w:rsidR="00D66C66" w:rsidRPr="00070664" w:rsidRDefault="00DF2C10" w:rsidP="008F0B6E">
      <w:pPr>
        <w:autoSpaceDE w:val="0"/>
        <w:autoSpaceDN w:val="0"/>
        <w:adjustRightInd w:val="0"/>
        <w:spacing w:after="0" w:line="240" w:lineRule="auto"/>
        <w:rPr>
          <w:rStyle w:val="A7"/>
          <w:rFonts w:ascii="Times New Roman" w:hAnsi="Times New Roman" w:cs="Times New Roman"/>
          <w:sz w:val="20"/>
          <w:szCs w:val="20"/>
          <w:vertAlign w:val="superscript"/>
        </w:rPr>
      </w:pPr>
      <w:r w:rsidRPr="00070664">
        <w:rPr>
          <w:rFonts w:ascii="Times New Roman" w:hAnsi="Times New Roman" w:cs="Times New Roman"/>
          <w:sz w:val="20"/>
          <w:szCs w:val="20"/>
        </w:rPr>
        <w:t>In our study, we found an increased prevalence of hypothyroidism in persons with reduced estimated GFR, independent of age and gender. In addition , with progressively low</w:t>
      </w:r>
      <w:r w:rsidR="00F22F6F" w:rsidRPr="00070664">
        <w:rPr>
          <w:rFonts w:ascii="Times New Roman" w:hAnsi="Times New Roman" w:cs="Times New Roman"/>
          <w:sz w:val="20"/>
          <w:szCs w:val="20"/>
        </w:rPr>
        <w:t>er GFR</w:t>
      </w:r>
      <w:r w:rsidRPr="00070664">
        <w:rPr>
          <w:rFonts w:ascii="Times New Roman" w:hAnsi="Times New Roman" w:cs="Times New Roman"/>
          <w:sz w:val="20"/>
          <w:szCs w:val="20"/>
        </w:rPr>
        <w:t xml:space="preserve"> there was an</w:t>
      </w:r>
      <w:r w:rsidRPr="00070664">
        <w:rPr>
          <w:rStyle w:val="A7"/>
          <w:rFonts w:ascii="Times New Roman" w:hAnsi="Times New Roman" w:cs="Times New Roman"/>
          <w:sz w:val="20"/>
          <w:szCs w:val="20"/>
        </w:rPr>
        <w:t xml:space="preserve"> increased likelihood of </w:t>
      </w:r>
      <w:r w:rsidRPr="00070664">
        <w:rPr>
          <w:rStyle w:val="A7"/>
          <w:rFonts w:ascii="Times New Roman" w:hAnsi="Times New Roman" w:cs="Times New Roman"/>
          <w:sz w:val="20"/>
          <w:szCs w:val="20"/>
        </w:rPr>
        <w:lastRenderedPageBreak/>
        <w:t>hypothyroidism.</w:t>
      </w:r>
      <w:r w:rsidR="00667BCF" w:rsidRPr="00070664">
        <w:rPr>
          <w:rStyle w:val="A7"/>
          <w:rFonts w:ascii="Times New Roman" w:hAnsi="Times New Roman" w:cs="Times New Roman"/>
          <w:sz w:val="20"/>
          <w:szCs w:val="20"/>
        </w:rPr>
        <w:t xml:space="preserve"> In our study we found that </w:t>
      </w:r>
      <w:r w:rsidR="00F22F6F" w:rsidRPr="00070664">
        <w:rPr>
          <w:rStyle w:val="A7"/>
          <w:rFonts w:ascii="Times New Roman" w:hAnsi="Times New Roman" w:cs="Times New Roman"/>
          <w:sz w:val="20"/>
          <w:szCs w:val="20"/>
        </w:rPr>
        <w:t xml:space="preserve">the </w:t>
      </w:r>
      <w:r w:rsidR="00667BCF" w:rsidRPr="00070664">
        <w:rPr>
          <w:rStyle w:val="A7"/>
          <w:rFonts w:ascii="Times New Roman" w:hAnsi="Times New Roman" w:cs="Times New Roman"/>
          <w:sz w:val="20"/>
          <w:szCs w:val="20"/>
        </w:rPr>
        <w:t>prevalence of CKD in non dialysis requiring population increases from 13% in patient with GFR &gt; 60, to 35% in patient with GFR&lt; 15. Also chochol et al reported increase in prevalence from 11% (GFR&gt;60) to 23% (GFR &lt; 15).</w:t>
      </w:r>
      <w:r w:rsidR="003A370F" w:rsidRPr="00070664">
        <w:rPr>
          <w:rStyle w:val="A7"/>
          <w:rFonts w:ascii="Times New Roman" w:hAnsi="Times New Roman" w:cs="Times New Roman"/>
          <w:sz w:val="20"/>
          <w:szCs w:val="20"/>
        </w:rPr>
        <w:t xml:space="preserve"> According to a study</w:t>
      </w:r>
      <w:r w:rsidR="00F22F6F" w:rsidRPr="00070664">
        <w:rPr>
          <w:rStyle w:val="A7"/>
          <w:rFonts w:ascii="Times New Roman" w:hAnsi="Times New Roman" w:cs="Times New Roman"/>
          <w:sz w:val="20"/>
          <w:szCs w:val="20"/>
        </w:rPr>
        <w:t xml:space="preserve"> in India among ESRD patients, prevalence of subclinical hypothyroidism was 24.8 % .</w:t>
      </w:r>
      <w:r w:rsidR="00F22F6F" w:rsidRPr="00070664">
        <w:rPr>
          <w:rStyle w:val="A7"/>
          <w:rFonts w:ascii="Times New Roman" w:hAnsi="Times New Roman" w:cs="Times New Roman"/>
          <w:sz w:val="20"/>
          <w:szCs w:val="20"/>
          <w:vertAlign w:val="superscript"/>
        </w:rPr>
        <w:t>8</w:t>
      </w:r>
      <w:r w:rsidR="00F22F6F" w:rsidRPr="00070664">
        <w:rPr>
          <w:rStyle w:val="A7"/>
          <w:rFonts w:ascii="Times New Roman" w:hAnsi="Times New Roman" w:cs="Times New Roman"/>
          <w:sz w:val="20"/>
          <w:szCs w:val="20"/>
        </w:rPr>
        <w:t xml:space="preserve"> A study by Ng et al. in peritoneal dialysis (PD) patients of Taiwan reported that, 98 (80.3 %) were having euthyroidism; 19 (15.6 %), subclinical hypothyroidism; and 5 (4.1 %), subclinical hyperthyroidism.</w:t>
      </w:r>
      <w:r w:rsidR="00F22F6F" w:rsidRPr="00070664">
        <w:rPr>
          <w:rStyle w:val="A7"/>
          <w:rFonts w:ascii="Times New Roman" w:hAnsi="Times New Roman" w:cs="Times New Roman"/>
          <w:sz w:val="20"/>
          <w:szCs w:val="20"/>
          <w:vertAlign w:val="superscript"/>
        </w:rPr>
        <w:t>9</w:t>
      </w:r>
      <w:r w:rsidR="00F22F6F" w:rsidRPr="00070664">
        <w:rPr>
          <w:rStyle w:val="A7"/>
          <w:rFonts w:ascii="Times New Roman" w:hAnsi="Times New Roman" w:cs="Times New Roman"/>
          <w:sz w:val="20"/>
          <w:szCs w:val="20"/>
        </w:rPr>
        <w:t xml:space="preserve"> A study among HD patients in western Nepal showed the combined prevalence of subclinical and clinical hypothyroidism in 26.6 % patients.</w:t>
      </w:r>
      <w:r w:rsidR="00F22F6F" w:rsidRPr="00070664">
        <w:rPr>
          <w:rStyle w:val="A7"/>
          <w:rFonts w:ascii="Times New Roman" w:hAnsi="Times New Roman" w:cs="Times New Roman"/>
          <w:sz w:val="20"/>
          <w:szCs w:val="20"/>
          <w:vertAlign w:val="superscript"/>
        </w:rPr>
        <w:t>10</w:t>
      </w:r>
      <w:r w:rsidR="00D66C66" w:rsidRPr="00070664">
        <w:rPr>
          <w:rStyle w:val="A7"/>
          <w:rFonts w:ascii="Times New Roman" w:hAnsi="Times New Roman" w:cs="Times New Roman"/>
          <w:sz w:val="20"/>
          <w:szCs w:val="20"/>
          <w:vertAlign w:val="superscript"/>
        </w:rPr>
        <w:t xml:space="preserve"> </w:t>
      </w:r>
      <w:r w:rsidR="00D66C66" w:rsidRPr="00070664">
        <w:rPr>
          <w:rStyle w:val="A7"/>
          <w:rFonts w:ascii="Times New Roman" w:hAnsi="Times New Roman" w:cs="Times New Roman"/>
          <w:sz w:val="20"/>
          <w:szCs w:val="20"/>
        </w:rPr>
        <w:t>High</w:t>
      </w:r>
      <w:r w:rsidR="0052011E" w:rsidRPr="00070664">
        <w:rPr>
          <w:rStyle w:val="A7"/>
          <w:rFonts w:ascii="Times New Roman" w:hAnsi="Times New Roman" w:cs="Times New Roman"/>
          <w:sz w:val="20"/>
          <w:szCs w:val="20"/>
        </w:rPr>
        <w:t>er</w:t>
      </w:r>
      <w:r w:rsidR="00D66C66" w:rsidRPr="00070664">
        <w:rPr>
          <w:rStyle w:val="A7"/>
          <w:rFonts w:ascii="Times New Roman" w:hAnsi="Times New Roman" w:cs="Times New Roman"/>
          <w:sz w:val="20"/>
          <w:szCs w:val="20"/>
        </w:rPr>
        <w:t xml:space="preserve"> rate of thyroid dysfunction in CKD patients as observed in our study may also be due to high prevalence of thyroid autoimmunity</w:t>
      </w:r>
      <w:r w:rsidR="001F1826" w:rsidRPr="00070664">
        <w:rPr>
          <w:rStyle w:val="A7"/>
          <w:rFonts w:ascii="Times New Roman" w:hAnsi="Times New Roman" w:cs="Times New Roman"/>
          <w:sz w:val="20"/>
          <w:szCs w:val="20"/>
        </w:rPr>
        <w:t xml:space="preserve"> </w:t>
      </w:r>
      <w:r w:rsidR="00D66C66" w:rsidRPr="00070664">
        <w:rPr>
          <w:rStyle w:val="A7"/>
          <w:rFonts w:ascii="Times New Roman" w:hAnsi="Times New Roman" w:cs="Times New Roman"/>
          <w:sz w:val="20"/>
          <w:szCs w:val="20"/>
        </w:rPr>
        <w:t xml:space="preserve">in study population, excess iodine nutrition or iodine deficiency, and the inclusion of subjects with non thyroidal illness. </w:t>
      </w:r>
      <w:r w:rsidR="00D66C66" w:rsidRPr="00070664">
        <w:rPr>
          <w:rStyle w:val="A7"/>
          <w:rFonts w:ascii="Times New Roman" w:hAnsi="Times New Roman" w:cs="Times New Roman"/>
          <w:sz w:val="20"/>
          <w:szCs w:val="20"/>
          <w:vertAlign w:val="superscript"/>
        </w:rPr>
        <w:t>11,12</w:t>
      </w:r>
    </w:p>
    <w:p w:rsidR="00F22F6F" w:rsidRPr="00070664" w:rsidRDefault="00D66C66" w:rsidP="008F0B6E">
      <w:pPr>
        <w:autoSpaceDE w:val="0"/>
        <w:autoSpaceDN w:val="0"/>
        <w:adjustRightInd w:val="0"/>
        <w:spacing w:after="0" w:line="240" w:lineRule="auto"/>
        <w:rPr>
          <w:rStyle w:val="A7"/>
          <w:rFonts w:ascii="Times New Roman" w:hAnsi="Times New Roman" w:cs="Times New Roman"/>
          <w:sz w:val="20"/>
          <w:szCs w:val="20"/>
        </w:rPr>
      </w:pPr>
      <w:r w:rsidRPr="00070664">
        <w:rPr>
          <w:rStyle w:val="A7"/>
          <w:rFonts w:ascii="Times New Roman" w:hAnsi="Times New Roman" w:cs="Times New Roman"/>
          <w:sz w:val="20"/>
          <w:szCs w:val="20"/>
        </w:rPr>
        <w:t>We observed decreasing trend for free T3 and free T4 levels (though the decrease were not significant), and increasing trend for TSH level (significant rise) across CKD stages 3–5, which suggest that TSH level increases with the progression of renal impairment (which is indicated by a decrease in GFR).</w:t>
      </w:r>
    </w:p>
    <w:p w:rsidR="00E51241" w:rsidRPr="00070664" w:rsidRDefault="00E51241" w:rsidP="008F0B6E">
      <w:pPr>
        <w:autoSpaceDE w:val="0"/>
        <w:autoSpaceDN w:val="0"/>
        <w:adjustRightInd w:val="0"/>
        <w:spacing w:after="0" w:line="240" w:lineRule="auto"/>
        <w:rPr>
          <w:rStyle w:val="A7"/>
          <w:rFonts w:ascii="Times New Roman" w:hAnsi="Times New Roman" w:cs="Times New Roman"/>
          <w:sz w:val="20"/>
          <w:szCs w:val="20"/>
        </w:rPr>
      </w:pPr>
    </w:p>
    <w:p w:rsidR="006F4D27" w:rsidRPr="00070664" w:rsidRDefault="00531602"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sz w:val="20"/>
          <w:szCs w:val="20"/>
        </w:rPr>
        <w:t>There are few limitations in our study. First is the small sample size. Second, the</w:t>
      </w:r>
      <w:r w:rsidR="006F4D27" w:rsidRPr="00070664">
        <w:rPr>
          <w:rFonts w:ascii="Times New Roman" w:hAnsi="Times New Roman" w:cs="Times New Roman"/>
          <w:sz w:val="20"/>
          <w:szCs w:val="20"/>
        </w:rPr>
        <w:t xml:space="preserve"> </w:t>
      </w:r>
      <w:r w:rsidR="0042798C" w:rsidRPr="00070664">
        <w:rPr>
          <w:rFonts w:ascii="Times New Roman" w:hAnsi="Times New Roman" w:cs="Times New Roman"/>
          <w:sz w:val="20"/>
          <w:szCs w:val="20"/>
        </w:rPr>
        <w:t>study did</w:t>
      </w:r>
      <w:r w:rsidR="006F4D27" w:rsidRPr="00070664">
        <w:rPr>
          <w:rFonts w:ascii="Times New Roman" w:hAnsi="Times New Roman" w:cs="Times New Roman"/>
          <w:sz w:val="20"/>
          <w:szCs w:val="20"/>
        </w:rPr>
        <w:t xml:space="preserve"> not mention any detail about </w:t>
      </w:r>
      <w:r w:rsidR="0042798C" w:rsidRPr="00070664">
        <w:rPr>
          <w:rFonts w:ascii="Times New Roman" w:hAnsi="Times New Roman" w:cs="Times New Roman"/>
          <w:sz w:val="20"/>
          <w:szCs w:val="20"/>
        </w:rPr>
        <w:t>the possible</w:t>
      </w:r>
      <w:r w:rsidRPr="00070664">
        <w:rPr>
          <w:rFonts w:ascii="Times New Roman" w:hAnsi="Times New Roman" w:cs="Times New Roman"/>
          <w:sz w:val="20"/>
          <w:szCs w:val="20"/>
        </w:rPr>
        <w:t xml:space="preserve"> etiol</w:t>
      </w:r>
      <w:r w:rsidR="006F4D27" w:rsidRPr="00070664">
        <w:rPr>
          <w:rFonts w:ascii="Times New Roman" w:hAnsi="Times New Roman" w:cs="Times New Roman"/>
          <w:sz w:val="20"/>
          <w:szCs w:val="20"/>
        </w:rPr>
        <w:t>ogy of hypothyroid.</w:t>
      </w:r>
      <w:r w:rsidRPr="00070664">
        <w:rPr>
          <w:rFonts w:ascii="Times New Roman" w:hAnsi="Times New Roman" w:cs="Times New Roman"/>
          <w:sz w:val="20"/>
          <w:szCs w:val="20"/>
        </w:rPr>
        <w:t xml:space="preserve">  </w:t>
      </w:r>
    </w:p>
    <w:p w:rsidR="006F4D27" w:rsidRPr="00070664" w:rsidRDefault="006F4D27" w:rsidP="008F0B6E">
      <w:pPr>
        <w:autoSpaceDE w:val="0"/>
        <w:autoSpaceDN w:val="0"/>
        <w:adjustRightInd w:val="0"/>
        <w:spacing w:after="0" w:line="240" w:lineRule="auto"/>
        <w:rPr>
          <w:rFonts w:ascii="Times New Roman" w:hAnsi="Times New Roman" w:cs="Times New Roman"/>
          <w:sz w:val="20"/>
          <w:szCs w:val="20"/>
        </w:rPr>
      </w:pPr>
    </w:p>
    <w:p w:rsidR="006F4D27" w:rsidRPr="00070664" w:rsidRDefault="006F4D27" w:rsidP="008F0B6E">
      <w:pPr>
        <w:autoSpaceDE w:val="0"/>
        <w:autoSpaceDN w:val="0"/>
        <w:adjustRightInd w:val="0"/>
        <w:spacing w:after="0" w:line="240" w:lineRule="auto"/>
        <w:rPr>
          <w:rFonts w:ascii="Times New Roman" w:hAnsi="Times New Roman" w:cs="Times New Roman"/>
          <w:sz w:val="20"/>
          <w:szCs w:val="20"/>
        </w:rPr>
      </w:pPr>
    </w:p>
    <w:p w:rsidR="006F4D27" w:rsidRPr="00070664" w:rsidRDefault="00070664" w:rsidP="008F0B6E">
      <w:pPr>
        <w:autoSpaceDE w:val="0"/>
        <w:autoSpaceDN w:val="0"/>
        <w:adjustRightInd w:val="0"/>
        <w:spacing w:after="0" w:line="240" w:lineRule="auto"/>
        <w:rPr>
          <w:rFonts w:ascii="Times New Roman" w:hAnsi="Times New Roman" w:cs="Times New Roman"/>
          <w:b/>
          <w:sz w:val="20"/>
          <w:szCs w:val="20"/>
        </w:rPr>
      </w:pPr>
      <w:r w:rsidRPr="00070664">
        <w:rPr>
          <w:rFonts w:ascii="Times New Roman" w:hAnsi="Times New Roman" w:cs="Times New Roman"/>
          <w:b/>
          <w:sz w:val="20"/>
          <w:szCs w:val="20"/>
        </w:rPr>
        <w:t>Conclusion</w:t>
      </w:r>
    </w:p>
    <w:p w:rsidR="003F0058" w:rsidRDefault="00531602" w:rsidP="008F0B6E">
      <w:pPr>
        <w:autoSpaceDE w:val="0"/>
        <w:autoSpaceDN w:val="0"/>
        <w:adjustRightInd w:val="0"/>
        <w:spacing w:after="0" w:line="240" w:lineRule="auto"/>
        <w:rPr>
          <w:rFonts w:ascii="Times New Roman" w:hAnsi="Times New Roman" w:cs="Times New Roman"/>
          <w:sz w:val="20"/>
          <w:szCs w:val="20"/>
        </w:rPr>
      </w:pPr>
      <w:r w:rsidRPr="00070664">
        <w:rPr>
          <w:rFonts w:ascii="Times New Roman" w:hAnsi="Times New Roman" w:cs="Times New Roman"/>
          <w:b/>
          <w:sz w:val="20"/>
          <w:szCs w:val="20"/>
        </w:rPr>
        <w:t xml:space="preserve"> </w:t>
      </w:r>
      <w:r w:rsidR="003F0058" w:rsidRPr="00070664">
        <w:rPr>
          <w:rFonts w:ascii="Times New Roman" w:hAnsi="Times New Roman" w:cs="Times New Roman"/>
          <w:sz w:val="20"/>
          <w:szCs w:val="20"/>
        </w:rPr>
        <w:t>According to this</w:t>
      </w:r>
      <w:r w:rsidR="006F4D27" w:rsidRPr="00070664">
        <w:rPr>
          <w:rFonts w:ascii="Times New Roman" w:hAnsi="Times New Roman" w:cs="Times New Roman"/>
          <w:sz w:val="20"/>
          <w:szCs w:val="20"/>
        </w:rPr>
        <w:t xml:space="preserve"> study thyroid dysfunction to be very common in CKD patients, as </w:t>
      </w:r>
      <w:r w:rsidR="005817CD" w:rsidRPr="00070664">
        <w:rPr>
          <w:rFonts w:ascii="Times New Roman" w:hAnsi="Times New Roman" w:cs="Times New Roman"/>
          <w:sz w:val="20"/>
          <w:szCs w:val="20"/>
        </w:rPr>
        <w:t>compared to</w:t>
      </w:r>
      <w:r w:rsidR="006F4D27" w:rsidRPr="00070664">
        <w:rPr>
          <w:rFonts w:ascii="Times New Roman" w:hAnsi="Times New Roman" w:cs="Times New Roman"/>
          <w:sz w:val="20"/>
          <w:szCs w:val="20"/>
        </w:rPr>
        <w:t xml:space="preserve"> person with normal kidney function and reveals the significant association between CKD progression and thyroid dysfunction.</w:t>
      </w:r>
      <w:r w:rsidR="003F0058" w:rsidRPr="00070664">
        <w:rPr>
          <w:rFonts w:ascii="Times New Roman" w:hAnsi="Times New Roman" w:cs="Times New Roman"/>
          <w:sz w:val="20"/>
          <w:szCs w:val="20"/>
        </w:rPr>
        <w:t xml:space="preserve"> According to a study by Eun Oh Kim,</w:t>
      </w:r>
      <w:r w:rsidR="003A370F" w:rsidRPr="00070664">
        <w:rPr>
          <w:rFonts w:ascii="Times New Roman" w:hAnsi="Times New Roman" w:cs="Times New Roman"/>
          <w:sz w:val="20"/>
          <w:szCs w:val="20"/>
          <w:vertAlign w:val="superscript"/>
        </w:rPr>
        <w:t>1</w:t>
      </w:r>
      <w:r w:rsidR="003F0058" w:rsidRPr="00070664">
        <w:rPr>
          <w:rFonts w:ascii="Times New Roman" w:hAnsi="Times New Roman" w:cs="Times New Roman"/>
          <w:sz w:val="20"/>
          <w:szCs w:val="20"/>
          <w:vertAlign w:val="superscript"/>
        </w:rPr>
        <w:t>3</w:t>
      </w:r>
      <w:r w:rsidR="003A370F" w:rsidRPr="00070664">
        <w:rPr>
          <w:rFonts w:ascii="Times New Roman" w:hAnsi="Times New Roman" w:cs="Times New Roman"/>
          <w:sz w:val="20"/>
          <w:szCs w:val="20"/>
          <w:vertAlign w:val="superscript"/>
        </w:rPr>
        <w:t xml:space="preserve"> </w:t>
      </w:r>
      <w:r w:rsidR="003A370F" w:rsidRPr="00070664">
        <w:rPr>
          <w:rFonts w:ascii="Times New Roman" w:hAnsi="Times New Roman" w:cs="Times New Roman"/>
          <w:sz w:val="20"/>
          <w:szCs w:val="20"/>
        </w:rPr>
        <w:t>hypothyroidism is</w:t>
      </w:r>
      <w:r w:rsidR="003F0058" w:rsidRPr="00070664">
        <w:rPr>
          <w:rFonts w:ascii="Times New Roman" w:hAnsi="Times New Roman" w:cs="Times New Roman"/>
          <w:sz w:val="20"/>
          <w:szCs w:val="20"/>
        </w:rPr>
        <w:t xml:space="preserve"> an independent factor associated with progression of CKD. </w:t>
      </w:r>
      <w:r w:rsidR="006F4D27" w:rsidRPr="00070664">
        <w:rPr>
          <w:rFonts w:ascii="Times New Roman" w:hAnsi="Times New Roman" w:cs="Times New Roman"/>
          <w:sz w:val="20"/>
          <w:szCs w:val="20"/>
        </w:rPr>
        <w:t xml:space="preserve"> </w:t>
      </w:r>
      <w:r w:rsidR="003F0058" w:rsidRPr="00070664">
        <w:rPr>
          <w:rFonts w:ascii="Times New Roman" w:hAnsi="Times New Roman" w:cs="Times New Roman"/>
          <w:sz w:val="20"/>
          <w:szCs w:val="20"/>
        </w:rPr>
        <w:t xml:space="preserve">Hence, high degree of clinical suspicion is needed </w:t>
      </w:r>
      <w:r w:rsidR="005817CD" w:rsidRPr="00070664">
        <w:rPr>
          <w:rFonts w:ascii="Times New Roman" w:hAnsi="Times New Roman" w:cs="Times New Roman"/>
          <w:sz w:val="20"/>
          <w:szCs w:val="20"/>
        </w:rPr>
        <w:t>to diagnose</w:t>
      </w:r>
      <w:r w:rsidR="003F0058" w:rsidRPr="00070664">
        <w:rPr>
          <w:rFonts w:ascii="Times New Roman" w:hAnsi="Times New Roman" w:cs="Times New Roman"/>
          <w:sz w:val="20"/>
          <w:szCs w:val="20"/>
        </w:rPr>
        <w:t xml:space="preserve"> and treat hypothyroidism in CKD.</w:t>
      </w:r>
    </w:p>
    <w:p w:rsidR="002F26F5" w:rsidRDefault="002F26F5" w:rsidP="008F0B6E">
      <w:pPr>
        <w:autoSpaceDE w:val="0"/>
        <w:autoSpaceDN w:val="0"/>
        <w:adjustRightInd w:val="0"/>
        <w:spacing w:after="0" w:line="240" w:lineRule="auto"/>
        <w:rPr>
          <w:rFonts w:ascii="Times New Roman" w:hAnsi="Times New Roman" w:cs="Times New Roman"/>
          <w:sz w:val="20"/>
          <w:szCs w:val="20"/>
        </w:rPr>
      </w:pPr>
    </w:p>
    <w:p w:rsidR="002F26F5" w:rsidRDefault="002F26F5" w:rsidP="008F0B6E">
      <w:pPr>
        <w:autoSpaceDE w:val="0"/>
        <w:autoSpaceDN w:val="0"/>
        <w:adjustRightInd w:val="0"/>
        <w:spacing w:after="0" w:line="240" w:lineRule="auto"/>
        <w:rPr>
          <w:rFonts w:ascii="Times New Roman" w:hAnsi="Times New Roman" w:cs="Times New Roman"/>
          <w:b/>
          <w:sz w:val="20"/>
          <w:szCs w:val="20"/>
        </w:rPr>
      </w:pPr>
      <w:r w:rsidRPr="002F26F5">
        <w:rPr>
          <w:rFonts w:ascii="Times New Roman" w:hAnsi="Times New Roman" w:cs="Times New Roman"/>
          <w:b/>
          <w:sz w:val="28"/>
          <w:szCs w:val="20"/>
        </w:rPr>
        <w:t>Acknowledgement</w:t>
      </w:r>
      <w:r>
        <w:rPr>
          <w:rFonts w:ascii="Times New Roman" w:hAnsi="Times New Roman" w:cs="Times New Roman"/>
          <w:b/>
          <w:sz w:val="28"/>
          <w:szCs w:val="20"/>
        </w:rPr>
        <w:t xml:space="preserve">: </w:t>
      </w:r>
      <w:r w:rsidRPr="002F26F5">
        <w:rPr>
          <w:rFonts w:ascii="Times New Roman" w:hAnsi="Times New Roman" w:cs="Times New Roman"/>
          <w:sz w:val="20"/>
          <w:szCs w:val="20"/>
        </w:rPr>
        <w:t xml:space="preserve">Authors didn’t receive </w:t>
      </w:r>
      <w:r>
        <w:rPr>
          <w:rFonts w:ascii="Times New Roman" w:hAnsi="Times New Roman" w:cs="Times New Roman"/>
          <w:sz w:val="20"/>
          <w:szCs w:val="20"/>
        </w:rPr>
        <w:t>any funding from any</w:t>
      </w:r>
      <w:r w:rsidRPr="002F26F5">
        <w:rPr>
          <w:rFonts w:ascii="Times New Roman" w:hAnsi="Times New Roman" w:cs="Times New Roman"/>
          <w:sz w:val="20"/>
          <w:szCs w:val="20"/>
        </w:rPr>
        <w:t xml:space="preserve">body for the purpose of the study  </w:t>
      </w:r>
      <w:r w:rsidRPr="002F26F5">
        <w:rPr>
          <w:rFonts w:ascii="Times New Roman" w:hAnsi="Times New Roman" w:cs="Times New Roman"/>
          <w:b/>
          <w:sz w:val="20"/>
          <w:szCs w:val="20"/>
        </w:rPr>
        <w:t xml:space="preserve"> </w:t>
      </w:r>
      <w:r w:rsidR="0044612A">
        <w:rPr>
          <w:rFonts w:ascii="Times New Roman" w:hAnsi="Times New Roman" w:cs="Times New Roman"/>
          <w:b/>
          <w:sz w:val="20"/>
          <w:szCs w:val="20"/>
        </w:rPr>
        <w:t>.</w:t>
      </w:r>
    </w:p>
    <w:p w:rsidR="0044612A" w:rsidRDefault="0044612A" w:rsidP="008F0B6E">
      <w:pPr>
        <w:autoSpaceDE w:val="0"/>
        <w:autoSpaceDN w:val="0"/>
        <w:adjustRightInd w:val="0"/>
        <w:spacing w:after="0" w:line="240" w:lineRule="auto"/>
        <w:rPr>
          <w:rFonts w:ascii="Times New Roman" w:hAnsi="Times New Roman" w:cs="Times New Roman"/>
          <w:b/>
          <w:sz w:val="20"/>
          <w:szCs w:val="20"/>
        </w:rPr>
      </w:pPr>
    </w:p>
    <w:p w:rsidR="0044612A" w:rsidRDefault="0044612A" w:rsidP="008F0B6E">
      <w:pPr>
        <w:autoSpaceDE w:val="0"/>
        <w:autoSpaceDN w:val="0"/>
        <w:adjustRightInd w:val="0"/>
        <w:spacing w:after="0" w:line="240" w:lineRule="auto"/>
        <w:rPr>
          <w:rFonts w:ascii="Times New Roman" w:hAnsi="Times New Roman" w:cs="Times New Roman"/>
          <w:sz w:val="20"/>
          <w:szCs w:val="16"/>
          <w:shd w:val="clear" w:color="auto" w:fill="FFFFFF"/>
        </w:rPr>
      </w:pPr>
      <w:r w:rsidRPr="0044612A">
        <w:rPr>
          <w:rFonts w:ascii="Times New Roman" w:hAnsi="Times New Roman" w:cs="Times New Roman"/>
          <w:b/>
          <w:sz w:val="28"/>
          <w:szCs w:val="20"/>
        </w:rPr>
        <w:t>Conflict of Interest:</w:t>
      </w:r>
      <w:r w:rsidRPr="0044612A">
        <w:rPr>
          <w:rFonts w:ascii="Times New Roman" w:hAnsi="Times New Roman" w:cs="Times New Roman"/>
          <w:sz w:val="20"/>
          <w:szCs w:val="16"/>
          <w:shd w:val="clear" w:color="auto" w:fill="FFFFFF"/>
        </w:rPr>
        <w:t>“No conflict of interest associated with this work”.</w:t>
      </w:r>
    </w:p>
    <w:p w:rsidR="004979D9" w:rsidRDefault="004979D9" w:rsidP="008F0B6E">
      <w:pPr>
        <w:autoSpaceDE w:val="0"/>
        <w:autoSpaceDN w:val="0"/>
        <w:adjustRightInd w:val="0"/>
        <w:spacing w:after="0" w:line="240" w:lineRule="auto"/>
        <w:rPr>
          <w:rFonts w:ascii="Times New Roman" w:hAnsi="Times New Roman" w:cs="Times New Roman"/>
          <w:sz w:val="20"/>
          <w:szCs w:val="16"/>
          <w:shd w:val="clear" w:color="auto" w:fill="FFFFFF"/>
        </w:rPr>
      </w:pPr>
    </w:p>
    <w:p w:rsidR="004979D9" w:rsidRDefault="004979D9" w:rsidP="008F0B6E">
      <w:pPr>
        <w:autoSpaceDE w:val="0"/>
        <w:autoSpaceDN w:val="0"/>
        <w:adjustRightInd w:val="0"/>
        <w:spacing w:after="0" w:line="240" w:lineRule="auto"/>
        <w:rPr>
          <w:rFonts w:ascii="Times New Roman" w:hAnsi="Times New Roman" w:cs="Times New Roman"/>
          <w:b/>
          <w:sz w:val="28"/>
          <w:szCs w:val="16"/>
          <w:shd w:val="clear" w:color="auto" w:fill="FFFFFF"/>
        </w:rPr>
      </w:pPr>
      <w:r w:rsidRPr="004979D9">
        <w:rPr>
          <w:rFonts w:ascii="Times New Roman" w:hAnsi="Times New Roman" w:cs="Times New Roman"/>
          <w:b/>
          <w:sz w:val="28"/>
          <w:szCs w:val="16"/>
          <w:shd w:val="clear" w:color="auto" w:fill="FFFFFF"/>
        </w:rPr>
        <w:t>Contribution of Authors</w:t>
      </w:r>
      <w:r>
        <w:rPr>
          <w:rFonts w:ascii="Times New Roman" w:hAnsi="Times New Roman" w:cs="Times New Roman"/>
          <w:b/>
          <w:sz w:val="28"/>
          <w:szCs w:val="16"/>
          <w:shd w:val="clear" w:color="auto" w:fill="FFFFFF"/>
        </w:rPr>
        <w:t xml:space="preserve">: </w:t>
      </w:r>
    </w:p>
    <w:p w:rsidR="006B461F" w:rsidRDefault="004979D9" w:rsidP="008F0B6E">
      <w:pPr>
        <w:autoSpaceDE w:val="0"/>
        <w:autoSpaceDN w:val="0"/>
        <w:adjustRightInd w:val="0"/>
        <w:spacing w:after="0" w:line="240" w:lineRule="auto"/>
        <w:rPr>
          <w:rFonts w:ascii="Times New Roman" w:hAnsi="Times New Roman" w:cs="Times New Roman"/>
          <w:sz w:val="20"/>
          <w:szCs w:val="16"/>
          <w:shd w:val="clear" w:color="auto" w:fill="FFFFFF"/>
        </w:rPr>
      </w:pPr>
      <w:r w:rsidRPr="004979D9">
        <w:rPr>
          <w:rFonts w:ascii="Times New Roman" w:hAnsi="Times New Roman" w:cs="Times New Roman"/>
          <w:sz w:val="20"/>
          <w:szCs w:val="16"/>
          <w:shd w:val="clear" w:color="auto" w:fill="FFFFFF"/>
        </w:rPr>
        <w:t>“I(We) declare that this work was done by the author(s) named in this article and all liabilities pertaining to claims relating to the content of this article will be borne by the authors”.</w:t>
      </w:r>
      <w:r>
        <w:rPr>
          <w:rFonts w:ascii="Times New Roman" w:hAnsi="Times New Roman" w:cs="Times New Roman"/>
          <w:sz w:val="20"/>
          <w:szCs w:val="16"/>
          <w:shd w:val="clear" w:color="auto" w:fill="FFFFFF"/>
        </w:rPr>
        <w:t xml:space="preserve"> The study was conceived and designed by Dr. M. Sharma and Dr. P. J. Mahanta, and data collection and analysis by Dr. Bishal Agarwalla. </w:t>
      </w:r>
    </w:p>
    <w:p w:rsidR="006B461F" w:rsidRDefault="006B461F" w:rsidP="008F0B6E">
      <w:pPr>
        <w:autoSpaceDE w:val="0"/>
        <w:autoSpaceDN w:val="0"/>
        <w:adjustRightInd w:val="0"/>
        <w:spacing w:after="0" w:line="240" w:lineRule="auto"/>
        <w:rPr>
          <w:rFonts w:ascii="Times New Roman" w:hAnsi="Times New Roman" w:cs="Times New Roman"/>
          <w:sz w:val="20"/>
          <w:szCs w:val="16"/>
          <w:shd w:val="clear" w:color="auto" w:fill="FFFFFF"/>
        </w:rPr>
      </w:pPr>
    </w:p>
    <w:p w:rsidR="004979D9" w:rsidRPr="006B461F" w:rsidRDefault="006B461F" w:rsidP="008F0B6E">
      <w:pPr>
        <w:autoSpaceDE w:val="0"/>
        <w:autoSpaceDN w:val="0"/>
        <w:adjustRightInd w:val="0"/>
        <w:spacing w:after="0" w:line="240" w:lineRule="auto"/>
        <w:rPr>
          <w:rFonts w:ascii="Times New Roman" w:hAnsi="Times New Roman" w:cs="Times New Roman"/>
          <w:b/>
          <w:sz w:val="144"/>
          <w:szCs w:val="20"/>
        </w:rPr>
      </w:pPr>
      <w:r>
        <w:rPr>
          <w:rFonts w:ascii="Times New Roman" w:hAnsi="Times New Roman" w:cs="Times New Roman"/>
          <w:b/>
          <w:sz w:val="28"/>
          <w:szCs w:val="16"/>
          <w:shd w:val="clear" w:color="auto" w:fill="FFFFFF"/>
        </w:rPr>
        <w:t xml:space="preserve">Ethical Clearance: </w:t>
      </w:r>
      <w:r w:rsidRPr="006B461F">
        <w:rPr>
          <w:rFonts w:ascii="Times New Roman" w:hAnsi="Times New Roman" w:cs="Times New Roman"/>
          <w:sz w:val="20"/>
          <w:szCs w:val="16"/>
          <w:shd w:val="clear" w:color="auto" w:fill="FFFFFF"/>
        </w:rPr>
        <w:t>Appropriate clearance have been obtained from the ethical clearance committee of the hospital</w:t>
      </w:r>
      <w:r w:rsidRPr="006B461F">
        <w:rPr>
          <w:rFonts w:ascii="Times New Roman" w:hAnsi="Times New Roman" w:cs="Times New Roman"/>
          <w:b/>
          <w:sz w:val="20"/>
          <w:szCs w:val="16"/>
          <w:shd w:val="clear" w:color="auto" w:fill="FFFFFF"/>
        </w:rPr>
        <w:t>.</w:t>
      </w:r>
      <w:r w:rsidR="004979D9" w:rsidRPr="006B461F">
        <w:rPr>
          <w:rFonts w:ascii="Times New Roman" w:hAnsi="Times New Roman" w:cs="Times New Roman"/>
          <w:b/>
          <w:sz w:val="20"/>
          <w:szCs w:val="16"/>
          <w:shd w:val="clear" w:color="auto" w:fill="FFFFFF"/>
        </w:rPr>
        <w:t xml:space="preserve"> </w:t>
      </w:r>
      <w:r w:rsidR="004979D9" w:rsidRPr="006B461F">
        <w:rPr>
          <w:rFonts w:ascii="Times New Roman" w:hAnsi="Times New Roman" w:cs="Times New Roman"/>
          <w:b/>
          <w:sz w:val="36"/>
          <w:szCs w:val="16"/>
          <w:shd w:val="clear" w:color="auto" w:fill="FFFFFF"/>
        </w:rPr>
        <w:t xml:space="preserve"> </w:t>
      </w:r>
    </w:p>
    <w:p w:rsidR="00BE056E" w:rsidRDefault="00BE056E" w:rsidP="00F73FB1">
      <w:pPr>
        <w:autoSpaceDE w:val="0"/>
        <w:autoSpaceDN w:val="0"/>
        <w:adjustRightInd w:val="0"/>
        <w:spacing w:after="0" w:line="240" w:lineRule="auto"/>
        <w:rPr>
          <w:rFonts w:ascii="Times New Roman" w:hAnsi="Times New Roman" w:cs="Times New Roman"/>
          <w:i/>
          <w:iCs/>
          <w:color w:val="000000"/>
          <w:sz w:val="21"/>
        </w:rPr>
      </w:pPr>
    </w:p>
    <w:p w:rsidR="00BE056E" w:rsidRPr="00070664" w:rsidRDefault="00554444" w:rsidP="00F73FB1">
      <w:pPr>
        <w:autoSpaceDE w:val="0"/>
        <w:autoSpaceDN w:val="0"/>
        <w:adjustRightInd w:val="0"/>
        <w:spacing w:after="0" w:line="240" w:lineRule="auto"/>
        <w:rPr>
          <w:rFonts w:cstheme="minorHAnsi"/>
          <w:b/>
          <w:iCs/>
          <w:color w:val="000000"/>
          <w:sz w:val="28"/>
        </w:rPr>
      </w:pPr>
      <w:r>
        <w:rPr>
          <w:rFonts w:cstheme="minorHAnsi"/>
          <w:b/>
          <w:iCs/>
          <w:color w:val="000000"/>
          <w:sz w:val="28"/>
        </w:rPr>
        <w:t xml:space="preserve">References </w:t>
      </w:r>
    </w:p>
    <w:p w:rsidR="00545137" w:rsidRPr="00545137" w:rsidRDefault="00545137" w:rsidP="00F73FB1">
      <w:pPr>
        <w:autoSpaceDE w:val="0"/>
        <w:autoSpaceDN w:val="0"/>
        <w:adjustRightInd w:val="0"/>
        <w:spacing w:after="0" w:line="240" w:lineRule="auto"/>
        <w:rPr>
          <w:rFonts w:cstheme="minorHAnsi"/>
          <w:b/>
          <w:iCs/>
          <w:color w:val="000000"/>
          <w:sz w:val="24"/>
        </w:rPr>
      </w:pP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1)</w:t>
      </w:r>
      <w:r w:rsidR="00554444">
        <w:rPr>
          <w:rFonts w:ascii="Times New Roman" w:hAnsi="Times New Roman" w:cs="Times New Roman"/>
          <w:iCs/>
          <w:color w:val="000000"/>
          <w:sz w:val="20"/>
        </w:rPr>
        <w:t xml:space="preserve"> </w:t>
      </w:r>
      <w:r w:rsidRPr="00554444">
        <w:rPr>
          <w:rFonts w:ascii="Times New Roman" w:hAnsi="Times New Roman" w:cs="Times New Roman"/>
          <w:iCs/>
          <w:color w:val="000000"/>
          <w:sz w:val="20"/>
        </w:rPr>
        <w:t>Lim VS. Thyroid function in patients with chronic renal failure. Am J Kidney Dis. 2001; 38(1): 80-84.</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2) Singh PA, Bobby Z, Selvaraj N, Vinayagamoorthi R. An evaluation of thyroid hormone status and oxidative stress in undialyzed chronic renal failure patients. Indian Journal of Physiology and Pharmacology.2006; 50: 279–284.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3)Iglesias P, Diez JJ. Thyroid dysfunction and kidney disease. European Journal of Endocrinology. 2008; 160(4): 503-515.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4) Kaptein EM. Thyroid hormone metabolism and thyroid diseases in chronic renal failure. Endocr Rev. 1996; 17: 45-63. </w:t>
      </w: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p>
    <w:p w:rsidR="00F73FB1" w:rsidRPr="00554444" w:rsidRDefault="00F73FB1" w:rsidP="00F73FB1">
      <w:pPr>
        <w:autoSpaceDE w:val="0"/>
        <w:autoSpaceDN w:val="0"/>
        <w:adjustRightInd w:val="0"/>
        <w:spacing w:after="0" w:line="240" w:lineRule="auto"/>
        <w:rPr>
          <w:rFonts w:ascii="Times New Roman" w:hAnsi="Times New Roman" w:cs="Times New Roman"/>
          <w:iCs/>
          <w:color w:val="000000"/>
          <w:sz w:val="20"/>
        </w:rPr>
      </w:pPr>
      <w:r w:rsidRPr="00554444">
        <w:rPr>
          <w:rFonts w:ascii="Times New Roman" w:hAnsi="Times New Roman" w:cs="Times New Roman"/>
          <w:iCs/>
          <w:color w:val="000000"/>
          <w:sz w:val="20"/>
        </w:rPr>
        <w:t xml:space="preserve">5) Brough R, Jones C. Iatrogenic iodine as a cause of hypo thyroidism in infants with End-stage renal failure. PediatricNephrology.2006; 21: 400–402. </w:t>
      </w:r>
    </w:p>
    <w:p w:rsidR="00AF1A6B" w:rsidRPr="00554444" w:rsidRDefault="00AF1A6B" w:rsidP="006211B4">
      <w:pPr>
        <w:autoSpaceDE w:val="0"/>
        <w:autoSpaceDN w:val="0"/>
        <w:adjustRightInd w:val="0"/>
        <w:spacing w:after="0" w:line="240" w:lineRule="auto"/>
        <w:rPr>
          <w:rFonts w:cstheme="minorHAnsi"/>
          <w:sz w:val="20"/>
          <w:szCs w:val="20"/>
        </w:rPr>
      </w:pPr>
    </w:p>
    <w:p w:rsidR="001F4FF4" w:rsidRPr="00554444" w:rsidRDefault="00F22F6F" w:rsidP="001F4FF4">
      <w:pPr>
        <w:autoSpaceDE w:val="0"/>
        <w:autoSpaceDN w:val="0"/>
        <w:adjustRightInd w:val="0"/>
        <w:spacing w:after="0" w:line="240" w:lineRule="auto"/>
        <w:rPr>
          <w:rFonts w:ascii="FdvfxlAdvTT86d47313" w:hAnsi="FdvfxlAdvTT86d47313" w:cs="FdvfxlAdvTT86d47313"/>
          <w:sz w:val="26"/>
          <w:szCs w:val="20"/>
        </w:rPr>
      </w:pPr>
      <w:r w:rsidRPr="00554444">
        <w:rPr>
          <w:rFonts w:ascii="Times New Roman" w:hAnsi="Times New Roman" w:cs="Times New Roman"/>
          <w:iCs/>
          <w:color w:val="000000"/>
          <w:sz w:val="20"/>
        </w:rPr>
        <w:t>6</w:t>
      </w:r>
      <w:r w:rsidR="001F4FF4" w:rsidRPr="00554444">
        <w:rPr>
          <w:rFonts w:ascii="Times New Roman" w:hAnsi="Times New Roman" w:cs="Times New Roman"/>
          <w:iCs/>
          <w:color w:val="000000"/>
          <w:sz w:val="20"/>
        </w:rPr>
        <w:t>) Chonchol, M, Lippi, G, Salvagno, G, et al. Prevalence of subclinical hypothyroidism in patients with chronic kidney disease. Clin J Am Soc Nephrol 2008; 3:1296</w:t>
      </w:r>
    </w:p>
    <w:p w:rsidR="007747ED" w:rsidRPr="00554444" w:rsidRDefault="007747ED" w:rsidP="006211B4">
      <w:pPr>
        <w:autoSpaceDE w:val="0"/>
        <w:autoSpaceDN w:val="0"/>
        <w:adjustRightInd w:val="0"/>
        <w:spacing w:after="0" w:line="240" w:lineRule="auto"/>
        <w:rPr>
          <w:rFonts w:ascii="FdvfxlAdvTT86d47313" w:hAnsi="FdvfxlAdvTT86d47313" w:cs="FdvfxlAdvTT86d47313"/>
          <w:sz w:val="26"/>
          <w:szCs w:val="20"/>
        </w:rPr>
      </w:pPr>
    </w:p>
    <w:p w:rsidR="001F4FF4" w:rsidRPr="00554444" w:rsidRDefault="00F22F6F" w:rsidP="001F4FF4">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lastRenderedPageBreak/>
        <w:t>7</w:t>
      </w:r>
      <w:r w:rsidR="001F4FF4" w:rsidRPr="00554444">
        <w:rPr>
          <w:rFonts w:ascii="Times New Roman" w:hAnsi="Times New Roman" w:cs="Times New Roman"/>
          <w:iCs/>
          <w:color w:val="000000"/>
          <w:sz w:val="20"/>
        </w:rPr>
        <w:t>) Lo, JC, Chertow, GM, Go, AS, Hsu, CY. Increased prevalence of subclinical and clinical hypothyroidism in persons with chronic kidney disease. Kidney Int 2005; 67:1047.</w:t>
      </w: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8) Shantha GPS, Kumar AA, Bhise V, Khanna R, Sivagnanam K, Subramanian KK. Prevalence of subclinical hypothyroidism in patients with end-stage renal disease and the role of serum albumin: a cross-sectional study from South India. Cardiorenal Med. 2011;1(4):255–60.</w:t>
      </w: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9) Ng YY, Wu SC, Lin HD, Hu FH, Hou CC, Chou YY, et al. Prevalence of clinical and subclinical thyroid disease in a peritoneal dialysis population. Perit Dial Int. 2012;32(1):86–93.</w:t>
      </w: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p>
    <w:p w:rsidR="00F22F6F" w:rsidRPr="00554444" w:rsidRDefault="00F22F6F" w:rsidP="00F22F6F">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10)Paudel K. Prevalence and clinical characteristics of hypothyroidism in a population undergoing maintenance hemodialysis. J Clin Diagn Res. 2014;8(4):MC01–4.</w:t>
      </w:r>
    </w:p>
    <w:p w:rsidR="00D66C66" w:rsidRPr="00554444" w:rsidRDefault="00D66C66" w:rsidP="00F22F6F">
      <w:pPr>
        <w:autoSpaceDE w:val="0"/>
        <w:autoSpaceDN w:val="0"/>
        <w:adjustRightInd w:val="0"/>
        <w:spacing w:after="0" w:line="201" w:lineRule="atLeast"/>
        <w:jc w:val="both"/>
        <w:rPr>
          <w:rFonts w:ascii="Times New Roman" w:hAnsi="Times New Roman" w:cs="Times New Roman"/>
          <w:iCs/>
          <w:color w:val="000000"/>
          <w:sz w:val="20"/>
        </w:rPr>
      </w:pP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11)Jeena EJ, Malathi M, Sudeep K. A hospital-based study of anti-TPO titer in patients with thyroid disease. Muller J Med Sci Res. 2013;4(2):74–7.</w:t>
      </w: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12)Khatiwada S, Gelal B, Shakya PR, Lamsal M, Baral N. Urinary iodine excretion among Nepalese school children in Terai Region. Indian J Pediatr. 2015. doi:10.1007/s12098-015-1755-x.</w:t>
      </w:r>
    </w:p>
    <w:p w:rsidR="00D66C66" w:rsidRPr="00554444" w:rsidRDefault="00D66C66" w:rsidP="00D66C66">
      <w:pPr>
        <w:autoSpaceDE w:val="0"/>
        <w:autoSpaceDN w:val="0"/>
        <w:adjustRightInd w:val="0"/>
        <w:spacing w:after="0" w:line="201" w:lineRule="atLeast"/>
        <w:jc w:val="both"/>
        <w:rPr>
          <w:rFonts w:ascii="Times New Roman" w:hAnsi="Times New Roman" w:cs="Times New Roman"/>
          <w:iCs/>
          <w:color w:val="000000"/>
          <w:sz w:val="20"/>
        </w:rPr>
      </w:pPr>
    </w:p>
    <w:p w:rsidR="00256AA0" w:rsidRPr="00554444" w:rsidRDefault="00545137" w:rsidP="00256AA0">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1</w:t>
      </w:r>
      <w:r w:rsidR="00FB1993" w:rsidRPr="00554444">
        <w:rPr>
          <w:rFonts w:ascii="Times New Roman" w:hAnsi="Times New Roman" w:cs="Times New Roman"/>
          <w:iCs/>
          <w:color w:val="000000"/>
          <w:sz w:val="20"/>
        </w:rPr>
        <w:t>3) Eun Oh Ki1, Ihn Suk Lee, Yoo A Choi</w:t>
      </w:r>
      <w:r w:rsidR="00256AA0" w:rsidRPr="00554444">
        <w:rPr>
          <w:rFonts w:ascii="Times New Roman" w:hAnsi="Times New Roman" w:cs="Times New Roman"/>
          <w:iCs/>
          <w:color w:val="000000"/>
          <w:sz w:val="20"/>
        </w:rPr>
        <w:t>: Unresolved Subclinical Hypothyroidism is Independently</w:t>
      </w:r>
    </w:p>
    <w:p w:rsidR="00FB1993" w:rsidRPr="00554444" w:rsidRDefault="00256AA0" w:rsidP="00256AA0">
      <w:pPr>
        <w:autoSpaceDE w:val="0"/>
        <w:autoSpaceDN w:val="0"/>
        <w:adjustRightInd w:val="0"/>
        <w:spacing w:after="0" w:line="201" w:lineRule="atLeast"/>
        <w:jc w:val="both"/>
        <w:rPr>
          <w:rFonts w:ascii="Times New Roman" w:hAnsi="Times New Roman" w:cs="Times New Roman"/>
          <w:iCs/>
          <w:color w:val="000000"/>
          <w:sz w:val="20"/>
        </w:rPr>
      </w:pPr>
      <w:r w:rsidRPr="00554444">
        <w:rPr>
          <w:rFonts w:ascii="Times New Roman" w:hAnsi="Times New Roman" w:cs="Times New Roman"/>
          <w:iCs/>
          <w:color w:val="000000"/>
          <w:sz w:val="20"/>
        </w:rPr>
        <w:t>Associated with Progression of Chronic Kidney Disease. International Journal of Medical Sciences 2014;11(1):52-59. doi: 10.7150</w:t>
      </w:r>
    </w:p>
    <w:p w:rsidR="00F22F6F" w:rsidRDefault="00F22F6F" w:rsidP="00256AA0">
      <w:pPr>
        <w:autoSpaceDE w:val="0"/>
        <w:autoSpaceDN w:val="0"/>
        <w:adjustRightInd w:val="0"/>
        <w:spacing w:after="0" w:line="201" w:lineRule="atLeast"/>
        <w:jc w:val="both"/>
        <w:rPr>
          <w:rFonts w:ascii="Times New Roman" w:hAnsi="Times New Roman" w:cs="Times New Roman"/>
          <w:i/>
          <w:iCs/>
          <w:color w:val="000000"/>
          <w:sz w:val="21"/>
        </w:rPr>
      </w:pPr>
    </w:p>
    <w:p w:rsidR="00545137" w:rsidRDefault="00545137" w:rsidP="00256AA0">
      <w:pPr>
        <w:autoSpaceDE w:val="0"/>
        <w:autoSpaceDN w:val="0"/>
        <w:adjustRightInd w:val="0"/>
        <w:spacing w:after="0" w:line="201" w:lineRule="atLeast"/>
        <w:jc w:val="both"/>
        <w:rPr>
          <w:rFonts w:ascii="Times New Roman" w:hAnsi="Times New Roman" w:cs="Times New Roman"/>
          <w:i/>
          <w:iCs/>
          <w:color w:val="000000"/>
          <w:sz w:val="21"/>
        </w:rPr>
      </w:pPr>
    </w:p>
    <w:p w:rsidR="00545137" w:rsidRDefault="00545137" w:rsidP="00256AA0">
      <w:pPr>
        <w:autoSpaceDE w:val="0"/>
        <w:autoSpaceDN w:val="0"/>
        <w:adjustRightInd w:val="0"/>
        <w:spacing w:after="0" w:line="201" w:lineRule="atLeast"/>
        <w:jc w:val="both"/>
        <w:rPr>
          <w:rFonts w:ascii="Times New Roman" w:hAnsi="Times New Roman" w:cs="Times New Roman"/>
          <w:i/>
          <w:iCs/>
          <w:color w:val="000000"/>
          <w:sz w:val="21"/>
        </w:rPr>
      </w:pPr>
    </w:p>
    <w:p w:rsidR="00A619EB" w:rsidRDefault="00A619EB" w:rsidP="00545137">
      <w:pPr>
        <w:autoSpaceDE w:val="0"/>
        <w:autoSpaceDN w:val="0"/>
        <w:adjustRightInd w:val="0"/>
        <w:spacing w:after="0" w:line="240" w:lineRule="auto"/>
        <w:rPr>
          <w:rFonts w:cstheme="minorHAnsi"/>
          <w:b/>
          <w:sz w:val="24"/>
          <w:szCs w:val="20"/>
        </w:rPr>
      </w:pPr>
    </w:p>
    <w:p w:rsidR="00A619EB" w:rsidRDefault="00A619EB" w:rsidP="00545137">
      <w:pPr>
        <w:autoSpaceDE w:val="0"/>
        <w:autoSpaceDN w:val="0"/>
        <w:adjustRightInd w:val="0"/>
        <w:spacing w:after="0" w:line="240" w:lineRule="auto"/>
        <w:rPr>
          <w:rFonts w:cstheme="minorHAnsi"/>
          <w:b/>
          <w:sz w:val="24"/>
          <w:szCs w:val="20"/>
        </w:rPr>
      </w:pPr>
    </w:p>
    <w:p w:rsidR="00A619EB" w:rsidRDefault="00A619EB" w:rsidP="00545137">
      <w:pPr>
        <w:autoSpaceDE w:val="0"/>
        <w:autoSpaceDN w:val="0"/>
        <w:adjustRightInd w:val="0"/>
        <w:spacing w:after="0" w:line="240" w:lineRule="auto"/>
        <w:rPr>
          <w:rFonts w:cstheme="minorHAnsi"/>
          <w:b/>
          <w:sz w:val="24"/>
          <w:szCs w:val="20"/>
        </w:rPr>
      </w:pPr>
    </w:p>
    <w:p w:rsidR="007747ED" w:rsidRPr="006C77AD" w:rsidRDefault="00545137" w:rsidP="006C77AD">
      <w:pPr>
        <w:autoSpaceDE w:val="0"/>
        <w:autoSpaceDN w:val="0"/>
        <w:adjustRightInd w:val="0"/>
        <w:spacing w:after="0" w:line="240" w:lineRule="auto"/>
        <w:rPr>
          <w:rFonts w:cstheme="minorHAnsi"/>
          <w:b/>
          <w:sz w:val="18"/>
          <w:szCs w:val="18"/>
        </w:rPr>
      </w:pPr>
      <w:r w:rsidRPr="00A619EB">
        <w:rPr>
          <w:rFonts w:cstheme="minorHAnsi"/>
          <w:b/>
          <w:sz w:val="18"/>
          <w:szCs w:val="18"/>
        </w:rPr>
        <w:t>Table 1: Comparision of mean age</w:t>
      </w:r>
    </w:p>
    <w:tbl>
      <w:tblPr>
        <w:tblStyle w:val="TableGrid"/>
        <w:tblW w:w="0" w:type="auto"/>
        <w:tblLook w:val="04A0"/>
      </w:tblPr>
      <w:tblGrid>
        <w:gridCol w:w="4621"/>
        <w:gridCol w:w="4621"/>
      </w:tblGrid>
      <w:tr w:rsidR="00545137" w:rsidRPr="00A619EB" w:rsidTr="006C2CF2">
        <w:tc>
          <w:tcPr>
            <w:tcW w:w="4621"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Condition </w:t>
            </w:r>
          </w:p>
        </w:tc>
        <w:tc>
          <w:tcPr>
            <w:tcW w:w="4621"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Mean age</w:t>
            </w:r>
          </w:p>
        </w:tc>
      </w:tr>
      <w:tr w:rsidR="00545137" w:rsidRPr="00A619EB" w:rsidTr="006C2CF2">
        <w:tc>
          <w:tcPr>
            <w:tcW w:w="4621"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Overt hypothyroid </w:t>
            </w:r>
          </w:p>
        </w:tc>
        <w:tc>
          <w:tcPr>
            <w:tcW w:w="462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59.64</w:t>
            </w:r>
          </w:p>
        </w:tc>
      </w:tr>
      <w:tr w:rsidR="00545137" w:rsidRPr="00A619EB" w:rsidTr="006C2CF2">
        <w:tc>
          <w:tcPr>
            <w:tcW w:w="4621"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Sub-clinical hypothyroid</w:t>
            </w:r>
          </w:p>
        </w:tc>
        <w:tc>
          <w:tcPr>
            <w:tcW w:w="462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58.14</w:t>
            </w:r>
          </w:p>
        </w:tc>
      </w:tr>
      <w:tr w:rsidR="00545137" w:rsidRPr="00A619EB" w:rsidTr="006C2CF2">
        <w:tc>
          <w:tcPr>
            <w:tcW w:w="4621"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Euthyroid </w:t>
            </w:r>
          </w:p>
        </w:tc>
        <w:tc>
          <w:tcPr>
            <w:tcW w:w="462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55.51</w:t>
            </w:r>
          </w:p>
        </w:tc>
      </w:tr>
    </w:tbl>
    <w:p w:rsidR="00736952" w:rsidRDefault="00736952" w:rsidP="006211B4">
      <w:pPr>
        <w:autoSpaceDE w:val="0"/>
        <w:autoSpaceDN w:val="0"/>
        <w:adjustRightInd w:val="0"/>
        <w:spacing w:after="0" w:line="240" w:lineRule="auto"/>
        <w:rPr>
          <w:rFonts w:cstheme="minorHAnsi"/>
          <w:sz w:val="18"/>
          <w:szCs w:val="18"/>
        </w:rPr>
      </w:pPr>
    </w:p>
    <w:p w:rsidR="00AF1A6B" w:rsidRPr="006C77AD" w:rsidRDefault="00545137" w:rsidP="006211B4">
      <w:pPr>
        <w:autoSpaceDE w:val="0"/>
        <w:autoSpaceDN w:val="0"/>
        <w:adjustRightInd w:val="0"/>
        <w:spacing w:after="0" w:line="240" w:lineRule="auto"/>
        <w:rPr>
          <w:rFonts w:cstheme="minorHAnsi"/>
          <w:b/>
          <w:sz w:val="18"/>
          <w:szCs w:val="18"/>
        </w:rPr>
      </w:pPr>
      <w:r w:rsidRPr="006C77AD">
        <w:rPr>
          <w:rFonts w:cstheme="minorHAnsi"/>
          <w:b/>
          <w:sz w:val="18"/>
          <w:szCs w:val="18"/>
        </w:rPr>
        <w:t xml:space="preserve">Table 2: sex distribution </w:t>
      </w:r>
    </w:p>
    <w:tbl>
      <w:tblPr>
        <w:tblStyle w:val="TableGrid"/>
        <w:tblW w:w="0" w:type="auto"/>
        <w:tblLook w:val="04A0"/>
      </w:tblPr>
      <w:tblGrid>
        <w:gridCol w:w="1809"/>
        <w:gridCol w:w="1985"/>
        <w:gridCol w:w="1843"/>
        <w:gridCol w:w="1984"/>
        <w:gridCol w:w="1621"/>
      </w:tblGrid>
      <w:tr w:rsidR="00545137" w:rsidRPr="00A619EB" w:rsidTr="006C2CF2">
        <w:tc>
          <w:tcPr>
            <w:tcW w:w="1809" w:type="dxa"/>
            <w:vMerge w:val="restart"/>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Sex </w:t>
            </w:r>
          </w:p>
        </w:tc>
        <w:tc>
          <w:tcPr>
            <w:tcW w:w="3828" w:type="dxa"/>
            <w:gridSpan w:val="2"/>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Hypothyroid (n=45)</w:t>
            </w:r>
          </w:p>
        </w:tc>
        <w:tc>
          <w:tcPr>
            <w:tcW w:w="3605" w:type="dxa"/>
            <w:gridSpan w:val="2"/>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Euthyroid (n=235)</w:t>
            </w:r>
          </w:p>
        </w:tc>
      </w:tr>
      <w:tr w:rsidR="00545137" w:rsidRPr="00A619EB" w:rsidTr="006C2CF2">
        <w:tc>
          <w:tcPr>
            <w:tcW w:w="1809" w:type="dxa"/>
            <w:vMerge/>
          </w:tcPr>
          <w:p w:rsidR="00545137" w:rsidRPr="00A619EB" w:rsidRDefault="00545137" w:rsidP="006C2CF2">
            <w:pPr>
              <w:autoSpaceDE w:val="0"/>
              <w:autoSpaceDN w:val="0"/>
              <w:adjustRightInd w:val="0"/>
              <w:rPr>
                <w:rFonts w:cstheme="minorHAnsi"/>
                <w:b/>
                <w:sz w:val="18"/>
                <w:szCs w:val="18"/>
              </w:rPr>
            </w:pPr>
          </w:p>
        </w:tc>
        <w:tc>
          <w:tcPr>
            <w:tcW w:w="1985"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Number </w:t>
            </w:r>
          </w:p>
        </w:tc>
        <w:tc>
          <w:tcPr>
            <w:tcW w:w="1843"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Percentage </w:t>
            </w:r>
          </w:p>
        </w:tc>
        <w:tc>
          <w:tcPr>
            <w:tcW w:w="1984"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Number </w:t>
            </w:r>
          </w:p>
        </w:tc>
        <w:tc>
          <w:tcPr>
            <w:tcW w:w="1621"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Percentage </w:t>
            </w:r>
          </w:p>
        </w:tc>
      </w:tr>
      <w:tr w:rsidR="00545137" w:rsidRPr="00A619EB" w:rsidTr="006C2CF2">
        <w:tc>
          <w:tcPr>
            <w:tcW w:w="1809"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Male</w:t>
            </w:r>
          </w:p>
        </w:tc>
        <w:tc>
          <w:tcPr>
            <w:tcW w:w="1985"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24</w:t>
            </w:r>
          </w:p>
        </w:tc>
        <w:tc>
          <w:tcPr>
            <w:tcW w:w="1843"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53.33%</w:t>
            </w:r>
          </w:p>
        </w:tc>
        <w:tc>
          <w:tcPr>
            <w:tcW w:w="1984"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175</w:t>
            </w:r>
          </w:p>
        </w:tc>
        <w:tc>
          <w:tcPr>
            <w:tcW w:w="162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74.46%</w:t>
            </w:r>
          </w:p>
        </w:tc>
      </w:tr>
      <w:tr w:rsidR="00545137" w:rsidRPr="00A619EB" w:rsidTr="006C2CF2">
        <w:tc>
          <w:tcPr>
            <w:tcW w:w="1809"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Female</w:t>
            </w:r>
          </w:p>
        </w:tc>
        <w:tc>
          <w:tcPr>
            <w:tcW w:w="1985"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21</w:t>
            </w:r>
          </w:p>
        </w:tc>
        <w:tc>
          <w:tcPr>
            <w:tcW w:w="1843"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46.66%</w:t>
            </w:r>
          </w:p>
        </w:tc>
        <w:tc>
          <w:tcPr>
            <w:tcW w:w="1984"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60</w:t>
            </w:r>
          </w:p>
        </w:tc>
        <w:tc>
          <w:tcPr>
            <w:tcW w:w="162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25.53%</w:t>
            </w:r>
          </w:p>
        </w:tc>
      </w:tr>
    </w:tbl>
    <w:p w:rsidR="00545137" w:rsidRPr="00A619EB" w:rsidRDefault="00545137" w:rsidP="00545137">
      <w:pPr>
        <w:autoSpaceDE w:val="0"/>
        <w:autoSpaceDN w:val="0"/>
        <w:adjustRightInd w:val="0"/>
        <w:spacing w:after="0" w:line="240" w:lineRule="auto"/>
        <w:rPr>
          <w:rFonts w:cstheme="minorHAnsi"/>
          <w:sz w:val="18"/>
          <w:szCs w:val="18"/>
        </w:rPr>
      </w:pPr>
    </w:p>
    <w:p w:rsidR="00AF1A6B" w:rsidRPr="00A619EB" w:rsidRDefault="00545137" w:rsidP="006C77AD">
      <w:pPr>
        <w:pStyle w:val="NoSpacing"/>
      </w:pPr>
      <w:r w:rsidRPr="006C77AD">
        <w:rPr>
          <w:szCs w:val="20"/>
        </w:rPr>
        <w:drawing>
          <wp:inline distT="0" distB="0" distL="0" distR="0">
            <wp:extent cx="4872609" cy="2541270"/>
            <wp:effectExtent l="38100" t="19050" r="42291" b="1143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C77AD" w:rsidRPr="00A619EB" w:rsidRDefault="006C77AD" w:rsidP="006C77AD">
      <w:pPr>
        <w:autoSpaceDE w:val="0"/>
        <w:autoSpaceDN w:val="0"/>
        <w:adjustRightInd w:val="0"/>
        <w:spacing w:after="0" w:line="240" w:lineRule="auto"/>
        <w:rPr>
          <w:rFonts w:cstheme="minorHAnsi"/>
          <w:sz w:val="18"/>
          <w:szCs w:val="18"/>
        </w:rPr>
      </w:pPr>
      <w:r w:rsidRPr="00A619EB">
        <w:rPr>
          <w:rFonts w:cstheme="minorHAnsi"/>
          <w:sz w:val="18"/>
          <w:szCs w:val="18"/>
        </w:rPr>
        <w:t>Fig2: comparision of mean TSH and FT4 between groups</w:t>
      </w:r>
    </w:p>
    <w:p w:rsidR="00545137" w:rsidRPr="00A619EB" w:rsidRDefault="00545137" w:rsidP="006211B4">
      <w:pPr>
        <w:autoSpaceDE w:val="0"/>
        <w:autoSpaceDN w:val="0"/>
        <w:adjustRightInd w:val="0"/>
        <w:spacing w:after="0" w:line="240" w:lineRule="auto"/>
        <w:rPr>
          <w:rFonts w:ascii="FdvfxlAdvTT86d47313" w:hAnsi="FdvfxlAdvTT86d47313" w:cs="FdvfxlAdvTT86d47313"/>
          <w:sz w:val="18"/>
          <w:szCs w:val="18"/>
        </w:rPr>
      </w:pPr>
    </w:p>
    <w:p w:rsidR="005817CD" w:rsidRPr="00A619EB" w:rsidRDefault="005817CD" w:rsidP="00545137">
      <w:pPr>
        <w:autoSpaceDE w:val="0"/>
        <w:autoSpaceDN w:val="0"/>
        <w:adjustRightInd w:val="0"/>
        <w:spacing w:after="0" w:line="240" w:lineRule="auto"/>
        <w:rPr>
          <w:rFonts w:cstheme="minorHAnsi"/>
          <w:sz w:val="18"/>
          <w:szCs w:val="18"/>
        </w:rPr>
      </w:pPr>
    </w:p>
    <w:p w:rsidR="005817CD" w:rsidRPr="00A619EB" w:rsidRDefault="005817CD" w:rsidP="00545137">
      <w:pPr>
        <w:autoSpaceDE w:val="0"/>
        <w:autoSpaceDN w:val="0"/>
        <w:adjustRightInd w:val="0"/>
        <w:spacing w:after="0" w:line="240" w:lineRule="auto"/>
        <w:rPr>
          <w:rFonts w:cstheme="minorHAnsi"/>
          <w:sz w:val="18"/>
          <w:szCs w:val="18"/>
        </w:rPr>
      </w:pPr>
    </w:p>
    <w:p w:rsidR="00545137" w:rsidRPr="00A619EB" w:rsidRDefault="006C77AD" w:rsidP="00545137">
      <w:pPr>
        <w:autoSpaceDE w:val="0"/>
        <w:autoSpaceDN w:val="0"/>
        <w:adjustRightInd w:val="0"/>
        <w:spacing w:after="0" w:line="240" w:lineRule="auto"/>
        <w:rPr>
          <w:rFonts w:cstheme="minorHAnsi"/>
          <w:sz w:val="18"/>
          <w:szCs w:val="18"/>
        </w:rPr>
      </w:pPr>
      <w:r>
        <w:rPr>
          <w:rFonts w:cstheme="minorHAnsi"/>
          <w:sz w:val="18"/>
          <w:szCs w:val="18"/>
        </w:rPr>
        <w:t>Table 3</w:t>
      </w:r>
      <w:r w:rsidR="00545137" w:rsidRPr="00A619EB">
        <w:rPr>
          <w:rFonts w:cstheme="minorHAnsi"/>
          <w:sz w:val="18"/>
          <w:szCs w:val="18"/>
        </w:rPr>
        <w:t xml:space="preserve">: Mean TSH and FT4 in hypothyroid cases  </w:t>
      </w:r>
    </w:p>
    <w:tbl>
      <w:tblPr>
        <w:tblStyle w:val="TableGrid"/>
        <w:tblW w:w="0" w:type="auto"/>
        <w:tblLook w:val="04A0"/>
      </w:tblPr>
      <w:tblGrid>
        <w:gridCol w:w="1848"/>
        <w:gridCol w:w="1848"/>
        <w:gridCol w:w="1848"/>
        <w:gridCol w:w="1849"/>
      </w:tblGrid>
      <w:tr w:rsidR="00E51241" w:rsidRPr="00A619EB" w:rsidTr="006C2CF2">
        <w:tc>
          <w:tcPr>
            <w:tcW w:w="1848" w:type="dxa"/>
          </w:tcPr>
          <w:p w:rsidR="00E51241" w:rsidRPr="00A619EB" w:rsidRDefault="00E51241" w:rsidP="006C2CF2">
            <w:pPr>
              <w:autoSpaceDE w:val="0"/>
              <w:autoSpaceDN w:val="0"/>
              <w:adjustRightInd w:val="0"/>
              <w:rPr>
                <w:rFonts w:cstheme="minorHAnsi"/>
                <w:sz w:val="18"/>
                <w:szCs w:val="18"/>
              </w:rPr>
            </w:pPr>
          </w:p>
        </w:tc>
        <w:tc>
          <w:tcPr>
            <w:tcW w:w="1848" w:type="dxa"/>
          </w:tcPr>
          <w:p w:rsidR="00E51241" w:rsidRPr="00A619EB" w:rsidRDefault="00E51241" w:rsidP="006C2CF2">
            <w:pPr>
              <w:autoSpaceDE w:val="0"/>
              <w:autoSpaceDN w:val="0"/>
              <w:adjustRightInd w:val="0"/>
              <w:rPr>
                <w:rFonts w:cstheme="minorHAnsi"/>
                <w:b/>
                <w:sz w:val="18"/>
                <w:szCs w:val="18"/>
              </w:rPr>
            </w:pPr>
            <w:r w:rsidRPr="00A619EB">
              <w:rPr>
                <w:rFonts w:cstheme="minorHAnsi"/>
                <w:b/>
                <w:sz w:val="18"/>
                <w:szCs w:val="18"/>
              </w:rPr>
              <w:t xml:space="preserve">Hypothyroid </w:t>
            </w:r>
          </w:p>
        </w:tc>
        <w:tc>
          <w:tcPr>
            <w:tcW w:w="1848" w:type="dxa"/>
          </w:tcPr>
          <w:p w:rsidR="00E51241" w:rsidRPr="00A619EB" w:rsidRDefault="00E51241" w:rsidP="006C2CF2">
            <w:pPr>
              <w:autoSpaceDE w:val="0"/>
              <w:autoSpaceDN w:val="0"/>
              <w:adjustRightInd w:val="0"/>
              <w:rPr>
                <w:rFonts w:cstheme="minorHAnsi"/>
                <w:b/>
                <w:sz w:val="18"/>
                <w:szCs w:val="18"/>
              </w:rPr>
            </w:pPr>
            <w:r w:rsidRPr="00A619EB">
              <w:rPr>
                <w:rFonts w:cstheme="minorHAnsi"/>
                <w:b/>
                <w:sz w:val="18"/>
                <w:szCs w:val="18"/>
              </w:rPr>
              <w:t xml:space="preserve">Euthyroid </w:t>
            </w:r>
          </w:p>
        </w:tc>
        <w:tc>
          <w:tcPr>
            <w:tcW w:w="1849" w:type="dxa"/>
          </w:tcPr>
          <w:p w:rsidR="00E51241" w:rsidRPr="00A619EB" w:rsidRDefault="0073668C" w:rsidP="006C2CF2">
            <w:pPr>
              <w:autoSpaceDE w:val="0"/>
              <w:autoSpaceDN w:val="0"/>
              <w:adjustRightInd w:val="0"/>
              <w:rPr>
                <w:rFonts w:cstheme="minorHAnsi"/>
                <w:b/>
                <w:sz w:val="18"/>
                <w:szCs w:val="18"/>
              </w:rPr>
            </w:pPr>
            <w:r w:rsidRPr="00A619EB">
              <w:rPr>
                <w:rFonts w:cstheme="minorHAnsi"/>
                <w:b/>
                <w:sz w:val="18"/>
                <w:szCs w:val="18"/>
              </w:rPr>
              <w:t>p</w:t>
            </w:r>
            <w:r w:rsidR="00E51241" w:rsidRPr="00A619EB">
              <w:rPr>
                <w:rFonts w:cstheme="minorHAnsi"/>
                <w:b/>
                <w:sz w:val="18"/>
                <w:szCs w:val="18"/>
              </w:rPr>
              <w:t xml:space="preserve"> value</w:t>
            </w:r>
          </w:p>
        </w:tc>
      </w:tr>
      <w:tr w:rsidR="00E51241" w:rsidRPr="00A619EB" w:rsidTr="006C2CF2">
        <w:tc>
          <w:tcPr>
            <w:tcW w:w="1848" w:type="dxa"/>
          </w:tcPr>
          <w:p w:rsidR="00E51241" w:rsidRPr="00A619EB" w:rsidRDefault="00E51241" w:rsidP="006C2CF2">
            <w:pPr>
              <w:autoSpaceDE w:val="0"/>
              <w:autoSpaceDN w:val="0"/>
              <w:adjustRightInd w:val="0"/>
              <w:rPr>
                <w:rFonts w:cstheme="minorHAnsi"/>
                <w:b/>
                <w:sz w:val="18"/>
                <w:szCs w:val="18"/>
              </w:rPr>
            </w:pPr>
            <w:r w:rsidRPr="00A619EB">
              <w:rPr>
                <w:rFonts w:cstheme="minorHAnsi"/>
                <w:b/>
                <w:sz w:val="18"/>
                <w:szCs w:val="18"/>
              </w:rPr>
              <w:t>TSH</w:t>
            </w:r>
          </w:p>
        </w:tc>
        <w:tc>
          <w:tcPr>
            <w:tcW w:w="1848" w:type="dxa"/>
          </w:tcPr>
          <w:p w:rsidR="00E51241" w:rsidRPr="00A619EB" w:rsidRDefault="00E51241" w:rsidP="006C2CF2">
            <w:pPr>
              <w:autoSpaceDE w:val="0"/>
              <w:autoSpaceDN w:val="0"/>
              <w:adjustRightInd w:val="0"/>
              <w:rPr>
                <w:rFonts w:cstheme="minorHAnsi"/>
                <w:sz w:val="18"/>
                <w:szCs w:val="18"/>
              </w:rPr>
            </w:pPr>
            <w:r w:rsidRPr="00A619EB">
              <w:rPr>
                <w:rFonts w:cstheme="minorHAnsi"/>
                <w:sz w:val="18"/>
                <w:szCs w:val="18"/>
              </w:rPr>
              <w:t>12.86±9.78</w:t>
            </w:r>
          </w:p>
        </w:tc>
        <w:tc>
          <w:tcPr>
            <w:tcW w:w="1848" w:type="dxa"/>
          </w:tcPr>
          <w:p w:rsidR="00E51241" w:rsidRPr="00A619EB" w:rsidRDefault="00E51241" w:rsidP="006C2CF2">
            <w:pPr>
              <w:autoSpaceDE w:val="0"/>
              <w:autoSpaceDN w:val="0"/>
              <w:adjustRightInd w:val="0"/>
              <w:rPr>
                <w:rFonts w:cstheme="minorHAnsi"/>
                <w:sz w:val="18"/>
                <w:szCs w:val="18"/>
              </w:rPr>
            </w:pPr>
            <w:r w:rsidRPr="00A619EB">
              <w:rPr>
                <w:rFonts w:cstheme="minorHAnsi"/>
                <w:sz w:val="18"/>
                <w:szCs w:val="18"/>
              </w:rPr>
              <w:t>2.80±1.33</w:t>
            </w:r>
          </w:p>
        </w:tc>
        <w:tc>
          <w:tcPr>
            <w:tcW w:w="1849" w:type="dxa"/>
          </w:tcPr>
          <w:p w:rsidR="00E51241" w:rsidRPr="00A619EB" w:rsidRDefault="00E51241" w:rsidP="006C2CF2">
            <w:pPr>
              <w:autoSpaceDE w:val="0"/>
              <w:autoSpaceDN w:val="0"/>
              <w:adjustRightInd w:val="0"/>
              <w:rPr>
                <w:rFonts w:cstheme="minorHAnsi"/>
                <w:sz w:val="18"/>
                <w:szCs w:val="18"/>
              </w:rPr>
            </w:pPr>
            <w:r w:rsidRPr="00A619EB">
              <w:rPr>
                <w:rFonts w:cstheme="minorHAnsi"/>
                <w:sz w:val="18"/>
                <w:szCs w:val="18"/>
              </w:rPr>
              <w:t>&lt; 0.0001</w:t>
            </w:r>
          </w:p>
        </w:tc>
      </w:tr>
      <w:tr w:rsidR="00E51241" w:rsidRPr="00A619EB" w:rsidTr="006C2CF2">
        <w:tc>
          <w:tcPr>
            <w:tcW w:w="1848" w:type="dxa"/>
          </w:tcPr>
          <w:p w:rsidR="00E51241" w:rsidRPr="00A619EB" w:rsidRDefault="00E51241" w:rsidP="006C2CF2">
            <w:pPr>
              <w:autoSpaceDE w:val="0"/>
              <w:autoSpaceDN w:val="0"/>
              <w:adjustRightInd w:val="0"/>
              <w:rPr>
                <w:rFonts w:cstheme="minorHAnsi"/>
                <w:b/>
                <w:sz w:val="18"/>
                <w:szCs w:val="18"/>
              </w:rPr>
            </w:pPr>
            <w:r w:rsidRPr="00A619EB">
              <w:rPr>
                <w:rFonts w:cstheme="minorHAnsi"/>
                <w:b/>
                <w:sz w:val="18"/>
                <w:szCs w:val="18"/>
              </w:rPr>
              <w:t>FT4</w:t>
            </w:r>
          </w:p>
        </w:tc>
        <w:tc>
          <w:tcPr>
            <w:tcW w:w="1848" w:type="dxa"/>
          </w:tcPr>
          <w:p w:rsidR="00E51241" w:rsidRPr="00A619EB" w:rsidRDefault="00E51241" w:rsidP="006C2CF2">
            <w:pPr>
              <w:autoSpaceDE w:val="0"/>
              <w:autoSpaceDN w:val="0"/>
              <w:adjustRightInd w:val="0"/>
              <w:rPr>
                <w:rFonts w:cstheme="minorHAnsi"/>
                <w:sz w:val="18"/>
                <w:szCs w:val="18"/>
              </w:rPr>
            </w:pPr>
            <w:r w:rsidRPr="00A619EB">
              <w:rPr>
                <w:rFonts w:cstheme="minorHAnsi"/>
                <w:sz w:val="18"/>
                <w:szCs w:val="18"/>
              </w:rPr>
              <w:t>0.92±0.17</w:t>
            </w:r>
          </w:p>
        </w:tc>
        <w:tc>
          <w:tcPr>
            <w:tcW w:w="1848" w:type="dxa"/>
          </w:tcPr>
          <w:p w:rsidR="00E51241" w:rsidRPr="00A619EB" w:rsidRDefault="00E51241" w:rsidP="006C2CF2">
            <w:pPr>
              <w:autoSpaceDE w:val="0"/>
              <w:autoSpaceDN w:val="0"/>
              <w:adjustRightInd w:val="0"/>
              <w:rPr>
                <w:rFonts w:cstheme="minorHAnsi"/>
                <w:sz w:val="18"/>
                <w:szCs w:val="18"/>
              </w:rPr>
            </w:pPr>
            <w:r w:rsidRPr="00A619EB">
              <w:rPr>
                <w:rFonts w:cstheme="minorHAnsi"/>
                <w:sz w:val="18"/>
                <w:szCs w:val="18"/>
              </w:rPr>
              <w:t>1.32±0.26</w:t>
            </w:r>
          </w:p>
        </w:tc>
        <w:tc>
          <w:tcPr>
            <w:tcW w:w="1849" w:type="dxa"/>
          </w:tcPr>
          <w:p w:rsidR="00E51241" w:rsidRPr="00A619EB" w:rsidRDefault="00E51241" w:rsidP="006C2CF2">
            <w:pPr>
              <w:autoSpaceDE w:val="0"/>
              <w:autoSpaceDN w:val="0"/>
              <w:adjustRightInd w:val="0"/>
              <w:rPr>
                <w:rFonts w:cstheme="minorHAnsi"/>
                <w:sz w:val="18"/>
                <w:szCs w:val="18"/>
              </w:rPr>
            </w:pPr>
            <w:r w:rsidRPr="00A619EB">
              <w:rPr>
                <w:rFonts w:cstheme="minorHAnsi"/>
                <w:sz w:val="18"/>
                <w:szCs w:val="18"/>
              </w:rPr>
              <w:t>&lt; 0.0001</w:t>
            </w:r>
          </w:p>
        </w:tc>
      </w:tr>
    </w:tbl>
    <w:p w:rsidR="005817CD" w:rsidRPr="00A619EB" w:rsidRDefault="005817CD" w:rsidP="00545137">
      <w:pPr>
        <w:autoSpaceDE w:val="0"/>
        <w:autoSpaceDN w:val="0"/>
        <w:adjustRightInd w:val="0"/>
        <w:spacing w:after="0" w:line="240" w:lineRule="auto"/>
        <w:rPr>
          <w:rFonts w:cstheme="minorHAnsi"/>
          <w:sz w:val="18"/>
          <w:szCs w:val="18"/>
        </w:rPr>
      </w:pPr>
    </w:p>
    <w:p w:rsidR="005817CD" w:rsidRPr="00A619EB" w:rsidRDefault="005817CD" w:rsidP="00545137">
      <w:pPr>
        <w:autoSpaceDE w:val="0"/>
        <w:autoSpaceDN w:val="0"/>
        <w:adjustRightInd w:val="0"/>
        <w:spacing w:after="0" w:line="240" w:lineRule="auto"/>
        <w:rPr>
          <w:rFonts w:cstheme="minorHAnsi"/>
          <w:sz w:val="18"/>
          <w:szCs w:val="18"/>
        </w:rPr>
      </w:pPr>
    </w:p>
    <w:p w:rsidR="00545137" w:rsidRPr="00A619EB" w:rsidRDefault="00545137" w:rsidP="00545137">
      <w:pPr>
        <w:autoSpaceDE w:val="0"/>
        <w:autoSpaceDN w:val="0"/>
        <w:adjustRightInd w:val="0"/>
        <w:spacing w:after="0" w:line="240" w:lineRule="auto"/>
        <w:rPr>
          <w:rFonts w:cstheme="minorHAnsi"/>
          <w:sz w:val="18"/>
          <w:szCs w:val="18"/>
        </w:rPr>
      </w:pPr>
      <w:r w:rsidRPr="00A619EB">
        <w:rPr>
          <w:rFonts w:cstheme="minorHAnsi"/>
          <w:sz w:val="18"/>
          <w:szCs w:val="18"/>
        </w:rPr>
        <w:t xml:space="preserve">Table </w:t>
      </w:r>
      <w:r w:rsidR="006C77AD">
        <w:rPr>
          <w:rFonts w:cstheme="minorHAnsi"/>
          <w:sz w:val="18"/>
          <w:szCs w:val="18"/>
        </w:rPr>
        <w:t>4</w:t>
      </w:r>
      <w:r w:rsidRPr="00A619EB">
        <w:rPr>
          <w:rFonts w:cstheme="minorHAnsi"/>
          <w:sz w:val="18"/>
          <w:szCs w:val="18"/>
        </w:rPr>
        <w:t>: prevalence of hypothyroid in different CKD stages</w:t>
      </w:r>
    </w:p>
    <w:tbl>
      <w:tblPr>
        <w:tblStyle w:val="TableGrid"/>
        <w:tblW w:w="0" w:type="auto"/>
        <w:tblLook w:val="04A0"/>
      </w:tblPr>
      <w:tblGrid>
        <w:gridCol w:w="2310"/>
        <w:gridCol w:w="2310"/>
        <w:gridCol w:w="2311"/>
        <w:gridCol w:w="2311"/>
      </w:tblGrid>
      <w:tr w:rsidR="00545137" w:rsidRPr="00A619EB" w:rsidTr="006C2CF2">
        <w:tc>
          <w:tcPr>
            <w:tcW w:w="2310" w:type="dxa"/>
          </w:tcPr>
          <w:p w:rsidR="00545137" w:rsidRPr="00A619EB" w:rsidRDefault="00545137" w:rsidP="006C2CF2">
            <w:pPr>
              <w:autoSpaceDE w:val="0"/>
              <w:autoSpaceDN w:val="0"/>
              <w:adjustRightInd w:val="0"/>
              <w:rPr>
                <w:rFonts w:cstheme="minorHAnsi"/>
                <w:b/>
                <w:sz w:val="18"/>
                <w:szCs w:val="18"/>
              </w:rPr>
            </w:pPr>
          </w:p>
        </w:tc>
        <w:tc>
          <w:tcPr>
            <w:tcW w:w="2310" w:type="dxa"/>
          </w:tcPr>
          <w:p w:rsidR="00545137" w:rsidRPr="00A619EB" w:rsidRDefault="00545137" w:rsidP="006C2CF2">
            <w:pPr>
              <w:autoSpaceDE w:val="0"/>
              <w:autoSpaceDN w:val="0"/>
              <w:adjustRightInd w:val="0"/>
              <w:jc w:val="center"/>
              <w:rPr>
                <w:rFonts w:cstheme="minorHAnsi"/>
                <w:b/>
                <w:sz w:val="18"/>
                <w:szCs w:val="18"/>
              </w:rPr>
            </w:pPr>
            <w:r w:rsidRPr="00A619EB">
              <w:rPr>
                <w:rFonts w:cstheme="minorHAnsi"/>
                <w:b/>
                <w:sz w:val="18"/>
                <w:szCs w:val="18"/>
              </w:rPr>
              <w:t>Overt hypothyroid  (n=14)</w:t>
            </w:r>
          </w:p>
        </w:tc>
        <w:tc>
          <w:tcPr>
            <w:tcW w:w="2311" w:type="dxa"/>
          </w:tcPr>
          <w:p w:rsidR="00545137" w:rsidRPr="00A619EB" w:rsidRDefault="00545137" w:rsidP="006C2CF2">
            <w:pPr>
              <w:autoSpaceDE w:val="0"/>
              <w:autoSpaceDN w:val="0"/>
              <w:adjustRightInd w:val="0"/>
              <w:jc w:val="center"/>
              <w:rPr>
                <w:rFonts w:cstheme="minorHAnsi"/>
                <w:b/>
                <w:sz w:val="18"/>
                <w:szCs w:val="18"/>
              </w:rPr>
            </w:pPr>
            <w:r w:rsidRPr="00A619EB">
              <w:rPr>
                <w:rFonts w:cstheme="minorHAnsi"/>
                <w:b/>
                <w:sz w:val="18"/>
                <w:szCs w:val="18"/>
              </w:rPr>
              <w:t>Sub-clinical hypothyroid</w:t>
            </w:r>
          </w:p>
          <w:p w:rsidR="00545137" w:rsidRPr="00A619EB" w:rsidRDefault="00545137" w:rsidP="006C2CF2">
            <w:pPr>
              <w:autoSpaceDE w:val="0"/>
              <w:autoSpaceDN w:val="0"/>
              <w:adjustRightInd w:val="0"/>
              <w:jc w:val="center"/>
              <w:rPr>
                <w:rFonts w:cstheme="minorHAnsi"/>
                <w:b/>
                <w:sz w:val="18"/>
                <w:szCs w:val="18"/>
              </w:rPr>
            </w:pPr>
            <w:r w:rsidRPr="00A619EB">
              <w:rPr>
                <w:rFonts w:cstheme="minorHAnsi"/>
                <w:b/>
                <w:sz w:val="18"/>
                <w:szCs w:val="18"/>
              </w:rPr>
              <w:t>n=31</w:t>
            </w:r>
          </w:p>
        </w:tc>
        <w:tc>
          <w:tcPr>
            <w:tcW w:w="2311"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 xml:space="preserve">  Euthyroid</w:t>
            </w:r>
          </w:p>
          <w:p w:rsidR="00545137" w:rsidRPr="00A619EB" w:rsidRDefault="00545137" w:rsidP="006C2CF2">
            <w:pPr>
              <w:autoSpaceDE w:val="0"/>
              <w:autoSpaceDN w:val="0"/>
              <w:adjustRightInd w:val="0"/>
              <w:jc w:val="center"/>
              <w:rPr>
                <w:rFonts w:cstheme="minorHAnsi"/>
                <w:b/>
                <w:sz w:val="18"/>
                <w:szCs w:val="18"/>
              </w:rPr>
            </w:pPr>
            <w:r w:rsidRPr="00A619EB">
              <w:rPr>
                <w:rFonts w:cstheme="minorHAnsi"/>
                <w:b/>
                <w:sz w:val="18"/>
                <w:szCs w:val="18"/>
              </w:rPr>
              <w:t>(n=235)</w:t>
            </w:r>
          </w:p>
          <w:p w:rsidR="00545137" w:rsidRPr="00A619EB" w:rsidRDefault="00545137" w:rsidP="006C2CF2">
            <w:pPr>
              <w:autoSpaceDE w:val="0"/>
              <w:autoSpaceDN w:val="0"/>
              <w:adjustRightInd w:val="0"/>
              <w:rPr>
                <w:rFonts w:cstheme="minorHAnsi"/>
                <w:b/>
                <w:sz w:val="18"/>
                <w:szCs w:val="18"/>
              </w:rPr>
            </w:pPr>
          </w:p>
        </w:tc>
      </w:tr>
      <w:tr w:rsidR="00545137" w:rsidRPr="00A619EB" w:rsidTr="006C2CF2">
        <w:tc>
          <w:tcPr>
            <w:tcW w:w="2310"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CKD Stage 2</w:t>
            </w:r>
          </w:p>
        </w:tc>
        <w:tc>
          <w:tcPr>
            <w:tcW w:w="2310"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2 (14.28%)</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4 (12.90%)</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18 (7.65%)</w:t>
            </w:r>
          </w:p>
        </w:tc>
      </w:tr>
      <w:tr w:rsidR="00545137" w:rsidRPr="00A619EB" w:rsidTr="006C2CF2">
        <w:tc>
          <w:tcPr>
            <w:tcW w:w="2310"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CKD Stage 3</w:t>
            </w:r>
          </w:p>
        </w:tc>
        <w:tc>
          <w:tcPr>
            <w:tcW w:w="2310"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4 (28.57%)</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7 (22.58%)</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58 (24.6%)</w:t>
            </w:r>
          </w:p>
        </w:tc>
      </w:tr>
      <w:tr w:rsidR="00545137" w:rsidRPr="00A619EB" w:rsidTr="006C2CF2">
        <w:tc>
          <w:tcPr>
            <w:tcW w:w="2310"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CKD Stage 4</w:t>
            </w:r>
          </w:p>
        </w:tc>
        <w:tc>
          <w:tcPr>
            <w:tcW w:w="2310"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4 (28.57%)</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8 (25.8%)</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72 (30.63%)</w:t>
            </w:r>
          </w:p>
        </w:tc>
      </w:tr>
      <w:tr w:rsidR="00545137" w:rsidRPr="00A619EB" w:rsidTr="006C2CF2">
        <w:tc>
          <w:tcPr>
            <w:tcW w:w="2310" w:type="dxa"/>
          </w:tcPr>
          <w:p w:rsidR="00545137" w:rsidRPr="00A619EB" w:rsidRDefault="00545137" w:rsidP="006C2CF2">
            <w:pPr>
              <w:autoSpaceDE w:val="0"/>
              <w:autoSpaceDN w:val="0"/>
              <w:adjustRightInd w:val="0"/>
              <w:rPr>
                <w:rFonts w:cstheme="minorHAnsi"/>
                <w:b/>
                <w:sz w:val="18"/>
                <w:szCs w:val="18"/>
              </w:rPr>
            </w:pPr>
            <w:r w:rsidRPr="00A619EB">
              <w:rPr>
                <w:rFonts w:cstheme="minorHAnsi"/>
                <w:b/>
                <w:sz w:val="18"/>
                <w:szCs w:val="18"/>
              </w:rPr>
              <w:t>CKD Stage 5</w:t>
            </w:r>
          </w:p>
        </w:tc>
        <w:tc>
          <w:tcPr>
            <w:tcW w:w="2310"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4 (28.57%)</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12 (38.7%)</w:t>
            </w:r>
          </w:p>
        </w:tc>
        <w:tc>
          <w:tcPr>
            <w:tcW w:w="2311" w:type="dxa"/>
          </w:tcPr>
          <w:p w:rsidR="00545137" w:rsidRPr="00A619EB" w:rsidRDefault="00545137" w:rsidP="006C2CF2">
            <w:pPr>
              <w:autoSpaceDE w:val="0"/>
              <w:autoSpaceDN w:val="0"/>
              <w:adjustRightInd w:val="0"/>
              <w:rPr>
                <w:rFonts w:cstheme="minorHAnsi"/>
                <w:sz w:val="18"/>
                <w:szCs w:val="18"/>
              </w:rPr>
            </w:pPr>
            <w:r w:rsidRPr="00A619EB">
              <w:rPr>
                <w:rFonts w:cstheme="minorHAnsi"/>
                <w:sz w:val="18"/>
                <w:szCs w:val="18"/>
              </w:rPr>
              <w:t>87 (37.02%)</w:t>
            </w:r>
          </w:p>
        </w:tc>
      </w:tr>
    </w:tbl>
    <w:p w:rsidR="00545137" w:rsidRPr="00A619EB" w:rsidRDefault="00545137" w:rsidP="006211B4">
      <w:pPr>
        <w:autoSpaceDE w:val="0"/>
        <w:autoSpaceDN w:val="0"/>
        <w:adjustRightInd w:val="0"/>
        <w:spacing w:after="0" w:line="240" w:lineRule="auto"/>
        <w:rPr>
          <w:rFonts w:ascii="FdvfxlAdvTT86d47313" w:hAnsi="FdvfxlAdvTT86d47313" w:cs="FdvfxlAdvTT86d47313"/>
          <w:sz w:val="18"/>
          <w:szCs w:val="18"/>
        </w:rPr>
      </w:pPr>
    </w:p>
    <w:sectPr w:rsidR="00545137" w:rsidRPr="00A619EB" w:rsidSect="00A619E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8A1" w:rsidRDefault="003328A1" w:rsidP="006C77AD">
      <w:pPr>
        <w:spacing w:after="0" w:line="240" w:lineRule="auto"/>
      </w:pPr>
      <w:r>
        <w:separator/>
      </w:r>
    </w:p>
  </w:endnote>
  <w:endnote w:type="continuationSeparator" w:id="1">
    <w:p w:rsidR="003328A1" w:rsidRDefault="003328A1" w:rsidP="006C7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dvfxlAdvTT86d47313">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8A1" w:rsidRDefault="003328A1" w:rsidP="006C77AD">
      <w:pPr>
        <w:spacing w:after="0" w:line="240" w:lineRule="auto"/>
      </w:pPr>
      <w:r>
        <w:separator/>
      </w:r>
    </w:p>
  </w:footnote>
  <w:footnote w:type="continuationSeparator" w:id="1">
    <w:p w:rsidR="003328A1" w:rsidRDefault="003328A1" w:rsidP="006C77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0637"/>
    <w:multiLevelType w:val="hybridMultilevel"/>
    <w:tmpl w:val="DE1EA0E0"/>
    <w:lvl w:ilvl="0" w:tplc="9268160A">
      <w:start w:val="1"/>
      <w:numFmt w:val="decimal"/>
      <w:lvlText w:val="%1)"/>
      <w:lvlJc w:val="left"/>
      <w:pPr>
        <w:ind w:left="720" w:hanging="360"/>
      </w:pPr>
      <w:rPr>
        <w:rFonts w:ascii="Times New Roman" w:hAnsi="Times New Roman" w:cs="Times New Roman" w:hint="default"/>
        <w:i/>
        <w:color w:val="000000"/>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10211A"/>
    <w:multiLevelType w:val="hybridMultilevel"/>
    <w:tmpl w:val="4AE0C3C0"/>
    <w:lvl w:ilvl="0" w:tplc="7E32B60A">
      <w:start w:val="1"/>
      <w:numFmt w:val="decimal"/>
      <w:lvlText w:val="%1."/>
      <w:lvlJc w:val="left"/>
      <w:pPr>
        <w:ind w:left="1035" w:hanging="67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D1A2034"/>
    <w:multiLevelType w:val="multilevel"/>
    <w:tmpl w:val="48FA23C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99E6A27"/>
    <w:multiLevelType w:val="hybridMultilevel"/>
    <w:tmpl w:val="495EE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0B14E1D"/>
    <w:multiLevelType w:val="hybridMultilevel"/>
    <w:tmpl w:val="BC408F46"/>
    <w:lvl w:ilvl="0" w:tplc="F4503C06">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5D44"/>
    <w:rsid w:val="00070664"/>
    <w:rsid w:val="000A5E67"/>
    <w:rsid w:val="000C4FFE"/>
    <w:rsid w:val="0013339A"/>
    <w:rsid w:val="001F1826"/>
    <w:rsid w:val="001F4FF4"/>
    <w:rsid w:val="00230F9F"/>
    <w:rsid w:val="00256AA0"/>
    <w:rsid w:val="00276FD9"/>
    <w:rsid w:val="0028139B"/>
    <w:rsid w:val="002F26F5"/>
    <w:rsid w:val="00306093"/>
    <w:rsid w:val="00330554"/>
    <w:rsid w:val="003328A1"/>
    <w:rsid w:val="00335744"/>
    <w:rsid w:val="00364CF3"/>
    <w:rsid w:val="00373C54"/>
    <w:rsid w:val="003A370F"/>
    <w:rsid w:val="003C4209"/>
    <w:rsid w:val="003D2C8E"/>
    <w:rsid w:val="003F0058"/>
    <w:rsid w:val="00407F8F"/>
    <w:rsid w:val="0042798C"/>
    <w:rsid w:val="00444EA1"/>
    <w:rsid w:val="0044612A"/>
    <w:rsid w:val="004979D9"/>
    <w:rsid w:val="004A193F"/>
    <w:rsid w:val="004B0FCC"/>
    <w:rsid w:val="004C6FAC"/>
    <w:rsid w:val="004F3CA4"/>
    <w:rsid w:val="00514B77"/>
    <w:rsid w:val="0052011E"/>
    <w:rsid w:val="00531602"/>
    <w:rsid w:val="00545137"/>
    <w:rsid w:val="00554188"/>
    <w:rsid w:val="00554224"/>
    <w:rsid w:val="00554444"/>
    <w:rsid w:val="00557759"/>
    <w:rsid w:val="005817CD"/>
    <w:rsid w:val="00587F5D"/>
    <w:rsid w:val="005A39B2"/>
    <w:rsid w:val="005A4BA4"/>
    <w:rsid w:val="005B44F2"/>
    <w:rsid w:val="005B54EE"/>
    <w:rsid w:val="005C21DB"/>
    <w:rsid w:val="005C329A"/>
    <w:rsid w:val="005C6261"/>
    <w:rsid w:val="005D3044"/>
    <w:rsid w:val="005D72CC"/>
    <w:rsid w:val="005F4BF6"/>
    <w:rsid w:val="006211B4"/>
    <w:rsid w:val="00630B8F"/>
    <w:rsid w:val="00640E85"/>
    <w:rsid w:val="006507B1"/>
    <w:rsid w:val="00667BCF"/>
    <w:rsid w:val="0067454C"/>
    <w:rsid w:val="006A09C4"/>
    <w:rsid w:val="006B3077"/>
    <w:rsid w:val="006B461F"/>
    <w:rsid w:val="006C0713"/>
    <w:rsid w:val="006C77AD"/>
    <w:rsid w:val="006E6673"/>
    <w:rsid w:val="006F0A92"/>
    <w:rsid w:val="006F4D27"/>
    <w:rsid w:val="007234FA"/>
    <w:rsid w:val="0073668C"/>
    <w:rsid w:val="00736952"/>
    <w:rsid w:val="007416ED"/>
    <w:rsid w:val="007747ED"/>
    <w:rsid w:val="007B50C6"/>
    <w:rsid w:val="007F12FC"/>
    <w:rsid w:val="00805809"/>
    <w:rsid w:val="0083377A"/>
    <w:rsid w:val="00845D44"/>
    <w:rsid w:val="00845D55"/>
    <w:rsid w:val="008E5698"/>
    <w:rsid w:val="008E5F26"/>
    <w:rsid w:val="008F0B6E"/>
    <w:rsid w:val="008F60E6"/>
    <w:rsid w:val="00900C82"/>
    <w:rsid w:val="0091475D"/>
    <w:rsid w:val="00974D3C"/>
    <w:rsid w:val="00982D9D"/>
    <w:rsid w:val="009A50FD"/>
    <w:rsid w:val="009A52B2"/>
    <w:rsid w:val="009B4F6B"/>
    <w:rsid w:val="009C29B2"/>
    <w:rsid w:val="009D752C"/>
    <w:rsid w:val="00A619EB"/>
    <w:rsid w:val="00A74F4E"/>
    <w:rsid w:val="00A90CE1"/>
    <w:rsid w:val="00A938CC"/>
    <w:rsid w:val="00AA12F2"/>
    <w:rsid w:val="00AC1F92"/>
    <w:rsid w:val="00AD138D"/>
    <w:rsid w:val="00AE6ED2"/>
    <w:rsid w:val="00AF1821"/>
    <w:rsid w:val="00AF1A6B"/>
    <w:rsid w:val="00B229E5"/>
    <w:rsid w:val="00B56116"/>
    <w:rsid w:val="00B738CF"/>
    <w:rsid w:val="00B80349"/>
    <w:rsid w:val="00BE056E"/>
    <w:rsid w:val="00C83BF9"/>
    <w:rsid w:val="00CA3F89"/>
    <w:rsid w:val="00CB7575"/>
    <w:rsid w:val="00CC67D8"/>
    <w:rsid w:val="00CD230D"/>
    <w:rsid w:val="00CD32D8"/>
    <w:rsid w:val="00D11917"/>
    <w:rsid w:val="00D16B8C"/>
    <w:rsid w:val="00D2431D"/>
    <w:rsid w:val="00D53E9B"/>
    <w:rsid w:val="00D66C66"/>
    <w:rsid w:val="00D801C1"/>
    <w:rsid w:val="00D95E35"/>
    <w:rsid w:val="00DB00AA"/>
    <w:rsid w:val="00DC255E"/>
    <w:rsid w:val="00DE1B92"/>
    <w:rsid w:val="00DF147E"/>
    <w:rsid w:val="00DF2C10"/>
    <w:rsid w:val="00DF47B4"/>
    <w:rsid w:val="00DF5489"/>
    <w:rsid w:val="00E1174E"/>
    <w:rsid w:val="00E3792D"/>
    <w:rsid w:val="00E51241"/>
    <w:rsid w:val="00E80F2E"/>
    <w:rsid w:val="00EF08C2"/>
    <w:rsid w:val="00F06A92"/>
    <w:rsid w:val="00F22F6F"/>
    <w:rsid w:val="00F32808"/>
    <w:rsid w:val="00F43CE2"/>
    <w:rsid w:val="00F50447"/>
    <w:rsid w:val="00F73FB1"/>
    <w:rsid w:val="00F8611C"/>
    <w:rsid w:val="00FA4C38"/>
    <w:rsid w:val="00FB1993"/>
    <w:rsid w:val="00FB3E47"/>
    <w:rsid w:val="00FD72F1"/>
    <w:rsid w:val="00FE4FE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6F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9E5"/>
    <w:rPr>
      <w:rFonts w:ascii="Tahoma" w:hAnsi="Tahoma" w:cs="Tahoma"/>
      <w:sz w:val="16"/>
      <w:szCs w:val="16"/>
    </w:rPr>
  </w:style>
  <w:style w:type="paragraph" w:styleId="ListParagraph">
    <w:name w:val="List Paragraph"/>
    <w:basedOn w:val="Normal"/>
    <w:uiPriority w:val="34"/>
    <w:qFormat/>
    <w:rsid w:val="004F3CA4"/>
    <w:pPr>
      <w:ind w:left="720"/>
      <w:contextualSpacing/>
    </w:pPr>
  </w:style>
  <w:style w:type="character" w:customStyle="1" w:styleId="apple-converted-space">
    <w:name w:val="apple-converted-space"/>
    <w:basedOn w:val="DefaultParagraphFont"/>
    <w:rsid w:val="00FB3E47"/>
  </w:style>
  <w:style w:type="character" w:styleId="Hyperlink">
    <w:name w:val="Hyperlink"/>
    <w:basedOn w:val="DefaultParagraphFont"/>
    <w:uiPriority w:val="99"/>
    <w:semiHidden/>
    <w:unhideWhenUsed/>
    <w:rsid w:val="00FB3E47"/>
    <w:rPr>
      <w:color w:val="0000FF"/>
      <w:u w:val="single"/>
    </w:rPr>
  </w:style>
  <w:style w:type="character" w:customStyle="1" w:styleId="A7">
    <w:name w:val="A7"/>
    <w:uiPriority w:val="99"/>
    <w:rsid w:val="00DF2C10"/>
    <w:rPr>
      <w:color w:val="000000"/>
      <w:sz w:val="21"/>
      <w:szCs w:val="21"/>
    </w:rPr>
  </w:style>
  <w:style w:type="paragraph" w:customStyle="1" w:styleId="Pa3">
    <w:name w:val="Pa3"/>
    <w:basedOn w:val="Normal"/>
    <w:next w:val="Normal"/>
    <w:uiPriority w:val="99"/>
    <w:rsid w:val="001F4FF4"/>
    <w:pPr>
      <w:autoSpaceDE w:val="0"/>
      <w:autoSpaceDN w:val="0"/>
      <w:adjustRightInd w:val="0"/>
      <w:spacing w:after="0" w:line="201" w:lineRule="atLeast"/>
    </w:pPr>
    <w:rPr>
      <w:rFonts w:ascii="Times New Roman" w:hAnsi="Times New Roman" w:cs="Times New Roman"/>
      <w:sz w:val="24"/>
      <w:szCs w:val="24"/>
    </w:rPr>
  </w:style>
  <w:style w:type="paragraph" w:customStyle="1" w:styleId="Default">
    <w:name w:val="Default"/>
    <w:rsid w:val="0055422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45137"/>
    <w:pPr>
      <w:spacing w:after="0" w:line="240" w:lineRule="auto"/>
    </w:pPr>
  </w:style>
  <w:style w:type="paragraph" w:styleId="Header">
    <w:name w:val="header"/>
    <w:basedOn w:val="Normal"/>
    <w:link w:val="HeaderChar"/>
    <w:uiPriority w:val="99"/>
    <w:semiHidden/>
    <w:unhideWhenUsed/>
    <w:rsid w:val="006C77A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77AD"/>
  </w:style>
  <w:style w:type="paragraph" w:styleId="Footer">
    <w:name w:val="footer"/>
    <w:basedOn w:val="Normal"/>
    <w:link w:val="FooterChar"/>
    <w:uiPriority w:val="99"/>
    <w:semiHidden/>
    <w:unhideWhenUsed/>
    <w:rsid w:val="006C77A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C77AD"/>
  </w:style>
</w:styles>
</file>

<file path=word/webSettings.xml><?xml version="1.0" encoding="utf-8"?>
<w:webSettings xmlns:r="http://schemas.openxmlformats.org/officeDocument/2006/relationships" xmlns:w="http://schemas.openxmlformats.org/wordprocessingml/2006/main">
  <w:divs>
    <w:div w:id="13534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Bishal%20Agarwal\Desktop\THROID%20IN%20CKD%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8.1155620574750675E-2"/>
          <c:y val="6.9919072615923034E-2"/>
          <c:w val="0.69805621291874065"/>
          <c:h val="0.74172061825605262"/>
        </c:manualLayout>
      </c:layout>
      <c:barChart>
        <c:barDir val="col"/>
        <c:grouping val="clustered"/>
        <c:ser>
          <c:idx val="0"/>
          <c:order val="0"/>
          <c:tx>
            <c:strRef>
              <c:f>Sheet7!$H$33</c:f>
              <c:strCache>
                <c:ptCount val="1"/>
                <c:pt idx="0">
                  <c:v>TSH (mIU/L)</c:v>
                </c:pt>
              </c:strCache>
            </c:strRef>
          </c:tx>
          <c:dLbls>
            <c:showVal val="1"/>
          </c:dLbls>
          <c:cat>
            <c:strRef>
              <c:f>Sheet7!$I$32:$K$32</c:f>
              <c:strCache>
                <c:ptCount val="3"/>
                <c:pt idx="0">
                  <c:v>Overt hypothyroid </c:v>
                </c:pt>
                <c:pt idx="1">
                  <c:v>Subclinical hypothyroid hy</c:v>
                </c:pt>
                <c:pt idx="2">
                  <c:v>Euthyroid </c:v>
                </c:pt>
              </c:strCache>
            </c:strRef>
          </c:cat>
          <c:val>
            <c:numRef>
              <c:f>Sheet7!$I$33:$K$33</c:f>
              <c:numCache>
                <c:formatCode>General</c:formatCode>
                <c:ptCount val="3"/>
                <c:pt idx="0">
                  <c:v>24.55</c:v>
                </c:pt>
                <c:pt idx="1">
                  <c:v>7.59</c:v>
                </c:pt>
                <c:pt idx="2">
                  <c:v>2.8</c:v>
                </c:pt>
              </c:numCache>
            </c:numRef>
          </c:val>
        </c:ser>
        <c:ser>
          <c:idx val="1"/>
          <c:order val="1"/>
          <c:tx>
            <c:strRef>
              <c:f>Sheet7!$H$34</c:f>
              <c:strCache>
                <c:ptCount val="1"/>
                <c:pt idx="0">
                  <c:v>Free T4 (ng/dl)</c:v>
                </c:pt>
              </c:strCache>
            </c:strRef>
          </c:tx>
          <c:dLbls>
            <c:showVal val="1"/>
          </c:dLbls>
          <c:cat>
            <c:strRef>
              <c:f>Sheet7!$I$32:$K$32</c:f>
              <c:strCache>
                <c:ptCount val="3"/>
                <c:pt idx="0">
                  <c:v>Overt hypothyroid </c:v>
                </c:pt>
                <c:pt idx="1">
                  <c:v>Subclinical hypothyroid hy</c:v>
                </c:pt>
                <c:pt idx="2">
                  <c:v>Euthyroid </c:v>
                </c:pt>
              </c:strCache>
            </c:strRef>
          </c:cat>
          <c:val>
            <c:numRef>
              <c:f>Sheet7!$I$34:$K$34</c:f>
              <c:numCache>
                <c:formatCode>General</c:formatCode>
                <c:ptCount val="3"/>
                <c:pt idx="0">
                  <c:v>0.71000000000000063</c:v>
                </c:pt>
                <c:pt idx="1">
                  <c:v>1.01</c:v>
                </c:pt>
                <c:pt idx="2">
                  <c:v>1.32</c:v>
                </c:pt>
              </c:numCache>
            </c:numRef>
          </c:val>
        </c:ser>
        <c:axId val="103267712"/>
        <c:axId val="103282560"/>
      </c:barChart>
      <c:catAx>
        <c:axId val="103267712"/>
        <c:scaling>
          <c:orientation val="minMax"/>
        </c:scaling>
        <c:axPos val="b"/>
        <c:tickLblPos val="nextTo"/>
        <c:txPr>
          <a:bodyPr/>
          <a:lstStyle/>
          <a:p>
            <a:pPr>
              <a:defRPr sz="900"/>
            </a:pPr>
            <a:endParaRPr lang="en-US"/>
          </a:p>
        </c:txPr>
        <c:crossAx val="103282560"/>
        <c:crosses val="autoZero"/>
        <c:auto val="1"/>
        <c:lblAlgn val="ctr"/>
        <c:lblOffset val="100"/>
      </c:catAx>
      <c:valAx>
        <c:axId val="103282560"/>
        <c:scaling>
          <c:orientation val="minMax"/>
        </c:scaling>
        <c:axPos val="l"/>
        <c:numFmt formatCode="General" sourceLinked="1"/>
        <c:tickLblPos val="nextTo"/>
        <c:crossAx val="103267712"/>
        <c:crosses val="autoZero"/>
        <c:crossBetween val="between"/>
      </c:valAx>
    </c:plotArea>
    <c:legend>
      <c:legendPos val="r"/>
      <c:txPr>
        <a:bodyPr/>
        <a:lstStyle/>
        <a:p>
          <a:pPr>
            <a:defRPr sz="900"/>
          </a:pPr>
          <a:endParaRPr lang="en-US"/>
        </a:p>
      </c:txPr>
    </c:legend>
    <c:plotVisOnly val="1"/>
  </c:chart>
  <c:spPr>
    <a:ln w="57150"/>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AD40-657A-49AE-BB86-6DBA39CE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17920</TotalTime>
  <Pages>5</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Bishal Agarwal</dc:creator>
  <cp:lastModifiedBy>Dr. Bishal Agarwal</cp:lastModifiedBy>
  <cp:revision>66</cp:revision>
  <dcterms:created xsi:type="dcterms:W3CDTF">2016-09-22T13:44:00Z</dcterms:created>
  <dcterms:modified xsi:type="dcterms:W3CDTF">2018-08-22T15:15:00Z</dcterms:modified>
</cp:coreProperties>
</file>