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A49" w:rsidRPr="00877715" w:rsidRDefault="00B40257" w:rsidP="00A90A49">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A </w:t>
      </w:r>
      <w:r w:rsidR="00A90A49">
        <w:rPr>
          <w:rFonts w:ascii="Times New Roman" w:hAnsi="Times New Roman" w:cs="Times New Roman"/>
          <w:b/>
          <w:sz w:val="44"/>
          <w:szCs w:val="44"/>
        </w:rPr>
        <w:t>Study of Violent Asphyxial Death</w:t>
      </w:r>
      <w:r>
        <w:rPr>
          <w:rFonts w:ascii="Times New Roman" w:hAnsi="Times New Roman" w:cs="Times New Roman"/>
          <w:b/>
          <w:sz w:val="44"/>
          <w:szCs w:val="44"/>
        </w:rPr>
        <w:t>s</w:t>
      </w:r>
      <w:r w:rsidR="00BA3E9F">
        <w:rPr>
          <w:rFonts w:ascii="Times New Roman" w:hAnsi="Times New Roman" w:cs="Times New Roman"/>
          <w:b/>
          <w:sz w:val="44"/>
          <w:szCs w:val="44"/>
        </w:rPr>
        <w:t>.</w:t>
      </w:r>
    </w:p>
    <w:p w:rsidR="00A90A49" w:rsidRPr="00877715" w:rsidRDefault="00A90A49" w:rsidP="00A90A49">
      <w:pPr>
        <w:spacing w:after="0" w:line="240" w:lineRule="auto"/>
        <w:rPr>
          <w:rFonts w:ascii="Times New Roman" w:hAnsi="Times New Roman" w:cs="Times New Roman"/>
          <w:b/>
          <w:sz w:val="24"/>
          <w:szCs w:val="24"/>
        </w:rPr>
      </w:pPr>
    </w:p>
    <w:p w:rsidR="00A90A49" w:rsidRPr="00877715" w:rsidRDefault="00A90A49" w:rsidP="00A90A49">
      <w:pPr>
        <w:spacing w:after="0" w:line="240" w:lineRule="auto"/>
        <w:rPr>
          <w:rFonts w:ascii="Times New Roman" w:hAnsi="Times New Roman" w:cs="Times New Roman"/>
          <w:sz w:val="24"/>
          <w:szCs w:val="24"/>
        </w:rPr>
      </w:pPr>
      <w:r w:rsidRPr="00877715">
        <w:rPr>
          <w:rFonts w:ascii="Times New Roman" w:hAnsi="Times New Roman" w:cs="Times New Roman"/>
          <w:sz w:val="24"/>
          <w:szCs w:val="24"/>
          <w:vertAlign w:val="superscript"/>
        </w:rPr>
        <w:t>1</w:t>
      </w:r>
      <w:r>
        <w:rPr>
          <w:rFonts w:ascii="Times New Roman" w:hAnsi="Times New Roman" w:cs="Times New Roman"/>
          <w:sz w:val="24"/>
          <w:szCs w:val="24"/>
        </w:rPr>
        <w:t>Rajkumari Reena Devi</w:t>
      </w:r>
      <w:r w:rsidRPr="00877715">
        <w:rPr>
          <w:rFonts w:ascii="Times New Roman" w:hAnsi="Times New Roman" w:cs="Times New Roman"/>
          <w:sz w:val="24"/>
          <w:szCs w:val="24"/>
        </w:rPr>
        <w:t xml:space="preserve">, </w:t>
      </w:r>
      <w:r w:rsidRPr="00877715">
        <w:rPr>
          <w:rFonts w:ascii="Times New Roman" w:hAnsi="Times New Roman" w:cs="Times New Roman"/>
          <w:sz w:val="24"/>
          <w:szCs w:val="24"/>
          <w:vertAlign w:val="superscript"/>
        </w:rPr>
        <w:t>2</w:t>
      </w:r>
      <w:r w:rsidRPr="00877715">
        <w:rPr>
          <w:rFonts w:ascii="Times New Roman" w:hAnsi="Times New Roman" w:cs="Times New Roman"/>
          <w:sz w:val="24"/>
          <w:szCs w:val="24"/>
        </w:rPr>
        <w:t>Bapin Kumar</w:t>
      </w:r>
      <w:r w:rsidR="006C26B5">
        <w:rPr>
          <w:rFonts w:ascii="Times New Roman" w:hAnsi="Times New Roman" w:cs="Times New Roman"/>
          <w:sz w:val="24"/>
          <w:szCs w:val="24"/>
        </w:rPr>
        <w:t xml:space="preserve"> Moirangthem</w:t>
      </w:r>
      <w:r w:rsidRPr="00877715">
        <w:rPr>
          <w:rFonts w:ascii="Times New Roman" w:hAnsi="Times New Roman" w:cs="Times New Roman"/>
          <w:sz w:val="24"/>
          <w:szCs w:val="24"/>
          <w:vertAlign w:val="superscript"/>
        </w:rPr>
        <w:t xml:space="preserve"> </w:t>
      </w:r>
      <w:r w:rsidRPr="00877715">
        <w:rPr>
          <w:rFonts w:ascii="Times New Roman" w:hAnsi="Times New Roman" w:cs="Times New Roman"/>
          <w:sz w:val="24"/>
          <w:szCs w:val="24"/>
          <w:vertAlign w:val="subscript"/>
        </w:rPr>
        <w:t xml:space="preserve">, </w:t>
      </w:r>
      <w:r w:rsidRPr="00877715">
        <w:rPr>
          <w:rFonts w:ascii="Times New Roman" w:hAnsi="Times New Roman" w:cs="Times New Roman"/>
          <w:sz w:val="24"/>
          <w:szCs w:val="24"/>
          <w:vertAlign w:val="superscript"/>
        </w:rPr>
        <w:t>3</w:t>
      </w:r>
      <w:r w:rsidRPr="00877715">
        <w:rPr>
          <w:rFonts w:ascii="Times New Roman" w:hAnsi="Times New Roman" w:cs="Times New Roman"/>
          <w:sz w:val="24"/>
          <w:szCs w:val="24"/>
        </w:rPr>
        <w:t>G. Angam</w:t>
      </w:r>
      <w:r w:rsidR="003B64C1">
        <w:rPr>
          <w:rFonts w:ascii="Times New Roman" w:hAnsi="Times New Roman" w:cs="Times New Roman"/>
          <w:sz w:val="24"/>
          <w:szCs w:val="24"/>
        </w:rPr>
        <w:t xml:space="preserve">, </w:t>
      </w:r>
      <w:r w:rsidR="003B64C1">
        <w:rPr>
          <w:rFonts w:ascii="Times New Roman" w:hAnsi="Times New Roman" w:cs="Times New Roman"/>
          <w:sz w:val="24"/>
          <w:szCs w:val="24"/>
          <w:vertAlign w:val="superscript"/>
        </w:rPr>
        <w:t>4</w:t>
      </w:r>
      <w:r w:rsidR="003B64C1">
        <w:rPr>
          <w:rFonts w:ascii="Times New Roman" w:hAnsi="Times New Roman" w:cs="Times New Roman"/>
          <w:sz w:val="24"/>
          <w:szCs w:val="24"/>
        </w:rPr>
        <w:t>Agatha</w:t>
      </w:r>
      <w:r w:rsidR="0062724D">
        <w:rPr>
          <w:rFonts w:ascii="Times New Roman" w:hAnsi="Times New Roman" w:cs="Times New Roman"/>
          <w:sz w:val="24"/>
          <w:szCs w:val="24"/>
        </w:rPr>
        <w:t xml:space="preserve"> Gangmei</w:t>
      </w:r>
    </w:p>
    <w:p w:rsidR="00A90A49" w:rsidRPr="00877715" w:rsidRDefault="00A90A49" w:rsidP="00A90A49">
      <w:pPr>
        <w:pStyle w:val="ListParagraph"/>
        <w:numPr>
          <w:ilvl w:val="0"/>
          <w:numId w:val="2"/>
        </w:numPr>
        <w:spacing w:after="0" w:line="240" w:lineRule="auto"/>
        <w:rPr>
          <w:rFonts w:ascii="Times New Roman" w:hAnsi="Times New Roman" w:cs="Times New Roman"/>
          <w:sz w:val="24"/>
          <w:szCs w:val="24"/>
        </w:rPr>
      </w:pPr>
    </w:p>
    <w:p w:rsidR="00A90A49" w:rsidRPr="000828B9" w:rsidRDefault="00A90A49" w:rsidP="00A90A49">
      <w:pPr>
        <w:spacing w:after="0" w:line="240" w:lineRule="auto"/>
        <w:rPr>
          <w:rFonts w:ascii="Times New Roman" w:hAnsi="Times New Roman" w:cs="Times New Roman"/>
          <w:sz w:val="16"/>
          <w:szCs w:val="16"/>
        </w:rPr>
      </w:pPr>
      <w:r w:rsidRPr="000828B9">
        <w:rPr>
          <w:rFonts w:ascii="Times New Roman" w:hAnsi="Times New Roman" w:cs="Times New Roman"/>
          <w:sz w:val="16"/>
          <w:szCs w:val="16"/>
          <w:vertAlign w:val="superscript"/>
        </w:rPr>
        <w:t>1</w:t>
      </w:r>
      <w:r w:rsidRPr="000828B9">
        <w:rPr>
          <w:rFonts w:ascii="Times New Roman" w:hAnsi="Times New Roman" w:cs="Times New Roman"/>
          <w:sz w:val="16"/>
          <w:szCs w:val="16"/>
        </w:rPr>
        <w:t xml:space="preserve">PG Trainee, Dept. of Forensic Medicine, JNIMS, Imphal. </w:t>
      </w:r>
    </w:p>
    <w:p w:rsidR="00A90A49" w:rsidRPr="000828B9" w:rsidRDefault="00A90A49" w:rsidP="00A90A49">
      <w:pPr>
        <w:spacing w:after="0" w:line="240" w:lineRule="auto"/>
        <w:rPr>
          <w:rFonts w:ascii="Times New Roman" w:hAnsi="Times New Roman" w:cs="Times New Roman"/>
          <w:sz w:val="16"/>
          <w:szCs w:val="16"/>
        </w:rPr>
      </w:pPr>
      <w:r w:rsidRPr="000828B9">
        <w:rPr>
          <w:rFonts w:ascii="Times New Roman" w:hAnsi="Times New Roman" w:cs="Times New Roman"/>
          <w:sz w:val="16"/>
          <w:szCs w:val="16"/>
          <w:vertAlign w:val="superscript"/>
        </w:rPr>
        <w:t>2</w:t>
      </w:r>
      <w:r w:rsidRPr="000828B9">
        <w:rPr>
          <w:rFonts w:ascii="Times New Roman" w:hAnsi="Times New Roman" w:cs="Times New Roman"/>
          <w:sz w:val="16"/>
          <w:szCs w:val="16"/>
        </w:rPr>
        <w:t>Associate Professor, Dept. of Forensic Medicine, JNIMS, Imphal.</w:t>
      </w:r>
    </w:p>
    <w:p w:rsidR="00A90A49" w:rsidRDefault="00A90A49" w:rsidP="00A90A49">
      <w:pPr>
        <w:spacing w:after="0" w:line="240" w:lineRule="auto"/>
        <w:rPr>
          <w:rFonts w:ascii="Times New Roman" w:hAnsi="Times New Roman" w:cs="Times New Roman"/>
          <w:sz w:val="16"/>
          <w:szCs w:val="16"/>
        </w:rPr>
      </w:pPr>
      <w:r w:rsidRPr="000828B9">
        <w:rPr>
          <w:rFonts w:ascii="Times New Roman" w:hAnsi="Times New Roman" w:cs="Times New Roman"/>
          <w:sz w:val="16"/>
          <w:szCs w:val="16"/>
          <w:vertAlign w:val="superscript"/>
        </w:rPr>
        <w:t>3</w:t>
      </w:r>
      <w:r w:rsidRPr="000828B9">
        <w:rPr>
          <w:rFonts w:ascii="Times New Roman" w:hAnsi="Times New Roman" w:cs="Times New Roman"/>
          <w:sz w:val="16"/>
          <w:szCs w:val="16"/>
        </w:rPr>
        <w:t>Associate Professor &amp; HOD i/c, Dept. of Forensic Medicine, JNIMS, Imphal.</w:t>
      </w:r>
    </w:p>
    <w:p w:rsidR="003B64C1" w:rsidRPr="003B64C1" w:rsidRDefault="003B64C1" w:rsidP="00A90A49">
      <w:pPr>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4</w:t>
      </w:r>
      <w:r>
        <w:rPr>
          <w:rFonts w:ascii="Times New Roman" w:hAnsi="Times New Roman" w:cs="Times New Roman"/>
          <w:sz w:val="16"/>
          <w:szCs w:val="16"/>
        </w:rPr>
        <w:t>PG Trainee, Dept of Forensic Medicine, JNIMS, Imphal</w:t>
      </w:r>
    </w:p>
    <w:p w:rsidR="00A90A49" w:rsidRPr="000828B9" w:rsidRDefault="00A90A49" w:rsidP="00A90A49">
      <w:pPr>
        <w:pStyle w:val="ListParagraph"/>
        <w:spacing w:after="0" w:line="240" w:lineRule="auto"/>
        <w:rPr>
          <w:rFonts w:ascii="Times New Roman" w:hAnsi="Times New Roman" w:cs="Times New Roman"/>
          <w:sz w:val="16"/>
          <w:szCs w:val="16"/>
        </w:rPr>
      </w:pPr>
    </w:p>
    <w:p w:rsidR="00A90A49" w:rsidRPr="000828B9" w:rsidRDefault="00A90A49" w:rsidP="00A90A49">
      <w:pPr>
        <w:pStyle w:val="ListParagraph"/>
        <w:numPr>
          <w:ilvl w:val="0"/>
          <w:numId w:val="1"/>
        </w:numPr>
        <w:spacing w:after="0" w:line="240" w:lineRule="auto"/>
        <w:rPr>
          <w:rFonts w:ascii="Times New Roman" w:hAnsi="Times New Roman" w:cs="Times New Roman"/>
          <w:sz w:val="16"/>
          <w:szCs w:val="16"/>
        </w:rPr>
      </w:pPr>
      <w:r w:rsidRPr="000828B9">
        <w:rPr>
          <w:rFonts w:ascii="Times New Roman" w:hAnsi="Times New Roman" w:cs="Times New Roman"/>
          <w:b/>
          <w:sz w:val="16"/>
          <w:szCs w:val="16"/>
        </w:rPr>
        <w:t>Corresponding Author:</w:t>
      </w:r>
    </w:p>
    <w:p w:rsidR="00A90A49" w:rsidRDefault="00A90A49" w:rsidP="00A90A49">
      <w:pPr>
        <w:pStyle w:val="ListParagraph"/>
        <w:spacing w:after="0" w:line="240" w:lineRule="auto"/>
        <w:rPr>
          <w:rFonts w:ascii="Times New Roman" w:hAnsi="Times New Roman" w:cs="Times New Roman"/>
          <w:sz w:val="16"/>
          <w:szCs w:val="16"/>
        </w:rPr>
      </w:pPr>
      <w:r w:rsidRPr="000828B9">
        <w:rPr>
          <w:rFonts w:ascii="Times New Roman" w:hAnsi="Times New Roman" w:cs="Times New Roman"/>
          <w:sz w:val="16"/>
          <w:szCs w:val="16"/>
          <w:vertAlign w:val="superscript"/>
        </w:rPr>
        <w:t>2</w:t>
      </w:r>
      <w:r w:rsidR="006C26B5">
        <w:rPr>
          <w:rFonts w:ascii="Times New Roman" w:hAnsi="Times New Roman" w:cs="Times New Roman"/>
          <w:sz w:val="16"/>
          <w:szCs w:val="16"/>
        </w:rPr>
        <w:t xml:space="preserve">Moirangthem </w:t>
      </w:r>
      <w:r w:rsidRPr="000828B9">
        <w:rPr>
          <w:rFonts w:ascii="Times New Roman" w:hAnsi="Times New Roman" w:cs="Times New Roman"/>
          <w:sz w:val="16"/>
          <w:szCs w:val="16"/>
        </w:rPr>
        <w:t>Bapin Kumar, Associate Professor, Dept</w:t>
      </w:r>
      <w:r w:rsidR="007025FE">
        <w:rPr>
          <w:rFonts w:ascii="Times New Roman" w:hAnsi="Times New Roman" w:cs="Times New Roman"/>
          <w:sz w:val="16"/>
          <w:szCs w:val="16"/>
        </w:rPr>
        <w:t>. of Forensic Medicine, JNIMS, I</w:t>
      </w:r>
      <w:r w:rsidRPr="000828B9">
        <w:rPr>
          <w:rFonts w:ascii="Times New Roman" w:hAnsi="Times New Roman" w:cs="Times New Roman"/>
          <w:sz w:val="16"/>
          <w:szCs w:val="16"/>
        </w:rPr>
        <w:t>mphal.</w:t>
      </w:r>
      <w:r>
        <w:rPr>
          <w:rFonts w:ascii="Times New Roman" w:hAnsi="Times New Roman" w:cs="Times New Roman"/>
          <w:sz w:val="16"/>
          <w:szCs w:val="16"/>
        </w:rPr>
        <w:t xml:space="preserve"> Ph.no.</w:t>
      </w:r>
      <w:r w:rsidR="007025FE">
        <w:rPr>
          <w:rFonts w:ascii="Times New Roman" w:hAnsi="Times New Roman" w:cs="Times New Roman"/>
          <w:sz w:val="16"/>
          <w:szCs w:val="16"/>
        </w:rPr>
        <w:t xml:space="preserve"> </w:t>
      </w:r>
      <w:r>
        <w:rPr>
          <w:rFonts w:ascii="Times New Roman" w:hAnsi="Times New Roman" w:cs="Times New Roman"/>
          <w:sz w:val="16"/>
          <w:szCs w:val="16"/>
        </w:rPr>
        <w:t xml:space="preserve"> 9612184554. </w:t>
      </w:r>
    </w:p>
    <w:p w:rsidR="00A90A49" w:rsidRPr="000828B9" w:rsidRDefault="00A90A49" w:rsidP="00A90A49">
      <w:pPr>
        <w:pStyle w:val="ListParagraph"/>
        <w:spacing w:after="0" w:line="240" w:lineRule="auto"/>
        <w:rPr>
          <w:rFonts w:ascii="Times New Roman" w:hAnsi="Times New Roman" w:cs="Times New Roman"/>
          <w:sz w:val="16"/>
          <w:szCs w:val="16"/>
        </w:rPr>
      </w:pPr>
      <w:r w:rsidRPr="000828B9">
        <w:rPr>
          <w:rFonts w:ascii="Times New Roman" w:hAnsi="Times New Roman" w:cs="Times New Roman"/>
          <w:sz w:val="16"/>
          <w:szCs w:val="16"/>
        </w:rPr>
        <w:t xml:space="preserve"> Email: </w:t>
      </w:r>
      <w:hyperlink r:id="rId8" w:history="1">
        <w:r w:rsidRPr="000828B9">
          <w:rPr>
            <w:rStyle w:val="Hyperlink"/>
            <w:rFonts w:ascii="Times New Roman" w:hAnsi="Times New Roman" w:cs="Times New Roman"/>
          </w:rPr>
          <w:t>baps1971nao@gmail.com</w:t>
        </w:r>
      </w:hyperlink>
    </w:p>
    <w:p w:rsidR="00A90A49" w:rsidRPr="00877715" w:rsidRDefault="00A90A49" w:rsidP="00A90A49">
      <w:pPr>
        <w:pStyle w:val="ListParagraph"/>
        <w:spacing w:after="0" w:line="240" w:lineRule="auto"/>
        <w:rPr>
          <w:rFonts w:ascii="Times New Roman" w:hAnsi="Times New Roman" w:cs="Times New Roman"/>
          <w:sz w:val="24"/>
          <w:szCs w:val="24"/>
        </w:rPr>
      </w:pPr>
    </w:p>
    <w:p w:rsidR="00A90A49" w:rsidRPr="00877715" w:rsidRDefault="00F3704C" w:rsidP="00A90A49">
      <w:pPr>
        <w:spacing w:after="0" w:line="240" w:lineRule="auto"/>
        <w:rPr>
          <w:rFonts w:ascii="Times New Roman" w:hAnsi="Times New Roman" w:cs="Times New Roman"/>
          <w:b/>
          <w:sz w:val="28"/>
          <w:szCs w:val="28"/>
        </w:rPr>
      </w:pPr>
      <w:r w:rsidRPr="001464DA">
        <w:rPr>
          <w:rFonts w:ascii="Times New Roman" w:hAnsi="Times New Roman" w:cs="Times New Roman"/>
          <w:b/>
          <w:sz w:val="28"/>
          <w:szCs w:val="28"/>
        </w:rPr>
        <w:t>ABSTRACT</w:t>
      </w:r>
      <w:r w:rsidRPr="00877715">
        <w:rPr>
          <w:rFonts w:ascii="Times New Roman" w:hAnsi="Times New Roman" w:cs="Times New Roman"/>
          <w:b/>
          <w:sz w:val="28"/>
          <w:szCs w:val="28"/>
        </w:rPr>
        <w:t xml:space="preserve">: </w:t>
      </w:r>
    </w:p>
    <w:p w:rsidR="00A90A49" w:rsidRPr="00791E96" w:rsidRDefault="00A90A49" w:rsidP="00A90A49">
      <w:pPr>
        <w:spacing w:after="0" w:line="240" w:lineRule="auto"/>
        <w:jc w:val="both"/>
        <w:rPr>
          <w:rFonts w:ascii="Times New Roman" w:hAnsi="Times New Roman" w:cs="Times New Roman"/>
          <w:sz w:val="20"/>
          <w:szCs w:val="20"/>
        </w:rPr>
      </w:pPr>
      <w:r w:rsidRPr="00877715">
        <w:rPr>
          <w:rFonts w:ascii="Times New Roman" w:hAnsi="Times New Roman" w:cs="Times New Roman"/>
          <w:b/>
          <w:sz w:val="20"/>
          <w:szCs w:val="20"/>
        </w:rPr>
        <w:t>Background:</w:t>
      </w:r>
      <w:r>
        <w:rPr>
          <w:rFonts w:ascii="Times New Roman" w:hAnsi="Times New Roman" w:cs="Times New Roman"/>
          <w:sz w:val="20"/>
          <w:szCs w:val="20"/>
        </w:rPr>
        <w:t xml:space="preserve"> Violent asphyxia</w:t>
      </w:r>
      <w:r w:rsidR="00B0634B">
        <w:rPr>
          <w:rFonts w:ascii="Times New Roman" w:hAnsi="Times New Roman" w:cs="Times New Roman"/>
          <w:sz w:val="20"/>
          <w:szCs w:val="20"/>
        </w:rPr>
        <w:t>l</w:t>
      </w:r>
      <w:r>
        <w:rPr>
          <w:rFonts w:ascii="Times New Roman" w:hAnsi="Times New Roman" w:cs="Times New Roman"/>
          <w:sz w:val="20"/>
          <w:szCs w:val="20"/>
        </w:rPr>
        <w:t xml:space="preserve"> death is a common incident in forensic practices and is </w:t>
      </w:r>
      <w:r w:rsidR="00273D92">
        <w:rPr>
          <w:rFonts w:ascii="Times New Roman" w:hAnsi="Times New Roman" w:cs="Times New Roman"/>
          <w:sz w:val="20"/>
          <w:szCs w:val="20"/>
        </w:rPr>
        <w:t>in</w:t>
      </w:r>
      <w:r>
        <w:rPr>
          <w:rFonts w:ascii="Times New Roman" w:hAnsi="Times New Roman" w:cs="Times New Roman"/>
          <w:sz w:val="20"/>
          <w:szCs w:val="20"/>
        </w:rPr>
        <w:t>creasing day</w:t>
      </w:r>
      <w:r w:rsidR="000E3F0C">
        <w:rPr>
          <w:rFonts w:ascii="Times New Roman" w:hAnsi="Times New Roman" w:cs="Times New Roman"/>
          <w:sz w:val="20"/>
          <w:szCs w:val="20"/>
        </w:rPr>
        <w:t xml:space="preserve"> by day.</w:t>
      </w:r>
    </w:p>
    <w:p w:rsidR="00A90A49" w:rsidRPr="004840F0" w:rsidRDefault="00A90A49" w:rsidP="00A90A49">
      <w:pPr>
        <w:spacing w:after="0" w:line="240" w:lineRule="auto"/>
        <w:jc w:val="both"/>
        <w:rPr>
          <w:rFonts w:ascii="Times New Roman" w:hAnsi="Times New Roman" w:cs="Times New Roman"/>
          <w:sz w:val="20"/>
          <w:szCs w:val="20"/>
        </w:rPr>
      </w:pPr>
      <w:r w:rsidRPr="00877715">
        <w:rPr>
          <w:rFonts w:ascii="Times New Roman" w:hAnsi="Times New Roman" w:cs="Times New Roman"/>
          <w:b/>
          <w:sz w:val="20"/>
          <w:szCs w:val="20"/>
        </w:rPr>
        <w:t>M</w:t>
      </w:r>
      <w:r>
        <w:rPr>
          <w:rFonts w:ascii="Times New Roman" w:hAnsi="Times New Roman" w:cs="Times New Roman"/>
          <w:b/>
          <w:sz w:val="20"/>
          <w:szCs w:val="20"/>
        </w:rPr>
        <w:t xml:space="preserve">aterial and Methods: </w:t>
      </w:r>
      <w:r w:rsidRPr="004C5608">
        <w:rPr>
          <w:rFonts w:ascii="Times New Roman" w:hAnsi="Times New Roman" w:cs="Times New Roman"/>
          <w:sz w:val="20"/>
          <w:szCs w:val="20"/>
        </w:rPr>
        <w:t>A Retrospective study of viol</w:t>
      </w:r>
      <w:r>
        <w:rPr>
          <w:rFonts w:ascii="Times New Roman" w:hAnsi="Times New Roman" w:cs="Times New Roman"/>
          <w:sz w:val="20"/>
          <w:szCs w:val="20"/>
        </w:rPr>
        <w:t>ent asphyxia</w:t>
      </w:r>
      <w:r w:rsidR="00CD5797">
        <w:rPr>
          <w:rFonts w:ascii="Times New Roman" w:hAnsi="Times New Roman" w:cs="Times New Roman"/>
          <w:sz w:val="20"/>
          <w:szCs w:val="20"/>
        </w:rPr>
        <w:t>l</w:t>
      </w:r>
      <w:r>
        <w:rPr>
          <w:rFonts w:ascii="Times New Roman" w:hAnsi="Times New Roman" w:cs="Times New Roman"/>
          <w:sz w:val="20"/>
          <w:szCs w:val="20"/>
        </w:rPr>
        <w:t xml:space="preserve"> deaths (116 cases)</w:t>
      </w:r>
      <w:r w:rsidR="000E3F0C">
        <w:rPr>
          <w:rFonts w:ascii="Times New Roman" w:hAnsi="Times New Roman" w:cs="Times New Roman"/>
          <w:sz w:val="20"/>
          <w:szCs w:val="20"/>
        </w:rPr>
        <w:t xml:space="preserve"> </w:t>
      </w:r>
      <w:r w:rsidR="008A1CEA">
        <w:rPr>
          <w:rFonts w:ascii="Times New Roman" w:hAnsi="Times New Roman" w:cs="Times New Roman"/>
          <w:sz w:val="20"/>
          <w:szCs w:val="20"/>
        </w:rPr>
        <w:t>is</w:t>
      </w:r>
      <w:r w:rsidR="004840F0">
        <w:rPr>
          <w:rFonts w:ascii="Times New Roman" w:hAnsi="Times New Roman" w:cs="Times New Roman"/>
          <w:sz w:val="20"/>
          <w:szCs w:val="20"/>
        </w:rPr>
        <w:t xml:space="preserve"> done </w:t>
      </w:r>
      <w:r w:rsidR="000E3F0C">
        <w:rPr>
          <w:rFonts w:ascii="Times New Roman" w:hAnsi="Times New Roman" w:cs="Times New Roman"/>
          <w:sz w:val="20"/>
          <w:szCs w:val="20"/>
        </w:rPr>
        <w:t>for 4years</w:t>
      </w:r>
      <w:r w:rsidR="004840F0">
        <w:rPr>
          <w:rFonts w:ascii="Times New Roman" w:hAnsi="Times New Roman" w:cs="Times New Roman"/>
          <w:sz w:val="20"/>
          <w:szCs w:val="20"/>
        </w:rPr>
        <w:t xml:space="preserve"> brought to </w:t>
      </w:r>
      <w:r w:rsidR="000E3F0C">
        <w:rPr>
          <w:rFonts w:ascii="Times New Roman" w:hAnsi="Times New Roman" w:cs="Times New Roman"/>
          <w:sz w:val="20"/>
          <w:szCs w:val="20"/>
        </w:rPr>
        <w:t xml:space="preserve">the </w:t>
      </w:r>
      <w:r>
        <w:rPr>
          <w:rFonts w:ascii="Times New Roman" w:hAnsi="Times New Roman" w:cs="Times New Roman"/>
          <w:sz w:val="20"/>
          <w:szCs w:val="20"/>
        </w:rPr>
        <w:t>Mortuary of JNIMS, Imphal, Manipur</w:t>
      </w:r>
      <w:r w:rsidR="004840F0">
        <w:rPr>
          <w:rFonts w:ascii="Times New Roman" w:hAnsi="Times New Roman" w:cs="Times New Roman"/>
          <w:sz w:val="20"/>
          <w:szCs w:val="20"/>
        </w:rPr>
        <w:t>,</w:t>
      </w:r>
      <w:r>
        <w:rPr>
          <w:rFonts w:ascii="Times New Roman" w:hAnsi="Times New Roman" w:cs="Times New Roman"/>
          <w:sz w:val="20"/>
          <w:szCs w:val="20"/>
        </w:rPr>
        <w:t xml:space="preserve"> during the period of January 2014 to December 2017.</w:t>
      </w:r>
    </w:p>
    <w:p w:rsidR="00A90A49" w:rsidRDefault="00A90A49" w:rsidP="00A90A49">
      <w:pPr>
        <w:spacing w:after="0" w:line="240" w:lineRule="auto"/>
        <w:jc w:val="both"/>
        <w:rPr>
          <w:rFonts w:ascii="Times New Roman" w:hAnsi="Times New Roman" w:cs="Times New Roman"/>
          <w:sz w:val="20"/>
          <w:szCs w:val="20"/>
        </w:rPr>
      </w:pPr>
      <w:r w:rsidRPr="00877715">
        <w:rPr>
          <w:rFonts w:ascii="Times New Roman" w:hAnsi="Times New Roman" w:cs="Times New Roman"/>
          <w:b/>
          <w:sz w:val="20"/>
          <w:szCs w:val="20"/>
        </w:rPr>
        <w:t>Results</w:t>
      </w:r>
      <w:r w:rsidR="00B851B7">
        <w:rPr>
          <w:rFonts w:ascii="Times New Roman" w:hAnsi="Times New Roman" w:cs="Times New Roman"/>
          <w:b/>
          <w:sz w:val="20"/>
          <w:szCs w:val="20"/>
        </w:rPr>
        <w:t xml:space="preserve"> and </w:t>
      </w:r>
      <w:r w:rsidR="00B851B7" w:rsidRPr="00877715">
        <w:rPr>
          <w:rFonts w:ascii="Times New Roman" w:hAnsi="Times New Roman" w:cs="Times New Roman"/>
          <w:b/>
          <w:sz w:val="20"/>
          <w:szCs w:val="20"/>
        </w:rPr>
        <w:t>Conclusion</w:t>
      </w:r>
      <w:r w:rsidRPr="00877715">
        <w:rPr>
          <w:rFonts w:ascii="Times New Roman" w:hAnsi="Times New Roman" w:cs="Times New Roman"/>
          <w:b/>
          <w:sz w:val="20"/>
          <w:szCs w:val="20"/>
        </w:rPr>
        <w:t xml:space="preserve">: </w:t>
      </w:r>
      <w:r>
        <w:rPr>
          <w:rFonts w:ascii="Times New Roman" w:hAnsi="Times New Roman" w:cs="Times New Roman"/>
          <w:sz w:val="20"/>
          <w:szCs w:val="20"/>
        </w:rPr>
        <w:t>Incidenc</w:t>
      </w:r>
      <w:r w:rsidR="008A1CEA">
        <w:rPr>
          <w:rFonts w:ascii="Times New Roman" w:hAnsi="Times New Roman" w:cs="Times New Roman"/>
          <w:sz w:val="20"/>
          <w:szCs w:val="20"/>
        </w:rPr>
        <w:t>e of violent asphyxial deaths was</w:t>
      </w:r>
      <w:r>
        <w:rPr>
          <w:rFonts w:ascii="Times New Roman" w:hAnsi="Times New Roman" w:cs="Times New Roman"/>
          <w:sz w:val="20"/>
          <w:szCs w:val="20"/>
        </w:rPr>
        <w:t xml:space="preserve"> 14.44% of total autopsies</w:t>
      </w:r>
      <w:r w:rsidR="0034458F">
        <w:rPr>
          <w:rFonts w:ascii="Times New Roman" w:hAnsi="Times New Roman" w:cs="Times New Roman"/>
          <w:sz w:val="20"/>
          <w:szCs w:val="20"/>
        </w:rPr>
        <w:t>. Hanging is the most commonly encountered violent asphyxial</w:t>
      </w:r>
      <w:r w:rsidR="00B851B7">
        <w:rPr>
          <w:rFonts w:ascii="Times New Roman" w:hAnsi="Times New Roman" w:cs="Times New Roman"/>
          <w:sz w:val="20"/>
          <w:szCs w:val="20"/>
        </w:rPr>
        <w:t xml:space="preserve"> death followed by drowning.</w:t>
      </w:r>
      <w:r w:rsidR="0034458F">
        <w:rPr>
          <w:rFonts w:ascii="Times New Roman" w:hAnsi="Times New Roman" w:cs="Times New Roman"/>
          <w:sz w:val="20"/>
          <w:szCs w:val="20"/>
        </w:rPr>
        <w:t xml:space="preserve"> The highest incidence was in the age group of 20-30 years</w:t>
      </w:r>
      <w:r w:rsidR="005624B3">
        <w:rPr>
          <w:rFonts w:ascii="Times New Roman" w:hAnsi="Times New Roman" w:cs="Times New Roman"/>
          <w:sz w:val="20"/>
          <w:szCs w:val="20"/>
        </w:rPr>
        <w:t xml:space="preserve"> </w:t>
      </w:r>
      <w:r w:rsidR="00C043A7" w:rsidRPr="002944F8">
        <w:rPr>
          <w:rFonts w:ascii="Times New Roman" w:hAnsi="Times New Roman" w:cs="Times New Roman"/>
          <w:sz w:val="20"/>
          <w:szCs w:val="20"/>
        </w:rPr>
        <w:t>(31.89%) followed by</w:t>
      </w:r>
      <w:r w:rsidR="008A1CEA">
        <w:rPr>
          <w:rFonts w:ascii="Times New Roman" w:hAnsi="Times New Roman" w:cs="Times New Roman"/>
          <w:sz w:val="20"/>
          <w:szCs w:val="20"/>
        </w:rPr>
        <w:t xml:space="preserve"> </w:t>
      </w:r>
      <w:r w:rsidR="00F25DB7">
        <w:rPr>
          <w:rFonts w:ascii="Times New Roman" w:hAnsi="Times New Roman" w:cs="Times New Roman"/>
          <w:sz w:val="20"/>
          <w:szCs w:val="20"/>
        </w:rPr>
        <w:t xml:space="preserve">10-20 years </w:t>
      </w:r>
      <w:r w:rsidR="00B95C9A">
        <w:rPr>
          <w:rFonts w:ascii="Times New Roman" w:hAnsi="Times New Roman" w:cs="Times New Roman"/>
          <w:sz w:val="20"/>
          <w:szCs w:val="20"/>
        </w:rPr>
        <w:t>(25.86%)</w:t>
      </w:r>
      <w:r w:rsidR="00C043A7">
        <w:rPr>
          <w:rFonts w:ascii="Times New Roman" w:hAnsi="Times New Roman" w:cs="Times New Roman"/>
          <w:sz w:val="20"/>
          <w:szCs w:val="20"/>
        </w:rPr>
        <w:t>.</w:t>
      </w:r>
      <w:r w:rsidR="001C74E0" w:rsidRPr="001C74E0">
        <w:rPr>
          <w:rFonts w:ascii="Times New Roman" w:hAnsi="Times New Roman" w:cs="Times New Roman"/>
          <w:sz w:val="20"/>
          <w:szCs w:val="20"/>
        </w:rPr>
        <w:t xml:space="preserve"> </w:t>
      </w:r>
      <w:r w:rsidR="001C74E0">
        <w:rPr>
          <w:rFonts w:ascii="Times New Roman" w:hAnsi="Times New Roman" w:cs="Times New Roman"/>
          <w:sz w:val="20"/>
          <w:szCs w:val="20"/>
        </w:rPr>
        <w:t>M</w:t>
      </w:r>
      <w:r w:rsidR="001C74E0" w:rsidRPr="002944F8">
        <w:rPr>
          <w:rFonts w:ascii="Times New Roman" w:hAnsi="Times New Roman" w:cs="Times New Roman"/>
          <w:sz w:val="20"/>
          <w:szCs w:val="20"/>
        </w:rPr>
        <w:t>ales constitute (58.62%)</w:t>
      </w:r>
      <w:r w:rsidR="001C74E0">
        <w:rPr>
          <w:rFonts w:ascii="Times New Roman" w:hAnsi="Times New Roman" w:cs="Times New Roman"/>
          <w:sz w:val="20"/>
          <w:szCs w:val="20"/>
        </w:rPr>
        <w:t xml:space="preserve"> of the total cases.</w:t>
      </w:r>
      <w:r w:rsidR="009B397A">
        <w:rPr>
          <w:rFonts w:ascii="Times New Roman" w:hAnsi="Times New Roman" w:cs="Times New Roman"/>
          <w:sz w:val="20"/>
          <w:szCs w:val="20"/>
        </w:rPr>
        <w:t xml:space="preserve"> </w:t>
      </w:r>
      <w:r w:rsidR="00196820">
        <w:rPr>
          <w:rFonts w:ascii="Times New Roman" w:hAnsi="Times New Roman" w:cs="Times New Roman"/>
          <w:sz w:val="20"/>
          <w:szCs w:val="20"/>
        </w:rPr>
        <w:t>Suicidal death</w:t>
      </w:r>
      <w:r w:rsidR="00B851B7">
        <w:rPr>
          <w:rFonts w:ascii="Times New Roman" w:hAnsi="Times New Roman" w:cs="Times New Roman"/>
          <w:sz w:val="20"/>
          <w:szCs w:val="20"/>
        </w:rPr>
        <w:t xml:space="preserve"> was the most common manner of death.</w:t>
      </w:r>
      <w:r w:rsidR="00D77FF6">
        <w:rPr>
          <w:rFonts w:ascii="Times New Roman" w:hAnsi="Times New Roman" w:cs="Times New Roman"/>
          <w:sz w:val="20"/>
          <w:szCs w:val="20"/>
        </w:rPr>
        <w:t xml:space="preserve"> </w:t>
      </w:r>
      <w:r w:rsidR="00B851B7">
        <w:rPr>
          <w:rFonts w:ascii="Times New Roman" w:hAnsi="Times New Roman" w:cs="Times New Roman"/>
          <w:sz w:val="20"/>
          <w:szCs w:val="20"/>
        </w:rPr>
        <w:t>All cases of strangulation and smothering were homicidal.</w:t>
      </w:r>
    </w:p>
    <w:p w:rsidR="0028380B" w:rsidRPr="00A90A49" w:rsidRDefault="0028380B" w:rsidP="00A90A49">
      <w:pPr>
        <w:spacing w:after="0" w:line="240" w:lineRule="auto"/>
        <w:jc w:val="both"/>
        <w:rPr>
          <w:rFonts w:ascii="Times New Roman" w:hAnsi="Times New Roman" w:cs="Times New Roman"/>
          <w:sz w:val="20"/>
          <w:szCs w:val="20"/>
        </w:rPr>
      </w:pPr>
    </w:p>
    <w:p w:rsidR="00A90A49" w:rsidRDefault="00A90A49" w:rsidP="00A90A49">
      <w:pPr>
        <w:spacing w:after="0" w:line="240" w:lineRule="auto"/>
        <w:jc w:val="both"/>
        <w:rPr>
          <w:rFonts w:ascii="Times New Roman" w:hAnsi="Times New Roman" w:cs="Times New Roman"/>
          <w:sz w:val="20"/>
          <w:szCs w:val="20"/>
        </w:rPr>
      </w:pPr>
      <w:r w:rsidRPr="00645DB9">
        <w:rPr>
          <w:rFonts w:ascii="Times New Roman" w:hAnsi="Times New Roman" w:cs="Times New Roman"/>
          <w:b/>
          <w:sz w:val="20"/>
          <w:szCs w:val="20"/>
        </w:rPr>
        <w:t>Key words</w:t>
      </w:r>
      <w:r w:rsidRPr="00877715">
        <w:rPr>
          <w:rFonts w:ascii="Times New Roman" w:hAnsi="Times New Roman" w:cs="Times New Roman"/>
          <w:b/>
          <w:sz w:val="24"/>
          <w:szCs w:val="24"/>
        </w:rPr>
        <w:t xml:space="preserve">: </w:t>
      </w:r>
      <w:r w:rsidR="003C5F3A">
        <w:rPr>
          <w:rFonts w:ascii="Times New Roman" w:hAnsi="Times New Roman" w:cs="Times New Roman"/>
          <w:sz w:val="20"/>
          <w:szCs w:val="20"/>
        </w:rPr>
        <w:t>V</w:t>
      </w:r>
      <w:r>
        <w:rPr>
          <w:rFonts w:ascii="Times New Roman" w:hAnsi="Times New Roman" w:cs="Times New Roman"/>
          <w:sz w:val="20"/>
          <w:szCs w:val="20"/>
        </w:rPr>
        <w:t>iolent asphyxial death, hanging, drowning, strangulation, smothering</w:t>
      </w:r>
      <w:r w:rsidR="008F1C05">
        <w:rPr>
          <w:rFonts w:ascii="Times New Roman" w:hAnsi="Times New Roman" w:cs="Times New Roman"/>
          <w:sz w:val="20"/>
          <w:szCs w:val="20"/>
        </w:rPr>
        <w:t>.</w:t>
      </w:r>
    </w:p>
    <w:p w:rsidR="00A90A49" w:rsidRPr="0028380B" w:rsidRDefault="00A90A49" w:rsidP="0028380B">
      <w:pPr>
        <w:spacing w:after="0"/>
        <w:jc w:val="both"/>
        <w:rPr>
          <w:rFonts w:ascii="Times New Roman" w:hAnsi="Times New Roman" w:cs="Times New Roman"/>
          <w:b/>
          <w:sz w:val="20"/>
          <w:szCs w:val="20"/>
        </w:rPr>
      </w:pPr>
    </w:p>
    <w:p w:rsidR="00AD0AED" w:rsidRPr="008751C7" w:rsidRDefault="00F51AC6" w:rsidP="0028380B">
      <w:pPr>
        <w:spacing w:after="0"/>
        <w:jc w:val="both"/>
        <w:rPr>
          <w:rFonts w:ascii="Times New Roman" w:hAnsi="Times New Roman" w:cs="Times New Roman"/>
          <w:b/>
          <w:sz w:val="28"/>
          <w:szCs w:val="20"/>
        </w:rPr>
      </w:pPr>
      <w:r w:rsidRPr="008751C7">
        <w:rPr>
          <w:rFonts w:ascii="Times New Roman" w:hAnsi="Times New Roman" w:cs="Times New Roman"/>
          <w:b/>
          <w:sz w:val="28"/>
          <w:szCs w:val="20"/>
        </w:rPr>
        <w:t xml:space="preserve">INTRODUCTION </w:t>
      </w:r>
    </w:p>
    <w:p w:rsidR="00F51AC6" w:rsidRPr="002944F8" w:rsidRDefault="00F51AC6" w:rsidP="00DE12C0">
      <w:pPr>
        <w:spacing w:after="0"/>
        <w:jc w:val="both"/>
        <w:rPr>
          <w:rFonts w:ascii="Times New Roman" w:hAnsi="Times New Roman" w:cs="Times New Roman"/>
          <w:sz w:val="20"/>
          <w:szCs w:val="20"/>
          <w:vertAlign w:val="superscript"/>
        </w:rPr>
      </w:pPr>
      <w:r w:rsidRPr="002944F8">
        <w:rPr>
          <w:rFonts w:ascii="Times New Roman" w:hAnsi="Times New Roman" w:cs="Times New Roman"/>
          <w:sz w:val="20"/>
          <w:szCs w:val="20"/>
        </w:rPr>
        <w:t>Asphyxia may be defined as a state in which the body lacks oxygen because of some mechanical interference with the process of breathing.</w:t>
      </w:r>
      <w:r w:rsidRPr="002944F8">
        <w:rPr>
          <w:rFonts w:ascii="Times New Roman" w:hAnsi="Times New Roman" w:cs="Times New Roman"/>
          <w:sz w:val="20"/>
          <w:szCs w:val="20"/>
          <w:vertAlign w:val="superscript"/>
        </w:rPr>
        <w:t>1</w:t>
      </w:r>
    </w:p>
    <w:p w:rsidR="00F51AC6" w:rsidRPr="002944F8" w:rsidRDefault="00F51AC6" w:rsidP="002944F8">
      <w:pPr>
        <w:jc w:val="both"/>
        <w:rPr>
          <w:rFonts w:ascii="Times New Roman" w:hAnsi="Times New Roman" w:cs="Times New Roman"/>
          <w:sz w:val="20"/>
          <w:szCs w:val="20"/>
          <w:vertAlign w:val="superscript"/>
        </w:rPr>
      </w:pPr>
      <w:r w:rsidRPr="002944F8">
        <w:rPr>
          <w:rFonts w:ascii="Times New Roman" w:hAnsi="Times New Roman" w:cs="Times New Roman"/>
          <w:sz w:val="20"/>
          <w:szCs w:val="20"/>
        </w:rPr>
        <w:t>Violent asphyxia</w:t>
      </w:r>
      <w:r w:rsidR="00FF63E2">
        <w:rPr>
          <w:rFonts w:ascii="Times New Roman" w:hAnsi="Times New Roman" w:cs="Times New Roman"/>
          <w:sz w:val="20"/>
          <w:szCs w:val="20"/>
        </w:rPr>
        <w:t>l</w:t>
      </w:r>
      <w:r w:rsidRPr="002944F8">
        <w:rPr>
          <w:rFonts w:ascii="Times New Roman" w:hAnsi="Times New Roman" w:cs="Times New Roman"/>
          <w:sz w:val="20"/>
          <w:szCs w:val="20"/>
        </w:rPr>
        <w:t xml:space="preserve"> d</w:t>
      </w:r>
      <w:r w:rsidR="00DB7771">
        <w:rPr>
          <w:rFonts w:ascii="Times New Roman" w:hAnsi="Times New Roman" w:cs="Times New Roman"/>
          <w:sz w:val="20"/>
          <w:szCs w:val="20"/>
        </w:rPr>
        <w:t>eaths include hanging,</w:t>
      </w:r>
      <w:r w:rsidRPr="002944F8">
        <w:rPr>
          <w:rFonts w:ascii="Times New Roman" w:hAnsi="Times New Roman" w:cs="Times New Roman"/>
          <w:sz w:val="20"/>
          <w:szCs w:val="20"/>
        </w:rPr>
        <w:t xml:space="preserve"> strangulation, smothering, traumatic asphyxia, suffoca</w:t>
      </w:r>
      <w:r w:rsidR="00822706">
        <w:rPr>
          <w:rFonts w:ascii="Times New Roman" w:hAnsi="Times New Roman" w:cs="Times New Roman"/>
          <w:sz w:val="20"/>
          <w:szCs w:val="20"/>
        </w:rPr>
        <w:t>tion, choking and drowning. H</w:t>
      </w:r>
      <w:r w:rsidR="003C5F3A">
        <w:rPr>
          <w:rFonts w:ascii="Times New Roman" w:hAnsi="Times New Roman" w:cs="Times New Roman"/>
          <w:sz w:val="20"/>
          <w:szCs w:val="20"/>
        </w:rPr>
        <w:t>anging is</w:t>
      </w:r>
      <w:r w:rsidR="000E3A97" w:rsidRPr="002944F8">
        <w:rPr>
          <w:rFonts w:ascii="Times New Roman" w:hAnsi="Times New Roman" w:cs="Times New Roman"/>
          <w:sz w:val="20"/>
          <w:szCs w:val="20"/>
        </w:rPr>
        <w:t xml:space="preserve"> commonly seen in suicidal cases while st</w:t>
      </w:r>
      <w:r w:rsidR="00DB7771">
        <w:rPr>
          <w:rFonts w:ascii="Times New Roman" w:hAnsi="Times New Roman" w:cs="Times New Roman"/>
          <w:sz w:val="20"/>
          <w:szCs w:val="20"/>
        </w:rPr>
        <w:t>rangulation</w:t>
      </w:r>
      <w:r w:rsidR="000E3A97" w:rsidRPr="002944F8">
        <w:rPr>
          <w:rFonts w:ascii="Times New Roman" w:hAnsi="Times New Roman" w:cs="Times New Roman"/>
          <w:sz w:val="20"/>
          <w:szCs w:val="20"/>
        </w:rPr>
        <w:t xml:space="preserve"> is usually homicidal.</w:t>
      </w:r>
      <w:r w:rsidR="000E3A97" w:rsidRPr="002944F8">
        <w:rPr>
          <w:rFonts w:ascii="Times New Roman" w:hAnsi="Times New Roman" w:cs="Times New Roman"/>
          <w:sz w:val="20"/>
          <w:szCs w:val="20"/>
          <w:vertAlign w:val="superscript"/>
        </w:rPr>
        <w:t>2</w:t>
      </w:r>
      <w:r w:rsidR="0098386D" w:rsidRPr="002944F8">
        <w:rPr>
          <w:rFonts w:ascii="Times New Roman" w:hAnsi="Times New Roman" w:cs="Times New Roman"/>
          <w:sz w:val="20"/>
          <w:szCs w:val="20"/>
          <w:vertAlign w:val="superscript"/>
        </w:rPr>
        <w:t xml:space="preserve"> </w:t>
      </w:r>
      <w:r w:rsidR="003C5F3A">
        <w:rPr>
          <w:rFonts w:ascii="Times New Roman" w:hAnsi="Times New Roman" w:cs="Times New Roman"/>
          <w:sz w:val="20"/>
          <w:szCs w:val="20"/>
        </w:rPr>
        <w:t xml:space="preserve"> A</w:t>
      </w:r>
      <w:r w:rsidR="0098386D" w:rsidRPr="002944F8">
        <w:rPr>
          <w:rFonts w:ascii="Times New Roman" w:hAnsi="Times New Roman" w:cs="Times New Roman"/>
          <w:sz w:val="20"/>
          <w:szCs w:val="20"/>
        </w:rPr>
        <w:t>ccidental hanging can occur among children during playing or in toddlers by sli</w:t>
      </w:r>
      <w:r w:rsidR="00180B62">
        <w:rPr>
          <w:rFonts w:ascii="Times New Roman" w:hAnsi="Times New Roman" w:cs="Times New Roman"/>
          <w:sz w:val="20"/>
          <w:szCs w:val="20"/>
        </w:rPr>
        <w:t xml:space="preserve">pping of restraining straps, or </w:t>
      </w:r>
      <w:r w:rsidR="0098386D" w:rsidRPr="002944F8">
        <w:rPr>
          <w:rFonts w:ascii="Times New Roman" w:hAnsi="Times New Roman" w:cs="Times New Roman"/>
          <w:sz w:val="20"/>
          <w:szCs w:val="20"/>
        </w:rPr>
        <w:t>among athletes who are in habit of  exhibiting hanging, or in persons with masochistic or transvestic tendency.</w:t>
      </w:r>
      <w:r w:rsidR="00FB77F8" w:rsidRPr="002944F8">
        <w:rPr>
          <w:rFonts w:ascii="Times New Roman" w:hAnsi="Times New Roman" w:cs="Times New Roman"/>
          <w:sz w:val="20"/>
          <w:szCs w:val="20"/>
          <w:vertAlign w:val="superscript"/>
        </w:rPr>
        <w:t>3</w:t>
      </w:r>
    </w:p>
    <w:p w:rsidR="00FB77F8" w:rsidRPr="008751C7" w:rsidRDefault="00FB77F8" w:rsidP="002944F8">
      <w:pPr>
        <w:jc w:val="both"/>
        <w:rPr>
          <w:rFonts w:ascii="Times New Roman" w:hAnsi="Times New Roman" w:cs="Times New Roman"/>
          <w:sz w:val="20"/>
          <w:szCs w:val="20"/>
          <w:vertAlign w:val="superscript"/>
        </w:rPr>
      </w:pPr>
      <w:r w:rsidRPr="002944F8">
        <w:rPr>
          <w:rFonts w:ascii="Times New Roman" w:hAnsi="Times New Roman" w:cs="Times New Roman"/>
          <w:sz w:val="20"/>
          <w:szCs w:val="20"/>
        </w:rPr>
        <w:t>With the increase in crime, the count and variety of medico</w:t>
      </w:r>
      <w:r w:rsidR="00180B62">
        <w:rPr>
          <w:rFonts w:ascii="Times New Roman" w:hAnsi="Times New Roman" w:cs="Times New Roman"/>
          <w:sz w:val="20"/>
          <w:szCs w:val="20"/>
        </w:rPr>
        <w:t>-</w:t>
      </w:r>
      <w:r w:rsidRPr="002944F8">
        <w:rPr>
          <w:rFonts w:ascii="Times New Roman" w:hAnsi="Times New Roman" w:cs="Times New Roman"/>
          <w:sz w:val="20"/>
          <w:szCs w:val="20"/>
        </w:rPr>
        <w:t>legal deaths has increased tremendously in the recent years. Due to population explosion, poverty and increasing stress and strain in our daily life, we frequently come across cases of suicides, homicides and accidents. With urbanization, rural areas are not left aloof and this can be seen from the increasing incidence of such cases from these areas.</w:t>
      </w:r>
      <w:r w:rsidRPr="002944F8">
        <w:rPr>
          <w:rFonts w:ascii="Times New Roman" w:hAnsi="Times New Roman" w:cs="Times New Roman"/>
          <w:sz w:val="20"/>
          <w:szCs w:val="20"/>
          <w:vertAlign w:val="superscript"/>
        </w:rPr>
        <w:t>4</w:t>
      </w:r>
    </w:p>
    <w:p w:rsidR="00117B0E" w:rsidRPr="000A0E57" w:rsidRDefault="00473055" w:rsidP="002944F8">
      <w:pPr>
        <w:jc w:val="both"/>
        <w:rPr>
          <w:rFonts w:ascii="Times New Roman" w:hAnsi="Times New Roman" w:cs="Times New Roman"/>
          <w:sz w:val="20"/>
          <w:szCs w:val="20"/>
        </w:rPr>
      </w:pPr>
      <w:r w:rsidRPr="002944F8">
        <w:rPr>
          <w:rFonts w:ascii="Times New Roman" w:hAnsi="Times New Roman" w:cs="Times New Roman"/>
          <w:sz w:val="20"/>
          <w:szCs w:val="20"/>
        </w:rPr>
        <w:t xml:space="preserve">It </w:t>
      </w:r>
      <w:r w:rsidR="00533F22" w:rsidRPr="002944F8">
        <w:rPr>
          <w:rFonts w:ascii="Times New Roman" w:hAnsi="Times New Roman" w:cs="Times New Roman"/>
          <w:sz w:val="20"/>
          <w:szCs w:val="20"/>
        </w:rPr>
        <w:t xml:space="preserve">has been observed </w:t>
      </w:r>
      <w:r w:rsidRPr="002944F8">
        <w:rPr>
          <w:rFonts w:ascii="Times New Roman" w:hAnsi="Times New Roman" w:cs="Times New Roman"/>
          <w:sz w:val="20"/>
          <w:szCs w:val="20"/>
        </w:rPr>
        <w:t xml:space="preserve">that the </w:t>
      </w:r>
      <w:r w:rsidR="00533F22" w:rsidRPr="002944F8">
        <w:rPr>
          <w:rFonts w:ascii="Times New Roman" w:hAnsi="Times New Roman" w:cs="Times New Roman"/>
          <w:sz w:val="20"/>
          <w:szCs w:val="20"/>
        </w:rPr>
        <w:t xml:space="preserve">cases </w:t>
      </w:r>
      <w:r w:rsidRPr="002944F8">
        <w:rPr>
          <w:rFonts w:ascii="Times New Roman" w:hAnsi="Times New Roman" w:cs="Times New Roman"/>
          <w:sz w:val="20"/>
          <w:szCs w:val="20"/>
        </w:rPr>
        <w:t>of asphyxia</w:t>
      </w:r>
      <w:r w:rsidR="00533F22" w:rsidRPr="002944F8">
        <w:rPr>
          <w:rFonts w:ascii="Times New Roman" w:hAnsi="Times New Roman" w:cs="Times New Roman"/>
          <w:sz w:val="20"/>
          <w:szCs w:val="20"/>
        </w:rPr>
        <w:t>l</w:t>
      </w:r>
      <w:r w:rsidRPr="002944F8">
        <w:rPr>
          <w:rFonts w:ascii="Times New Roman" w:hAnsi="Times New Roman" w:cs="Times New Roman"/>
          <w:sz w:val="20"/>
          <w:szCs w:val="20"/>
        </w:rPr>
        <w:t xml:space="preserve"> deaths </w:t>
      </w:r>
      <w:r w:rsidR="00533F22" w:rsidRPr="002944F8">
        <w:rPr>
          <w:rFonts w:ascii="Times New Roman" w:hAnsi="Times New Roman" w:cs="Times New Roman"/>
          <w:sz w:val="20"/>
          <w:szCs w:val="20"/>
        </w:rPr>
        <w:t>are occurring in huge number in our state. It is becoming more common in the middle age group.</w:t>
      </w:r>
    </w:p>
    <w:p w:rsidR="0098386D" w:rsidRPr="008751C7" w:rsidRDefault="0098386D" w:rsidP="00DE12C0">
      <w:pPr>
        <w:spacing w:after="0"/>
        <w:jc w:val="both"/>
        <w:rPr>
          <w:rFonts w:ascii="Times New Roman" w:hAnsi="Times New Roman" w:cs="Times New Roman"/>
          <w:b/>
          <w:sz w:val="28"/>
          <w:szCs w:val="28"/>
        </w:rPr>
      </w:pPr>
      <w:r w:rsidRPr="008751C7">
        <w:rPr>
          <w:rFonts w:ascii="Times New Roman" w:hAnsi="Times New Roman" w:cs="Times New Roman"/>
          <w:b/>
          <w:sz w:val="28"/>
          <w:szCs w:val="28"/>
        </w:rPr>
        <w:t>MATERIAL AND METHOD</w:t>
      </w:r>
      <w:r w:rsidR="00261C07">
        <w:rPr>
          <w:rFonts w:ascii="Times New Roman" w:hAnsi="Times New Roman" w:cs="Times New Roman"/>
          <w:b/>
          <w:sz w:val="28"/>
          <w:szCs w:val="28"/>
        </w:rPr>
        <w:t>S</w:t>
      </w:r>
      <w:r w:rsidR="00117B0E" w:rsidRPr="008751C7">
        <w:rPr>
          <w:rFonts w:ascii="Times New Roman" w:hAnsi="Times New Roman" w:cs="Times New Roman"/>
          <w:b/>
          <w:sz w:val="28"/>
          <w:szCs w:val="28"/>
        </w:rPr>
        <w:t>:</w:t>
      </w:r>
    </w:p>
    <w:p w:rsidR="00117B0E" w:rsidRDefault="00117B0E" w:rsidP="00DE12C0">
      <w:pPr>
        <w:spacing w:after="0"/>
        <w:jc w:val="both"/>
        <w:rPr>
          <w:rFonts w:ascii="Times New Roman" w:hAnsi="Times New Roman" w:cs="Times New Roman"/>
          <w:sz w:val="20"/>
          <w:szCs w:val="20"/>
        </w:rPr>
      </w:pPr>
      <w:r w:rsidRPr="002944F8">
        <w:rPr>
          <w:rFonts w:ascii="Times New Roman" w:hAnsi="Times New Roman" w:cs="Times New Roman"/>
          <w:sz w:val="20"/>
          <w:szCs w:val="20"/>
        </w:rPr>
        <w:t>The post-mortem report of 116 cases of violent asphyxia</w:t>
      </w:r>
      <w:r w:rsidR="003A5B1D" w:rsidRPr="002944F8">
        <w:rPr>
          <w:rFonts w:ascii="Times New Roman" w:hAnsi="Times New Roman" w:cs="Times New Roman"/>
          <w:sz w:val="20"/>
          <w:szCs w:val="20"/>
        </w:rPr>
        <w:t>l</w:t>
      </w:r>
      <w:r w:rsidRPr="002944F8">
        <w:rPr>
          <w:rFonts w:ascii="Times New Roman" w:hAnsi="Times New Roman" w:cs="Times New Roman"/>
          <w:sz w:val="20"/>
          <w:szCs w:val="20"/>
        </w:rPr>
        <w:t xml:space="preserve"> deaths which were examined in the </w:t>
      </w:r>
      <w:r w:rsidR="00853E6A" w:rsidRPr="002944F8">
        <w:rPr>
          <w:rFonts w:ascii="Times New Roman" w:hAnsi="Times New Roman" w:cs="Times New Roman"/>
          <w:sz w:val="20"/>
          <w:szCs w:val="20"/>
        </w:rPr>
        <w:t>Mortuary</w:t>
      </w:r>
      <w:r w:rsidRPr="002944F8">
        <w:rPr>
          <w:rFonts w:ascii="Times New Roman" w:hAnsi="Times New Roman" w:cs="Times New Roman"/>
          <w:sz w:val="20"/>
          <w:szCs w:val="20"/>
        </w:rPr>
        <w:t>, Jawaharlal Nehru Institute of Medical Sciences, Imphal, Manipur</w:t>
      </w:r>
      <w:r w:rsidR="002B61C8">
        <w:rPr>
          <w:rFonts w:ascii="Times New Roman" w:hAnsi="Times New Roman" w:cs="Times New Roman"/>
          <w:sz w:val="20"/>
          <w:szCs w:val="20"/>
        </w:rPr>
        <w:t>,</w:t>
      </w:r>
      <w:r w:rsidRPr="002944F8">
        <w:rPr>
          <w:rFonts w:ascii="Times New Roman" w:hAnsi="Times New Roman" w:cs="Times New Roman"/>
          <w:sz w:val="20"/>
          <w:szCs w:val="20"/>
        </w:rPr>
        <w:t xml:space="preserve"> during the years 2014-2017 were studied and analysed.</w:t>
      </w:r>
    </w:p>
    <w:p w:rsidR="00DE12C0" w:rsidRDefault="00DE12C0" w:rsidP="00DE12C0">
      <w:pPr>
        <w:spacing w:after="0"/>
        <w:jc w:val="both"/>
        <w:rPr>
          <w:rFonts w:ascii="Times New Roman" w:hAnsi="Times New Roman" w:cs="Times New Roman"/>
          <w:sz w:val="20"/>
          <w:szCs w:val="20"/>
        </w:rPr>
      </w:pPr>
    </w:p>
    <w:p w:rsidR="00D865BD" w:rsidRPr="008751C7" w:rsidRDefault="00261C07" w:rsidP="00DE12C0">
      <w:pPr>
        <w:spacing w:after="0"/>
        <w:jc w:val="both"/>
        <w:rPr>
          <w:rFonts w:ascii="Times New Roman" w:hAnsi="Times New Roman" w:cs="Times New Roman"/>
          <w:b/>
          <w:sz w:val="28"/>
          <w:szCs w:val="28"/>
        </w:rPr>
      </w:pPr>
      <w:r>
        <w:rPr>
          <w:rFonts w:ascii="Times New Roman" w:hAnsi="Times New Roman" w:cs="Times New Roman"/>
          <w:b/>
          <w:sz w:val="28"/>
          <w:szCs w:val="28"/>
        </w:rPr>
        <w:t>RESULTS</w:t>
      </w:r>
      <w:r w:rsidR="00D865BD" w:rsidRPr="008751C7">
        <w:rPr>
          <w:rFonts w:ascii="Times New Roman" w:hAnsi="Times New Roman" w:cs="Times New Roman"/>
          <w:b/>
          <w:sz w:val="28"/>
          <w:szCs w:val="28"/>
        </w:rPr>
        <w:t>:</w:t>
      </w:r>
    </w:p>
    <w:p w:rsidR="008751C7" w:rsidRDefault="00AD0AED" w:rsidP="00DE12C0">
      <w:pPr>
        <w:spacing w:after="0"/>
        <w:jc w:val="both"/>
        <w:rPr>
          <w:rFonts w:ascii="Times New Roman" w:hAnsi="Times New Roman" w:cs="Times New Roman"/>
          <w:sz w:val="20"/>
          <w:szCs w:val="20"/>
        </w:rPr>
      </w:pPr>
      <w:r w:rsidRPr="002944F8">
        <w:rPr>
          <w:rFonts w:ascii="Times New Roman" w:hAnsi="Times New Roman" w:cs="Times New Roman"/>
          <w:sz w:val="20"/>
          <w:szCs w:val="20"/>
        </w:rPr>
        <w:t>A t</w:t>
      </w:r>
      <w:r w:rsidR="005008A6" w:rsidRPr="002944F8">
        <w:rPr>
          <w:rFonts w:ascii="Times New Roman" w:hAnsi="Times New Roman" w:cs="Times New Roman"/>
          <w:sz w:val="20"/>
          <w:szCs w:val="20"/>
        </w:rPr>
        <w:t>otal</w:t>
      </w:r>
      <w:r w:rsidRPr="002944F8">
        <w:rPr>
          <w:rFonts w:ascii="Times New Roman" w:hAnsi="Times New Roman" w:cs="Times New Roman"/>
          <w:sz w:val="20"/>
          <w:szCs w:val="20"/>
        </w:rPr>
        <w:t xml:space="preserve"> of 803 </w:t>
      </w:r>
      <w:r w:rsidR="005008A6" w:rsidRPr="002944F8">
        <w:rPr>
          <w:rFonts w:ascii="Times New Roman" w:hAnsi="Times New Roman" w:cs="Times New Roman"/>
          <w:sz w:val="20"/>
          <w:szCs w:val="20"/>
        </w:rPr>
        <w:t>autopsies were conducted</w:t>
      </w:r>
      <w:r w:rsidR="00922E00">
        <w:rPr>
          <w:rFonts w:ascii="Times New Roman" w:hAnsi="Times New Roman" w:cs="Times New Roman"/>
          <w:sz w:val="20"/>
          <w:szCs w:val="20"/>
        </w:rPr>
        <w:t xml:space="preserve"> during the period</w:t>
      </w:r>
      <w:r w:rsidR="005008A6" w:rsidRPr="002944F8">
        <w:rPr>
          <w:rFonts w:ascii="Times New Roman" w:hAnsi="Times New Roman" w:cs="Times New Roman"/>
          <w:sz w:val="20"/>
          <w:szCs w:val="20"/>
        </w:rPr>
        <w:t xml:space="preserve"> in the</w:t>
      </w:r>
      <w:r w:rsidR="005154DC">
        <w:rPr>
          <w:rFonts w:ascii="Times New Roman" w:hAnsi="Times New Roman" w:cs="Times New Roman"/>
          <w:sz w:val="20"/>
          <w:szCs w:val="20"/>
        </w:rPr>
        <w:t xml:space="preserve"> mortuary of </w:t>
      </w:r>
      <w:r w:rsidR="005008A6" w:rsidRPr="002944F8">
        <w:rPr>
          <w:rFonts w:ascii="Times New Roman" w:hAnsi="Times New Roman" w:cs="Times New Roman"/>
          <w:sz w:val="20"/>
          <w:szCs w:val="20"/>
        </w:rPr>
        <w:t>Jawaharlal Nehr</w:t>
      </w:r>
      <w:r w:rsidR="00E44740" w:rsidRPr="002944F8">
        <w:rPr>
          <w:rFonts w:ascii="Times New Roman" w:hAnsi="Times New Roman" w:cs="Times New Roman"/>
          <w:sz w:val="20"/>
          <w:szCs w:val="20"/>
        </w:rPr>
        <w:t xml:space="preserve">u Institute of Medical Sciences, </w:t>
      </w:r>
      <w:r w:rsidR="005008A6" w:rsidRPr="002944F8">
        <w:rPr>
          <w:rFonts w:ascii="Times New Roman" w:hAnsi="Times New Roman" w:cs="Times New Roman"/>
          <w:sz w:val="20"/>
          <w:szCs w:val="20"/>
        </w:rPr>
        <w:t>Imphal</w:t>
      </w:r>
      <w:r w:rsidR="00E44740" w:rsidRPr="002944F8">
        <w:rPr>
          <w:rFonts w:ascii="Times New Roman" w:hAnsi="Times New Roman" w:cs="Times New Roman"/>
          <w:sz w:val="20"/>
          <w:szCs w:val="20"/>
        </w:rPr>
        <w:t>,</w:t>
      </w:r>
      <w:r w:rsidR="00F11C55">
        <w:rPr>
          <w:rFonts w:ascii="Times New Roman" w:hAnsi="Times New Roman" w:cs="Times New Roman"/>
          <w:sz w:val="20"/>
          <w:szCs w:val="20"/>
        </w:rPr>
        <w:t xml:space="preserve"> </w:t>
      </w:r>
      <w:r w:rsidRPr="002944F8">
        <w:rPr>
          <w:rFonts w:ascii="Times New Roman" w:hAnsi="Times New Roman" w:cs="Times New Roman"/>
          <w:sz w:val="20"/>
          <w:szCs w:val="20"/>
        </w:rPr>
        <w:t>Manipur. Out of</w:t>
      </w:r>
      <w:r w:rsidR="005008A6" w:rsidRPr="002944F8">
        <w:rPr>
          <w:rFonts w:ascii="Times New Roman" w:hAnsi="Times New Roman" w:cs="Times New Roman"/>
          <w:sz w:val="20"/>
          <w:szCs w:val="20"/>
        </w:rPr>
        <w:t xml:space="preserve"> </w:t>
      </w:r>
      <w:r w:rsidRPr="002944F8">
        <w:rPr>
          <w:rFonts w:ascii="Times New Roman" w:hAnsi="Times New Roman" w:cs="Times New Roman"/>
          <w:sz w:val="20"/>
          <w:szCs w:val="20"/>
        </w:rPr>
        <w:t xml:space="preserve">803 </w:t>
      </w:r>
      <w:r w:rsidR="005008A6" w:rsidRPr="002944F8">
        <w:rPr>
          <w:rFonts w:ascii="Times New Roman" w:hAnsi="Times New Roman" w:cs="Times New Roman"/>
          <w:sz w:val="20"/>
          <w:szCs w:val="20"/>
        </w:rPr>
        <w:t xml:space="preserve">autopsies, </w:t>
      </w:r>
      <w:r w:rsidR="009436A9" w:rsidRPr="002944F8">
        <w:rPr>
          <w:rFonts w:ascii="Times New Roman" w:hAnsi="Times New Roman" w:cs="Times New Roman"/>
          <w:sz w:val="20"/>
          <w:szCs w:val="20"/>
        </w:rPr>
        <w:t>116</w:t>
      </w:r>
      <w:r w:rsidR="00261C07">
        <w:rPr>
          <w:rFonts w:ascii="Times New Roman" w:hAnsi="Times New Roman" w:cs="Times New Roman"/>
          <w:sz w:val="20"/>
          <w:szCs w:val="20"/>
        </w:rPr>
        <w:t xml:space="preserve"> cases (</w:t>
      </w:r>
      <w:r w:rsidR="009436A9" w:rsidRPr="002944F8">
        <w:rPr>
          <w:rFonts w:ascii="Times New Roman" w:hAnsi="Times New Roman" w:cs="Times New Roman"/>
          <w:sz w:val="20"/>
          <w:szCs w:val="20"/>
        </w:rPr>
        <w:t>14.44</w:t>
      </w:r>
      <w:r w:rsidR="00261C07">
        <w:rPr>
          <w:rFonts w:ascii="Times New Roman" w:hAnsi="Times New Roman" w:cs="Times New Roman"/>
          <w:sz w:val="20"/>
          <w:szCs w:val="20"/>
        </w:rPr>
        <w:t>%</w:t>
      </w:r>
      <w:r w:rsidR="005008A6" w:rsidRPr="002944F8">
        <w:rPr>
          <w:rFonts w:ascii="Times New Roman" w:hAnsi="Times New Roman" w:cs="Times New Roman"/>
          <w:sz w:val="20"/>
          <w:szCs w:val="20"/>
        </w:rPr>
        <w:t xml:space="preserve">) </w:t>
      </w:r>
      <w:r w:rsidRPr="002944F8">
        <w:rPr>
          <w:rFonts w:ascii="Times New Roman" w:hAnsi="Times New Roman" w:cs="Times New Roman"/>
          <w:sz w:val="20"/>
          <w:szCs w:val="20"/>
        </w:rPr>
        <w:t xml:space="preserve">were </w:t>
      </w:r>
      <w:r w:rsidR="005008A6" w:rsidRPr="002944F8">
        <w:rPr>
          <w:rFonts w:ascii="Times New Roman" w:hAnsi="Times New Roman" w:cs="Times New Roman"/>
          <w:sz w:val="20"/>
          <w:szCs w:val="20"/>
        </w:rPr>
        <w:t>of asphyxia</w:t>
      </w:r>
      <w:r w:rsidR="009436A9" w:rsidRPr="002944F8">
        <w:rPr>
          <w:rFonts w:ascii="Times New Roman" w:hAnsi="Times New Roman" w:cs="Times New Roman"/>
          <w:sz w:val="20"/>
          <w:szCs w:val="20"/>
        </w:rPr>
        <w:t>l</w:t>
      </w:r>
      <w:r w:rsidR="005008A6" w:rsidRPr="002944F8">
        <w:rPr>
          <w:rFonts w:ascii="Times New Roman" w:hAnsi="Times New Roman" w:cs="Times New Roman"/>
          <w:sz w:val="20"/>
          <w:szCs w:val="20"/>
        </w:rPr>
        <w:t xml:space="preserve"> deaths</w:t>
      </w:r>
      <w:r w:rsidR="00780548" w:rsidRPr="002944F8">
        <w:rPr>
          <w:rFonts w:ascii="Times New Roman" w:hAnsi="Times New Roman" w:cs="Times New Roman"/>
          <w:sz w:val="20"/>
          <w:szCs w:val="20"/>
        </w:rPr>
        <w:t xml:space="preserve">. Out of 116 cases, 2015 and 2017 witnessed a </w:t>
      </w:r>
      <w:r w:rsidR="00F62565">
        <w:rPr>
          <w:rFonts w:ascii="Times New Roman" w:hAnsi="Times New Roman" w:cs="Times New Roman"/>
          <w:sz w:val="20"/>
          <w:szCs w:val="20"/>
        </w:rPr>
        <w:t>maximum of 34 (29.3</w:t>
      </w:r>
      <w:r w:rsidR="00780548" w:rsidRPr="002944F8">
        <w:rPr>
          <w:rFonts w:ascii="Times New Roman" w:hAnsi="Times New Roman" w:cs="Times New Roman"/>
          <w:sz w:val="20"/>
          <w:szCs w:val="20"/>
        </w:rPr>
        <w:t>%) cases each, followed by 2014 with 29(25 %</w:t>
      </w:r>
      <w:r w:rsidR="00F62565">
        <w:rPr>
          <w:rFonts w:ascii="Times New Roman" w:hAnsi="Times New Roman" w:cs="Times New Roman"/>
          <w:sz w:val="20"/>
          <w:szCs w:val="20"/>
        </w:rPr>
        <w:t>) cases, and 2016 with 19 (16.4</w:t>
      </w:r>
      <w:r w:rsidR="00780548" w:rsidRPr="002944F8">
        <w:rPr>
          <w:rFonts w:ascii="Times New Roman" w:hAnsi="Times New Roman" w:cs="Times New Roman"/>
          <w:sz w:val="20"/>
          <w:szCs w:val="20"/>
        </w:rPr>
        <w:t>%) cases</w:t>
      </w:r>
      <w:r w:rsidR="005008A6" w:rsidRPr="002944F8">
        <w:rPr>
          <w:rFonts w:ascii="Times New Roman" w:hAnsi="Times New Roman" w:cs="Times New Roman"/>
          <w:sz w:val="20"/>
          <w:szCs w:val="20"/>
        </w:rPr>
        <w:t xml:space="preserve"> </w:t>
      </w:r>
      <w:r w:rsidR="005C2563" w:rsidRPr="002944F8">
        <w:rPr>
          <w:rFonts w:ascii="Times New Roman" w:hAnsi="Times New Roman" w:cs="Times New Roman"/>
          <w:sz w:val="20"/>
          <w:szCs w:val="20"/>
        </w:rPr>
        <w:t>(</w:t>
      </w:r>
      <w:r w:rsidR="005008A6" w:rsidRPr="00F666E6">
        <w:rPr>
          <w:rFonts w:ascii="Times New Roman" w:hAnsi="Times New Roman" w:cs="Times New Roman"/>
          <w:sz w:val="20"/>
          <w:szCs w:val="20"/>
        </w:rPr>
        <w:t>Table 1</w:t>
      </w:r>
      <w:r w:rsidR="005C2563" w:rsidRPr="002944F8">
        <w:rPr>
          <w:rFonts w:ascii="Times New Roman" w:hAnsi="Times New Roman" w:cs="Times New Roman"/>
          <w:b/>
          <w:sz w:val="20"/>
          <w:szCs w:val="20"/>
        </w:rPr>
        <w:t>)</w:t>
      </w:r>
      <w:r w:rsidR="005008A6" w:rsidRPr="002944F8">
        <w:rPr>
          <w:rFonts w:ascii="Times New Roman" w:hAnsi="Times New Roman" w:cs="Times New Roman"/>
          <w:b/>
          <w:sz w:val="20"/>
          <w:szCs w:val="20"/>
        </w:rPr>
        <w:t>.</w:t>
      </w:r>
      <w:r w:rsidR="005008A6" w:rsidRPr="002944F8">
        <w:rPr>
          <w:rFonts w:ascii="Times New Roman" w:hAnsi="Times New Roman" w:cs="Times New Roman"/>
          <w:sz w:val="20"/>
          <w:szCs w:val="20"/>
        </w:rPr>
        <w:t xml:space="preserve"> </w:t>
      </w:r>
    </w:p>
    <w:p w:rsidR="00DE12C0" w:rsidRDefault="00DE12C0" w:rsidP="00DE12C0">
      <w:pPr>
        <w:spacing w:after="0"/>
        <w:jc w:val="both"/>
        <w:rPr>
          <w:rFonts w:ascii="Times New Roman" w:hAnsi="Times New Roman" w:cs="Times New Roman"/>
          <w:sz w:val="20"/>
          <w:szCs w:val="20"/>
        </w:rPr>
      </w:pPr>
    </w:p>
    <w:p w:rsidR="00DE12C0" w:rsidRDefault="00DE12C0" w:rsidP="00DE12C0">
      <w:pPr>
        <w:spacing w:after="0"/>
        <w:jc w:val="both"/>
        <w:rPr>
          <w:rFonts w:ascii="Times New Roman" w:hAnsi="Times New Roman" w:cs="Times New Roman"/>
          <w:sz w:val="20"/>
          <w:szCs w:val="20"/>
        </w:rPr>
      </w:pPr>
    </w:p>
    <w:p w:rsidR="00DE12C0" w:rsidRDefault="00DE12C0" w:rsidP="00DE12C0">
      <w:pPr>
        <w:spacing w:after="0"/>
        <w:jc w:val="both"/>
        <w:rPr>
          <w:rFonts w:ascii="Times New Roman" w:hAnsi="Times New Roman" w:cs="Times New Roman"/>
          <w:sz w:val="20"/>
          <w:szCs w:val="20"/>
        </w:rPr>
      </w:pPr>
    </w:p>
    <w:p w:rsidR="00BE41EF" w:rsidRDefault="00BE41EF" w:rsidP="009D5F0C">
      <w:pPr>
        <w:spacing w:after="0"/>
        <w:jc w:val="right"/>
        <w:rPr>
          <w:rFonts w:ascii="Times New Roman" w:hAnsi="Times New Roman" w:cs="Times New Roman"/>
          <w:sz w:val="20"/>
          <w:szCs w:val="20"/>
        </w:rPr>
      </w:pPr>
      <w:r w:rsidRPr="009D5F0C">
        <w:rPr>
          <w:rFonts w:ascii="Times New Roman" w:hAnsi="Times New Roman" w:cs="Times New Roman"/>
          <w:sz w:val="20"/>
          <w:szCs w:val="20"/>
        </w:rPr>
        <w:lastRenderedPageBreak/>
        <w:t>Study of Violent Asphyxial Deaths</w:t>
      </w:r>
    </w:p>
    <w:p w:rsidR="009D5F0C" w:rsidRPr="009D5F0C" w:rsidRDefault="009D5F0C" w:rsidP="009D5F0C">
      <w:pPr>
        <w:spacing w:after="0"/>
        <w:jc w:val="right"/>
        <w:rPr>
          <w:rFonts w:ascii="Times New Roman" w:hAnsi="Times New Roman" w:cs="Times New Roman"/>
          <w:sz w:val="20"/>
          <w:szCs w:val="20"/>
        </w:rPr>
      </w:pPr>
    </w:p>
    <w:p w:rsidR="00A35836" w:rsidRDefault="00A13832" w:rsidP="00895567">
      <w:pPr>
        <w:spacing w:after="0"/>
        <w:jc w:val="both"/>
        <w:rPr>
          <w:rFonts w:ascii="Times New Roman" w:hAnsi="Times New Roman" w:cs="Times New Roman"/>
          <w:sz w:val="20"/>
          <w:szCs w:val="20"/>
        </w:rPr>
      </w:pPr>
      <w:r w:rsidRPr="002944F8">
        <w:rPr>
          <w:rFonts w:ascii="Times New Roman" w:hAnsi="Times New Roman" w:cs="Times New Roman"/>
          <w:sz w:val="20"/>
          <w:szCs w:val="20"/>
        </w:rPr>
        <w:t>Maximum</w:t>
      </w:r>
      <w:r w:rsidR="00307D19" w:rsidRPr="002944F8">
        <w:rPr>
          <w:rFonts w:ascii="Times New Roman" w:hAnsi="Times New Roman" w:cs="Times New Roman"/>
          <w:sz w:val="20"/>
          <w:szCs w:val="20"/>
        </w:rPr>
        <w:t xml:space="preserve"> </w:t>
      </w:r>
      <w:r w:rsidR="009F46F7" w:rsidRPr="002944F8">
        <w:rPr>
          <w:rFonts w:ascii="Times New Roman" w:hAnsi="Times New Roman" w:cs="Times New Roman"/>
          <w:sz w:val="20"/>
          <w:szCs w:val="20"/>
        </w:rPr>
        <w:t xml:space="preserve">cases of </w:t>
      </w:r>
      <w:r w:rsidR="00307D19" w:rsidRPr="002944F8">
        <w:rPr>
          <w:rFonts w:ascii="Times New Roman" w:hAnsi="Times New Roman" w:cs="Times New Roman"/>
          <w:sz w:val="20"/>
          <w:szCs w:val="20"/>
        </w:rPr>
        <w:t>asphyxia</w:t>
      </w:r>
      <w:r w:rsidR="00746ECC" w:rsidRPr="002944F8">
        <w:rPr>
          <w:rFonts w:ascii="Times New Roman" w:hAnsi="Times New Roman" w:cs="Times New Roman"/>
          <w:sz w:val="20"/>
          <w:szCs w:val="20"/>
        </w:rPr>
        <w:t>l</w:t>
      </w:r>
      <w:r w:rsidR="00307D19" w:rsidRPr="002944F8">
        <w:rPr>
          <w:rFonts w:ascii="Times New Roman" w:hAnsi="Times New Roman" w:cs="Times New Roman"/>
          <w:sz w:val="20"/>
          <w:szCs w:val="20"/>
        </w:rPr>
        <w:t xml:space="preserve"> </w:t>
      </w:r>
      <w:r w:rsidR="009F46F7" w:rsidRPr="002944F8">
        <w:rPr>
          <w:rFonts w:ascii="Times New Roman" w:hAnsi="Times New Roman" w:cs="Times New Roman"/>
          <w:sz w:val="20"/>
          <w:szCs w:val="20"/>
        </w:rPr>
        <w:t>death</w:t>
      </w:r>
      <w:r w:rsidR="00393573">
        <w:rPr>
          <w:rFonts w:ascii="Times New Roman" w:hAnsi="Times New Roman" w:cs="Times New Roman"/>
          <w:sz w:val="20"/>
          <w:szCs w:val="20"/>
        </w:rPr>
        <w:t>s</w:t>
      </w:r>
      <w:r w:rsidR="009F46F7" w:rsidRPr="002944F8">
        <w:rPr>
          <w:rFonts w:ascii="Times New Roman" w:hAnsi="Times New Roman" w:cs="Times New Roman"/>
          <w:sz w:val="20"/>
          <w:szCs w:val="20"/>
        </w:rPr>
        <w:t xml:space="preserve"> occurred in the age group</w:t>
      </w:r>
      <w:r w:rsidR="00307D19" w:rsidRPr="002944F8">
        <w:rPr>
          <w:rFonts w:ascii="Times New Roman" w:hAnsi="Times New Roman" w:cs="Times New Roman"/>
          <w:sz w:val="20"/>
          <w:szCs w:val="20"/>
        </w:rPr>
        <w:t xml:space="preserve"> </w:t>
      </w:r>
      <w:r w:rsidR="009F46F7" w:rsidRPr="002944F8">
        <w:rPr>
          <w:rFonts w:ascii="Times New Roman" w:hAnsi="Times New Roman" w:cs="Times New Roman"/>
          <w:sz w:val="20"/>
          <w:szCs w:val="20"/>
        </w:rPr>
        <w:t>of 20-30 years</w:t>
      </w:r>
      <w:r w:rsidR="00746ECC" w:rsidRPr="002944F8">
        <w:rPr>
          <w:rFonts w:ascii="Times New Roman" w:hAnsi="Times New Roman" w:cs="Times New Roman"/>
          <w:sz w:val="20"/>
          <w:szCs w:val="20"/>
        </w:rPr>
        <w:t xml:space="preserve"> </w:t>
      </w:r>
      <w:r w:rsidR="00AB7BA4" w:rsidRPr="002944F8">
        <w:rPr>
          <w:rFonts w:ascii="Times New Roman" w:hAnsi="Times New Roman" w:cs="Times New Roman"/>
          <w:sz w:val="20"/>
          <w:szCs w:val="20"/>
        </w:rPr>
        <w:t>(31.89</w:t>
      </w:r>
      <w:r w:rsidR="00393573">
        <w:rPr>
          <w:rFonts w:ascii="Times New Roman" w:hAnsi="Times New Roman" w:cs="Times New Roman"/>
          <w:sz w:val="20"/>
          <w:szCs w:val="20"/>
        </w:rPr>
        <w:t>%)</w:t>
      </w:r>
      <w:r w:rsidR="00746ECC" w:rsidRPr="002944F8">
        <w:rPr>
          <w:rFonts w:ascii="Times New Roman" w:hAnsi="Times New Roman" w:cs="Times New Roman"/>
          <w:sz w:val="20"/>
          <w:szCs w:val="20"/>
        </w:rPr>
        <w:t>, followed by</w:t>
      </w:r>
      <w:r w:rsidR="009C6E01">
        <w:rPr>
          <w:rFonts w:ascii="Times New Roman" w:hAnsi="Times New Roman" w:cs="Times New Roman"/>
          <w:sz w:val="20"/>
          <w:szCs w:val="20"/>
        </w:rPr>
        <w:t xml:space="preserve"> </w:t>
      </w:r>
      <w:r w:rsidR="00746ECC" w:rsidRPr="002944F8">
        <w:rPr>
          <w:rFonts w:ascii="Times New Roman" w:hAnsi="Times New Roman" w:cs="Times New Roman"/>
          <w:sz w:val="20"/>
          <w:szCs w:val="20"/>
        </w:rPr>
        <w:t xml:space="preserve">10-20 years </w:t>
      </w:r>
      <w:r w:rsidR="00307D19" w:rsidRPr="002944F8">
        <w:rPr>
          <w:rFonts w:ascii="Times New Roman" w:hAnsi="Times New Roman" w:cs="Times New Roman"/>
          <w:sz w:val="20"/>
          <w:szCs w:val="20"/>
        </w:rPr>
        <w:t>(</w:t>
      </w:r>
      <w:r w:rsidR="001A36C1" w:rsidRPr="002944F8">
        <w:rPr>
          <w:rFonts w:ascii="Times New Roman" w:hAnsi="Times New Roman" w:cs="Times New Roman"/>
          <w:sz w:val="20"/>
          <w:szCs w:val="20"/>
        </w:rPr>
        <w:t>25.</w:t>
      </w:r>
      <w:r w:rsidR="00AB7BA4" w:rsidRPr="002944F8">
        <w:rPr>
          <w:rFonts w:ascii="Times New Roman" w:hAnsi="Times New Roman" w:cs="Times New Roman"/>
          <w:sz w:val="20"/>
          <w:szCs w:val="20"/>
        </w:rPr>
        <w:t>86</w:t>
      </w:r>
      <w:r w:rsidR="001A36C1" w:rsidRPr="002944F8">
        <w:rPr>
          <w:rFonts w:ascii="Times New Roman" w:hAnsi="Times New Roman" w:cs="Times New Roman"/>
          <w:sz w:val="20"/>
          <w:szCs w:val="20"/>
        </w:rPr>
        <w:t>%</w:t>
      </w:r>
      <w:r w:rsidR="009C6E01">
        <w:rPr>
          <w:rFonts w:ascii="Times New Roman" w:hAnsi="Times New Roman" w:cs="Times New Roman"/>
          <w:sz w:val="20"/>
          <w:szCs w:val="20"/>
        </w:rPr>
        <w:t>)</w:t>
      </w:r>
      <w:r w:rsidR="004A4654" w:rsidRPr="002944F8">
        <w:rPr>
          <w:rFonts w:ascii="Times New Roman" w:hAnsi="Times New Roman" w:cs="Times New Roman"/>
          <w:sz w:val="20"/>
          <w:szCs w:val="20"/>
        </w:rPr>
        <w:t>,</w:t>
      </w:r>
      <w:r w:rsidR="00AD0AED" w:rsidRPr="002944F8">
        <w:rPr>
          <w:rFonts w:ascii="Times New Roman" w:hAnsi="Times New Roman" w:cs="Times New Roman"/>
          <w:sz w:val="20"/>
          <w:szCs w:val="20"/>
        </w:rPr>
        <w:t xml:space="preserve"> </w:t>
      </w:r>
      <w:r w:rsidR="00746ECC" w:rsidRPr="002944F8">
        <w:rPr>
          <w:rFonts w:ascii="Times New Roman" w:hAnsi="Times New Roman" w:cs="Times New Roman"/>
          <w:sz w:val="20"/>
          <w:szCs w:val="20"/>
        </w:rPr>
        <w:t>and 30-40 years</w:t>
      </w:r>
      <w:r w:rsidR="00AB7BA4" w:rsidRPr="002944F8">
        <w:rPr>
          <w:rFonts w:ascii="Times New Roman" w:hAnsi="Times New Roman" w:cs="Times New Roman"/>
          <w:sz w:val="20"/>
          <w:szCs w:val="20"/>
        </w:rPr>
        <w:t>(18.9</w:t>
      </w:r>
      <w:r w:rsidR="009C6E01">
        <w:rPr>
          <w:rFonts w:ascii="Times New Roman" w:hAnsi="Times New Roman" w:cs="Times New Roman"/>
          <w:sz w:val="20"/>
          <w:szCs w:val="20"/>
        </w:rPr>
        <w:t>%)</w:t>
      </w:r>
      <w:r w:rsidR="00AB7BA4" w:rsidRPr="002944F8">
        <w:rPr>
          <w:rFonts w:ascii="Times New Roman" w:hAnsi="Times New Roman" w:cs="Times New Roman"/>
          <w:sz w:val="20"/>
          <w:szCs w:val="20"/>
        </w:rPr>
        <w:t xml:space="preserve">, </w:t>
      </w:r>
      <w:r w:rsidR="00254CC3" w:rsidRPr="002944F8">
        <w:rPr>
          <w:rFonts w:ascii="Times New Roman" w:hAnsi="Times New Roman" w:cs="Times New Roman"/>
          <w:sz w:val="20"/>
          <w:szCs w:val="20"/>
        </w:rPr>
        <w:t>and</w:t>
      </w:r>
      <w:r w:rsidR="00746ECC" w:rsidRPr="002944F8">
        <w:rPr>
          <w:rFonts w:ascii="Times New Roman" w:hAnsi="Times New Roman" w:cs="Times New Roman"/>
          <w:sz w:val="20"/>
          <w:szCs w:val="20"/>
        </w:rPr>
        <w:t xml:space="preserve"> least was found in age group 40-50 years and 0-10 years with </w:t>
      </w:r>
      <w:r w:rsidR="00AB7BA4" w:rsidRPr="002944F8">
        <w:rPr>
          <w:rFonts w:ascii="Times New Roman" w:hAnsi="Times New Roman" w:cs="Times New Roman"/>
          <w:sz w:val="20"/>
          <w:szCs w:val="20"/>
        </w:rPr>
        <w:t>5.17</w:t>
      </w:r>
      <w:r w:rsidR="00746ECC" w:rsidRPr="002944F8">
        <w:rPr>
          <w:rFonts w:ascii="Times New Roman" w:hAnsi="Times New Roman" w:cs="Times New Roman"/>
          <w:sz w:val="20"/>
          <w:szCs w:val="20"/>
        </w:rPr>
        <w:t>%</w:t>
      </w:r>
      <w:r w:rsidR="009C6ECC" w:rsidRPr="002944F8">
        <w:rPr>
          <w:rFonts w:ascii="Times New Roman" w:hAnsi="Times New Roman" w:cs="Times New Roman"/>
          <w:sz w:val="20"/>
          <w:szCs w:val="20"/>
        </w:rPr>
        <w:t xml:space="preserve"> cases each</w:t>
      </w:r>
      <w:r w:rsidR="00746ECC" w:rsidRPr="002944F8">
        <w:rPr>
          <w:rFonts w:ascii="Times New Roman" w:hAnsi="Times New Roman" w:cs="Times New Roman"/>
          <w:sz w:val="20"/>
          <w:szCs w:val="20"/>
        </w:rPr>
        <w:t>(</w:t>
      </w:r>
      <w:r w:rsidR="00DB7771">
        <w:rPr>
          <w:rFonts w:ascii="Times New Roman" w:hAnsi="Times New Roman" w:cs="Times New Roman"/>
          <w:sz w:val="20"/>
          <w:szCs w:val="20"/>
        </w:rPr>
        <w:t>Table</w:t>
      </w:r>
      <w:r w:rsidR="005154DC" w:rsidRPr="00F666E6">
        <w:rPr>
          <w:rFonts w:ascii="Times New Roman" w:hAnsi="Times New Roman" w:cs="Times New Roman"/>
          <w:sz w:val="20"/>
          <w:szCs w:val="20"/>
        </w:rPr>
        <w:t xml:space="preserve"> </w:t>
      </w:r>
      <w:r w:rsidR="00DB7771">
        <w:rPr>
          <w:rFonts w:ascii="Times New Roman" w:hAnsi="Times New Roman" w:cs="Times New Roman"/>
          <w:sz w:val="20"/>
          <w:szCs w:val="20"/>
        </w:rPr>
        <w:t>2</w:t>
      </w:r>
      <w:r w:rsidR="00746ECC" w:rsidRPr="00F666E6">
        <w:rPr>
          <w:rFonts w:ascii="Times New Roman" w:hAnsi="Times New Roman" w:cs="Times New Roman"/>
          <w:sz w:val="20"/>
          <w:szCs w:val="20"/>
        </w:rPr>
        <w:t>)</w:t>
      </w:r>
      <w:r w:rsidR="009C6ECC" w:rsidRPr="00F666E6">
        <w:rPr>
          <w:rFonts w:ascii="Times New Roman" w:hAnsi="Times New Roman" w:cs="Times New Roman"/>
          <w:sz w:val="20"/>
          <w:szCs w:val="20"/>
        </w:rPr>
        <w:t>.</w:t>
      </w:r>
      <w:r w:rsidR="009C6ECC" w:rsidRPr="002944F8">
        <w:rPr>
          <w:rFonts w:ascii="Times New Roman" w:hAnsi="Times New Roman" w:cs="Times New Roman"/>
          <w:sz w:val="20"/>
          <w:szCs w:val="20"/>
        </w:rPr>
        <w:t xml:space="preserve"> </w:t>
      </w:r>
    </w:p>
    <w:p w:rsidR="00A35836" w:rsidRDefault="00A35836" w:rsidP="00895567">
      <w:pPr>
        <w:spacing w:after="0"/>
        <w:jc w:val="both"/>
        <w:rPr>
          <w:rFonts w:ascii="Times New Roman" w:hAnsi="Times New Roman" w:cs="Times New Roman"/>
          <w:sz w:val="20"/>
          <w:szCs w:val="20"/>
        </w:rPr>
      </w:pPr>
    </w:p>
    <w:p w:rsidR="0073375E" w:rsidRDefault="0073375E" w:rsidP="00895567">
      <w:pPr>
        <w:spacing w:after="0"/>
        <w:jc w:val="both"/>
        <w:rPr>
          <w:rFonts w:ascii="Times New Roman" w:hAnsi="Times New Roman" w:cs="Times New Roman"/>
          <w:b/>
          <w:sz w:val="20"/>
          <w:szCs w:val="20"/>
        </w:rPr>
      </w:pPr>
      <w:r w:rsidRPr="002944F8">
        <w:rPr>
          <w:rFonts w:ascii="Times New Roman" w:hAnsi="Times New Roman" w:cs="Times New Roman"/>
          <w:sz w:val="20"/>
          <w:szCs w:val="20"/>
        </w:rPr>
        <w:t>Out of 116 violent asphyxial deaths, males constitut</w:t>
      </w:r>
      <w:r>
        <w:rPr>
          <w:rFonts w:ascii="Times New Roman" w:hAnsi="Times New Roman" w:cs="Times New Roman"/>
          <w:sz w:val="20"/>
          <w:szCs w:val="20"/>
        </w:rPr>
        <w:t xml:space="preserve">e 68 (58.6%) and females 48(41.4%) </w:t>
      </w:r>
      <w:r w:rsidR="00CD5FA8">
        <w:rPr>
          <w:rFonts w:ascii="Times New Roman" w:hAnsi="Times New Roman" w:cs="Times New Roman"/>
          <w:b/>
          <w:sz w:val="20"/>
          <w:szCs w:val="20"/>
        </w:rPr>
        <w:t>(</w:t>
      </w:r>
      <w:r w:rsidR="00CD5FA8" w:rsidRPr="00F666E6">
        <w:rPr>
          <w:rFonts w:ascii="Times New Roman" w:hAnsi="Times New Roman" w:cs="Times New Roman"/>
          <w:sz w:val="20"/>
          <w:szCs w:val="20"/>
        </w:rPr>
        <w:t xml:space="preserve">Table </w:t>
      </w:r>
      <w:r w:rsidR="00DB7771">
        <w:rPr>
          <w:rFonts w:ascii="Times New Roman" w:hAnsi="Times New Roman" w:cs="Times New Roman"/>
          <w:sz w:val="20"/>
          <w:szCs w:val="20"/>
        </w:rPr>
        <w:t>3</w:t>
      </w:r>
      <w:r>
        <w:rPr>
          <w:rFonts w:ascii="Times New Roman" w:hAnsi="Times New Roman" w:cs="Times New Roman"/>
          <w:b/>
          <w:sz w:val="20"/>
          <w:szCs w:val="20"/>
        </w:rPr>
        <w:t>)</w:t>
      </w:r>
      <w:r w:rsidR="00025D21">
        <w:rPr>
          <w:rFonts w:ascii="Times New Roman" w:hAnsi="Times New Roman" w:cs="Times New Roman"/>
          <w:b/>
          <w:sz w:val="20"/>
          <w:szCs w:val="20"/>
        </w:rPr>
        <w:t>.</w:t>
      </w:r>
    </w:p>
    <w:p w:rsidR="00895567" w:rsidRPr="00895567" w:rsidRDefault="00895567" w:rsidP="00895567">
      <w:pPr>
        <w:spacing w:after="0"/>
        <w:jc w:val="both"/>
        <w:rPr>
          <w:rFonts w:ascii="Times New Roman" w:hAnsi="Times New Roman" w:cs="Times New Roman"/>
          <w:sz w:val="20"/>
          <w:szCs w:val="20"/>
        </w:rPr>
      </w:pPr>
    </w:p>
    <w:p w:rsidR="00307D19" w:rsidRDefault="00307D19" w:rsidP="009D5F0C">
      <w:pPr>
        <w:jc w:val="both"/>
        <w:rPr>
          <w:rFonts w:ascii="Times New Roman" w:hAnsi="Times New Roman" w:cs="Times New Roman"/>
          <w:b/>
          <w:sz w:val="20"/>
          <w:szCs w:val="20"/>
        </w:rPr>
      </w:pPr>
      <w:r w:rsidRPr="002944F8">
        <w:rPr>
          <w:rFonts w:ascii="Times New Roman" w:hAnsi="Times New Roman" w:cs="Times New Roman"/>
          <w:sz w:val="20"/>
          <w:szCs w:val="20"/>
        </w:rPr>
        <w:t>In the pr</w:t>
      </w:r>
      <w:r w:rsidR="00CA03DA" w:rsidRPr="002944F8">
        <w:rPr>
          <w:rFonts w:ascii="Times New Roman" w:hAnsi="Times New Roman" w:cs="Times New Roman"/>
          <w:sz w:val="20"/>
          <w:szCs w:val="20"/>
        </w:rPr>
        <w:t>esent study</w:t>
      </w:r>
      <w:r w:rsidR="001A36C1" w:rsidRPr="002944F8">
        <w:rPr>
          <w:rFonts w:ascii="Times New Roman" w:hAnsi="Times New Roman" w:cs="Times New Roman"/>
          <w:sz w:val="20"/>
          <w:szCs w:val="20"/>
        </w:rPr>
        <w:t xml:space="preserve">, most number of </w:t>
      </w:r>
      <w:r w:rsidRPr="002944F8">
        <w:rPr>
          <w:rFonts w:ascii="Times New Roman" w:hAnsi="Times New Roman" w:cs="Times New Roman"/>
          <w:sz w:val="20"/>
          <w:szCs w:val="20"/>
        </w:rPr>
        <w:t xml:space="preserve">cases </w:t>
      </w:r>
      <w:r w:rsidR="001A36C1" w:rsidRPr="002944F8">
        <w:rPr>
          <w:rFonts w:ascii="Times New Roman" w:hAnsi="Times New Roman" w:cs="Times New Roman"/>
          <w:sz w:val="20"/>
          <w:szCs w:val="20"/>
        </w:rPr>
        <w:t>were of people belonging</w:t>
      </w:r>
      <w:r w:rsidRPr="002944F8">
        <w:rPr>
          <w:rFonts w:ascii="Times New Roman" w:hAnsi="Times New Roman" w:cs="Times New Roman"/>
          <w:sz w:val="20"/>
          <w:szCs w:val="20"/>
        </w:rPr>
        <w:t xml:space="preserve"> to Hindu community</w:t>
      </w:r>
      <w:r w:rsidR="00CA03DA" w:rsidRPr="002944F8">
        <w:rPr>
          <w:rFonts w:ascii="Times New Roman" w:hAnsi="Times New Roman" w:cs="Times New Roman"/>
          <w:sz w:val="20"/>
          <w:szCs w:val="20"/>
        </w:rPr>
        <w:t xml:space="preserve"> </w:t>
      </w:r>
      <w:r w:rsidR="001A36C1" w:rsidRPr="002944F8">
        <w:rPr>
          <w:rFonts w:ascii="Times New Roman" w:hAnsi="Times New Roman" w:cs="Times New Roman"/>
          <w:sz w:val="20"/>
          <w:szCs w:val="20"/>
        </w:rPr>
        <w:t>(</w:t>
      </w:r>
      <w:r w:rsidR="008746AF">
        <w:rPr>
          <w:rFonts w:ascii="Times New Roman" w:hAnsi="Times New Roman" w:cs="Times New Roman"/>
          <w:sz w:val="20"/>
          <w:szCs w:val="20"/>
        </w:rPr>
        <w:t>71.55</w:t>
      </w:r>
      <w:r w:rsidR="00167057">
        <w:rPr>
          <w:rFonts w:ascii="Times New Roman" w:hAnsi="Times New Roman" w:cs="Times New Roman"/>
          <w:sz w:val="20"/>
          <w:szCs w:val="20"/>
        </w:rPr>
        <w:t xml:space="preserve">%) </w:t>
      </w:r>
      <w:r w:rsidR="00CA03DA" w:rsidRPr="002944F8">
        <w:rPr>
          <w:rFonts w:ascii="Times New Roman" w:hAnsi="Times New Roman" w:cs="Times New Roman"/>
          <w:sz w:val="20"/>
          <w:szCs w:val="20"/>
        </w:rPr>
        <w:t>followed by</w:t>
      </w:r>
      <w:r w:rsidR="008746AF">
        <w:rPr>
          <w:rFonts w:ascii="Times New Roman" w:hAnsi="Times New Roman" w:cs="Times New Roman"/>
          <w:sz w:val="20"/>
          <w:szCs w:val="20"/>
        </w:rPr>
        <w:t xml:space="preserve"> Christian (14.66</w:t>
      </w:r>
      <w:r w:rsidR="00C73434">
        <w:rPr>
          <w:rFonts w:ascii="Times New Roman" w:hAnsi="Times New Roman" w:cs="Times New Roman"/>
          <w:sz w:val="20"/>
          <w:szCs w:val="20"/>
        </w:rPr>
        <w:t xml:space="preserve">%) </w:t>
      </w:r>
      <w:r w:rsidR="00CA03DA" w:rsidRPr="002944F8">
        <w:rPr>
          <w:rFonts w:ascii="Times New Roman" w:hAnsi="Times New Roman" w:cs="Times New Roman"/>
          <w:sz w:val="20"/>
          <w:szCs w:val="20"/>
        </w:rPr>
        <w:t>and</w:t>
      </w:r>
      <w:r w:rsidR="008746AF">
        <w:rPr>
          <w:rFonts w:ascii="Times New Roman" w:hAnsi="Times New Roman" w:cs="Times New Roman"/>
          <w:sz w:val="20"/>
          <w:szCs w:val="20"/>
        </w:rPr>
        <w:t xml:space="preserve"> Muslim</w:t>
      </w:r>
      <w:r w:rsidR="00C73434">
        <w:rPr>
          <w:rFonts w:ascii="Times New Roman" w:hAnsi="Times New Roman" w:cs="Times New Roman"/>
          <w:sz w:val="20"/>
          <w:szCs w:val="20"/>
        </w:rPr>
        <w:t xml:space="preserve"> </w:t>
      </w:r>
      <w:r w:rsidR="00167057">
        <w:rPr>
          <w:rFonts w:ascii="Times New Roman" w:hAnsi="Times New Roman" w:cs="Times New Roman"/>
          <w:sz w:val="20"/>
          <w:szCs w:val="20"/>
        </w:rPr>
        <w:t>(8.6</w:t>
      </w:r>
      <w:r w:rsidR="008746AF">
        <w:rPr>
          <w:rFonts w:ascii="Times New Roman" w:hAnsi="Times New Roman" w:cs="Times New Roman"/>
          <w:sz w:val="20"/>
          <w:szCs w:val="20"/>
        </w:rPr>
        <w:t>2</w:t>
      </w:r>
      <w:r w:rsidR="00167057">
        <w:rPr>
          <w:rFonts w:ascii="Times New Roman" w:hAnsi="Times New Roman" w:cs="Times New Roman"/>
          <w:sz w:val="20"/>
          <w:szCs w:val="20"/>
        </w:rPr>
        <w:t>%</w:t>
      </w:r>
      <w:r w:rsidR="00CA03DA" w:rsidRPr="002944F8">
        <w:rPr>
          <w:rFonts w:ascii="Times New Roman" w:hAnsi="Times New Roman" w:cs="Times New Roman"/>
          <w:sz w:val="20"/>
          <w:szCs w:val="20"/>
        </w:rPr>
        <w:t>)</w:t>
      </w:r>
      <w:r w:rsidR="00C73434">
        <w:rPr>
          <w:rFonts w:ascii="Times New Roman" w:hAnsi="Times New Roman" w:cs="Times New Roman"/>
          <w:sz w:val="20"/>
          <w:szCs w:val="20"/>
        </w:rPr>
        <w:t xml:space="preserve"> and others (J</w:t>
      </w:r>
      <w:r w:rsidR="008746AF">
        <w:rPr>
          <w:rFonts w:ascii="Times New Roman" w:hAnsi="Times New Roman" w:cs="Times New Roman"/>
          <w:sz w:val="20"/>
          <w:szCs w:val="20"/>
        </w:rPr>
        <w:t>ain and Sikh) contributed (5.17</w:t>
      </w:r>
      <w:r w:rsidR="00167057">
        <w:rPr>
          <w:rFonts w:ascii="Times New Roman" w:hAnsi="Times New Roman" w:cs="Times New Roman"/>
          <w:sz w:val="20"/>
          <w:szCs w:val="20"/>
        </w:rPr>
        <w:t>%)</w:t>
      </w:r>
      <w:r w:rsidR="00F11C55">
        <w:rPr>
          <w:rFonts w:ascii="Times New Roman" w:hAnsi="Times New Roman" w:cs="Times New Roman"/>
          <w:sz w:val="20"/>
          <w:szCs w:val="20"/>
        </w:rPr>
        <w:t xml:space="preserve"> </w:t>
      </w:r>
      <w:r w:rsidR="00CA03DA" w:rsidRPr="002944F8">
        <w:rPr>
          <w:rFonts w:ascii="Times New Roman" w:hAnsi="Times New Roman" w:cs="Times New Roman"/>
          <w:sz w:val="20"/>
          <w:szCs w:val="20"/>
        </w:rPr>
        <w:t>(</w:t>
      </w:r>
      <w:r w:rsidR="00DB7771">
        <w:rPr>
          <w:rFonts w:ascii="Times New Roman" w:hAnsi="Times New Roman" w:cs="Times New Roman"/>
          <w:sz w:val="20"/>
          <w:szCs w:val="20"/>
        </w:rPr>
        <w:t>Table 4</w:t>
      </w:r>
      <w:r w:rsidR="00CA03DA" w:rsidRPr="002944F8">
        <w:rPr>
          <w:rFonts w:ascii="Times New Roman" w:hAnsi="Times New Roman" w:cs="Times New Roman"/>
          <w:b/>
          <w:sz w:val="20"/>
          <w:szCs w:val="20"/>
        </w:rPr>
        <w:t>)</w:t>
      </w:r>
      <w:r w:rsidR="00F11C55">
        <w:rPr>
          <w:rFonts w:ascii="Times New Roman" w:hAnsi="Times New Roman" w:cs="Times New Roman"/>
          <w:b/>
          <w:sz w:val="20"/>
          <w:szCs w:val="20"/>
        </w:rPr>
        <w:t>.</w:t>
      </w:r>
      <w:r w:rsidR="00371D48" w:rsidRPr="002944F8">
        <w:rPr>
          <w:rFonts w:ascii="Times New Roman" w:hAnsi="Times New Roman" w:cs="Times New Roman"/>
          <w:b/>
          <w:sz w:val="20"/>
          <w:szCs w:val="20"/>
        </w:rPr>
        <w:t xml:space="preserve"> </w:t>
      </w:r>
    </w:p>
    <w:p w:rsidR="00965466" w:rsidRPr="002944F8" w:rsidRDefault="00965466" w:rsidP="009D5F0C">
      <w:pPr>
        <w:jc w:val="both"/>
        <w:rPr>
          <w:rFonts w:ascii="Times New Roman" w:hAnsi="Times New Roman" w:cs="Times New Roman"/>
          <w:b/>
          <w:sz w:val="20"/>
          <w:szCs w:val="20"/>
        </w:rPr>
      </w:pPr>
      <w:r w:rsidRPr="002944F8">
        <w:rPr>
          <w:rFonts w:ascii="Times New Roman" w:hAnsi="Times New Roman" w:cs="Times New Roman"/>
          <w:sz w:val="20"/>
          <w:szCs w:val="20"/>
        </w:rPr>
        <w:t>Study</w:t>
      </w:r>
      <w:r>
        <w:rPr>
          <w:rFonts w:ascii="Times New Roman" w:hAnsi="Times New Roman" w:cs="Times New Roman"/>
          <w:sz w:val="20"/>
          <w:szCs w:val="20"/>
        </w:rPr>
        <w:t xml:space="preserve"> shows that maximum of the dead</w:t>
      </w:r>
      <w:r w:rsidRPr="002944F8">
        <w:rPr>
          <w:rFonts w:ascii="Times New Roman" w:hAnsi="Times New Roman" w:cs="Times New Roman"/>
          <w:sz w:val="20"/>
          <w:szCs w:val="20"/>
        </w:rPr>
        <w:t xml:space="preserve"> victims were from rural area comprising of 105 (90.51%)</w:t>
      </w:r>
      <w:r>
        <w:rPr>
          <w:rFonts w:ascii="Times New Roman" w:hAnsi="Times New Roman" w:cs="Times New Roman"/>
          <w:sz w:val="20"/>
          <w:szCs w:val="20"/>
        </w:rPr>
        <w:t xml:space="preserve"> </w:t>
      </w:r>
      <w:r w:rsidRPr="002944F8">
        <w:rPr>
          <w:rFonts w:ascii="Times New Roman" w:hAnsi="Times New Roman" w:cs="Times New Roman"/>
          <w:sz w:val="20"/>
          <w:szCs w:val="20"/>
        </w:rPr>
        <w:t>cases and only 11 (9.48%)</w:t>
      </w:r>
      <w:r>
        <w:rPr>
          <w:rFonts w:ascii="Times New Roman" w:hAnsi="Times New Roman" w:cs="Times New Roman"/>
          <w:sz w:val="20"/>
          <w:szCs w:val="20"/>
        </w:rPr>
        <w:t xml:space="preserve"> </w:t>
      </w:r>
      <w:r w:rsidRPr="002944F8">
        <w:rPr>
          <w:rFonts w:ascii="Times New Roman" w:hAnsi="Times New Roman" w:cs="Times New Roman"/>
          <w:sz w:val="20"/>
          <w:szCs w:val="20"/>
        </w:rPr>
        <w:t>cases were from urban area (</w:t>
      </w:r>
      <w:r w:rsidR="002C71C0" w:rsidRPr="00F666E6">
        <w:rPr>
          <w:rFonts w:ascii="Times New Roman" w:hAnsi="Times New Roman" w:cs="Times New Roman"/>
          <w:sz w:val="20"/>
          <w:szCs w:val="20"/>
        </w:rPr>
        <w:t xml:space="preserve">Fig </w:t>
      </w:r>
      <w:r w:rsidR="00DB7771">
        <w:rPr>
          <w:rFonts w:ascii="Times New Roman" w:hAnsi="Times New Roman" w:cs="Times New Roman"/>
          <w:sz w:val="20"/>
          <w:szCs w:val="20"/>
        </w:rPr>
        <w:t>1</w:t>
      </w:r>
      <w:r w:rsidRPr="002944F8">
        <w:rPr>
          <w:rFonts w:ascii="Times New Roman" w:hAnsi="Times New Roman" w:cs="Times New Roman"/>
          <w:b/>
          <w:sz w:val="20"/>
          <w:szCs w:val="20"/>
        </w:rPr>
        <w:t>).</w:t>
      </w:r>
    </w:p>
    <w:p w:rsidR="00D33F39" w:rsidRDefault="00E95F1B" w:rsidP="009D5F0C">
      <w:pPr>
        <w:jc w:val="both"/>
        <w:rPr>
          <w:rFonts w:ascii="Times New Roman" w:hAnsi="Times New Roman" w:cs="Times New Roman"/>
          <w:sz w:val="20"/>
          <w:szCs w:val="20"/>
        </w:rPr>
      </w:pPr>
      <w:r>
        <w:rPr>
          <w:rFonts w:ascii="Times New Roman" w:hAnsi="Times New Roman" w:cs="Times New Roman"/>
          <w:sz w:val="20"/>
          <w:szCs w:val="20"/>
        </w:rPr>
        <w:t>Out of 116 cases, 74 (63.80</w:t>
      </w:r>
      <w:r w:rsidR="00DB7771">
        <w:rPr>
          <w:rFonts w:ascii="Times New Roman" w:hAnsi="Times New Roman" w:cs="Times New Roman"/>
          <w:sz w:val="20"/>
          <w:szCs w:val="20"/>
        </w:rPr>
        <w:t xml:space="preserve">%) </w:t>
      </w:r>
      <w:r w:rsidR="00965466" w:rsidRPr="002944F8">
        <w:rPr>
          <w:rFonts w:ascii="Times New Roman" w:hAnsi="Times New Roman" w:cs="Times New Roman"/>
          <w:sz w:val="20"/>
          <w:szCs w:val="20"/>
        </w:rPr>
        <w:t>were married and 42 (36.20%) were unmarried</w:t>
      </w:r>
      <w:r w:rsidR="00B918C5">
        <w:rPr>
          <w:rFonts w:ascii="Times New Roman" w:hAnsi="Times New Roman" w:cs="Times New Roman"/>
          <w:sz w:val="20"/>
          <w:szCs w:val="20"/>
        </w:rPr>
        <w:t xml:space="preserve"> </w:t>
      </w:r>
      <w:r w:rsidR="00965466" w:rsidRPr="002944F8">
        <w:rPr>
          <w:rFonts w:ascii="Times New Roman" w:hAnsi="Times New Roman" w:cs="Times New Roman"/>
          <w:sz w:val="20"/>
          <w:szCs w:val="20"/>
        </w:rPr>
        <w:t>(</w:t>
      </w:r>
      <w:r w:rsidR="002C71C0" w:rsidRPr="00F666E6">
        <w:rPr>
          <w:rFonts w:ascii="Times New Roman" w:hAnsi="Times New Roman" w:cs="Times New Roman"/>
          <w:sz w:val="20"/>
          <w:szCs w:val="20"/>
        </w:rPr>
        <w:t xml:space="preserve">Fig </w:t>
      </w:r>
      <w:r w:rsidR="00DB7771">
        <w:rPr>
          <w:rFonts w:ascii="Times New Roman" w:hAnsi="Times New Roman" w:cs="Times New Roman"/>
          <w:sz w:val="20"/>
          <w:szCs w:val="20"/>
        </w:rPr>
        <w:t>2</w:t>
      </w:r>
      <w:r w:rsidR="00965466" w:rsidRPr="002944F8">
        <w:rPr>
          <w:rFonts w:ascii="Times New Roman" w:hAnsi="Times New Roman" w:cs="Times New Roman"/>
          <w:b/>
          <w:sz w:val="20"/>
          <w:szCs w:val="20"/>
        </w:rPr>
        <w:t>).</w:t>
      </w:r>
      <w:r w:rsidR="00D33F39" w:rsidRPr="00D33F39">
        <w:rPr>
          <w:rFonts w:ascii="Times New Roman" w:hAnsi="Times New Roman" w:cs="Times New Roman"/>
          <w:sz w:val="20"/>
          <w:szCs w:val="20"/>
        </w:rPr>
        <w:t xml:space="preserve"> </w:t>
      </w:r>
    </w:p>
    <w:p w:rsidR="00D33F39" w:rsidRPr="00801D83" w:rsidRDefault="00B20358" w:rsidP="009D5F0C">
      <w:pPr>
        <w:jc w:val="both"/>
        <w:rPr>
          <w:rFonts w:ascii="Times New Roman" w:hAnsi="Times New Roman" w:cs="Times New Roman"/>
          <w:sz w:val="20"/>
          <w:szCs w:val="20"/>
        </w:rPr>
      </w:pPr>
      <w:r>
        <w:rPr>
          <w:rFonts w:ascii="Times New Roman" w:hAnsi="Times New Roman" w:cs="Times New Roman"/>
          <w:b/>
          <w:sz w:val="20"/>
          <w:szCs w:val="20"/>
        </w:rPr>
        <w:t>(</w:t>
      </w:r>
      <w:r w:rsidR="00D33F39" w:rsidRPr="003209F8">
        <w:rPr>
          <w:rFonts w:ascii="Times New Roman" w:hAnsi="Times New Roman" w:cs="Times New Roman"/>
          <w:sz w:val="20"/>
          <w:szCs w:val="20"/>
        </w:rPr>
        <w:t xml:space="preserve">Table </w:t>
      </w:r>
      <w:r w:rsidR="00DB7771">
        <w:rPr>
          <w:rFonts w:ascii="Times New Roman" w:hAnsi="Times New Roman" w:cs="Times New Roman"/>
          <w:sz w:val="20"/>
          <w:szCs w:val="20"/>
        </w:rPr>
        <w:t>5</w:t>
      </w:r>
      <w:r>
        <w:rPr>
          <w:rFonts w:ascii="Times New Roman" w:hAnsi="Times New Roman" w:cs="Times New Roman"/>
          <w:b/>
          <w:sz w:val="20"/>
          <w:szCs w:val="20"/>
        </w:rPr>
        <w:t>)</w:t>
      </w:r>
      <w:r w:rsidR="00D33F39">
        <w:rPr>
          <w:rFonts w:ascii="Times New Roman" w:hAnsi="Times New Roman" w:cs="Times New Roman"/>
          <w:sz w:val="20"/>
          <w:szCs w:val="20"/>
        </w:rPr>
        <w:t xml:space="preserve"> shows</w:t>
      </w:r>
      <w:r w:rsidR="00E232FE">
        <w:rPr>
          <w:rFonts w:ascii="Times New Roman" w:hAnsi="Times New Roman" w:cs="Times New Roman"/>
          <w:sz w:val="20"/>
          <w:szCs w:val="20"/>
        </w:rPr>
        <w:t xml:space="preserve"> maximum of victims i.</w:t>
      </w:r>
      <w:r w:rsidR="004E6CDA">
        <w:rPr>
          <w:rFonts w:ascii="Times New Roman" w:hAnsi="Times New Roman" w:cs="Times New Roman"/>
          <w:sz w:val="20"/>
          <w:szCs w:val="20"/>
        </w:rPr>
        <w:t>e</w:t>
      </w:r>
      <w:r w:rsidR="00D33F39" w:rsidRPr="002944F8">
        <w:rPr>
          <w:rFonts w:ascii="Times New Roman" w:hAnsi="Times New Roman" w:cs="Times New Roman"/>
          <w:sz w:val="20"/>
          <w:szCs w:val="20"/>
        </w:rPr>
        <w:t>57</w:t>
      </w:r>
      <w:r w:rsidR="00E232FE">
        <w:rPr>
          <w:rFonts w:ascii="Times New Roman" w:hAnsi="Times New Roman" w:cs="Times New Roman"/>
          <w:sz w:val="20"/>
          <w:szCs w:val="20"/>
        </w:rPr>
        <w:t xml:space="preserve"> </w:t>
      </w:r>
      <w:r w:rsidR="00D33F39" w:rsidRPr="002944F8">
        <w:rPr>
          <w:rFonts w:ascii="Times New Roman" w:hAnsi="Times New Roman" w:cs="Times New Roman"/>
          <w:sz w:val="20"/>
          <w:szCs w:val="20"/>
        </w:rPr>
        <w:t>(49.14%)</w:t>
      </w:r>
      <w:r w:rsidR="004E6CDA">
        <w:rPr>
          <w:rFonts w:ascii="Times New Roman" w:hAnsi="Times New Roman" w:cs="Times New Roman"/>
          <w:sz w:val="20"/>
          <w:szCs w:val="20"/>
        </w:rPr>
        <w:t xml:space="preserve"> </w:t>
      </w:r>
      <w:r w:rsidR="00D33F39" w:rsidRPr="002944F8">
        <w:rPr>
          <w:rFonts w:ascii="Times New Roman" w:hAnsi="Times New Roman" w:cs="Times New Roman"/>
          <w:sz w:val="20"/>
          <w:szCs w:val="20"/>
        </w:rPr>
        <w:t>cases were unemployed, of which 35 were suicidal,</w:t>
      </w:r>
      <w:r w:rsidR="006B3EFC">
        <w:rPr>
          <w:rFonts w:ascii="Times New Roman" w:hAnsi="Times New Roman" w:cs="Times New Roman"/>
          <w:sz w:val="20"/>
          <w:szCs w:val="20"/>
        </w:rPr>
        <w:t xml:space="preserve"> </w:t>
      </w:r>
      <w:r w:rsidR="00D33F39" w:rsidRPr="002944F8">
        <w:rPr>
          <w:rFonts w:ascii="Times New Roman" w:hAnsi="Times New Roman" w:cs="Times New Roman"/>
          <w:sz w:val="20"/>
          <w:szCs w:val="20"/>
        </w:rPr>
        <w:t>15 were accidental and 7 were homicidal in nature,</w:t>
      </w:r>
      <w:r w:rsidR="00AF6E31">
        <w:rPr>
          <w:rFonts w:ascii="Times New Roman" w:hAnsi="Times New Roman" w:cs="Times New Roman"/>
          <w:sz w:val="20"/>
          <w:szCs w:val="20"/>
        </w:rPr>
        <w:t xml:space="preserve"> </w:t>
      </w:r>
      <w:r w:rsidR="00D33F39" w:rsidRPr="002944F8">
        <w:rPr>
          <w:rFonts w:ascii="Times New Roman" w:hAnsi="Times New Roman" w:cs="Times New Roman"/>
          <w:sz w:val="20"/>
          <w:szCs w:val="20"/>
        </w:rPr>
        <w:t>followed by students 31(26.72%)</w:t>
      </w:r>
      <w:r w:rsidR="00493031">
        <w:rPr>
          <w:rFonts w:ascii="Times New Roman" w:hAnsi="Times New Roman" w:cs="Times New Roman"/>
          <w:sz w:val="20"/>
          <w:szCs w:val="20"/>
        </w:rPr>
        <w:t xml:space="preserve"> </w:t>
      </w:r>
      <w:r w:rsidR="00D33F39" w:rsidRPr="002944F8">
        <w:rPr>
          <w:rFonts w:ascii="Times New Roman" w:hAnsi="Times New Roman" w:cs="Times New Roman"/>
          <w:sz w:val="20"/>
          <w:szCs w:val="20"/>
        </w:rPr>
        <w:t>cases of which 15 were suicidal, 10 were accidental and 6 were homicidal in nature. 28(24.4%)</w:t>
      </w:r>
      <w:r w:rsidR="005475BF">
        <w:rPr>
          <w:rFonts w:ascii="Times New Roman" w:hAnsi="Times New Roman" w:cs="Times New Roman"/>
          <w:sz w:val="20"/>
          <w:szCs w:val="20"/>
        </w:rPr>
        <w:t xml:space="preserve"> </w:t>
      </w:r>
      <w:r w:rsidR="00D33F39" w:rsidRPr="002944F8">
        <w:rPr>
          <w:rFonts w:ascii="Times New Roman" w:hAnsi="Times New Roman" w:cs="Times New Roman"/>
          <w:sz w:val="20"/>
          <w:szCs w:val="20"/>
        </w:rPr>
        <w:t>of the cases were employed, of which 16 were accidental, 9 were suicidal and 3 were homicidal in nature.</w:t>
      </w:r>
    </w:p>
    <w:p w:rsidR="00965466" w:rsidRDefault="00965466" w:rsidP="009D5F0C">
      <w:pPr>
        <w:jc w:val="both"/>
        <w:rPr>
          <w:rFonts w:ascii="Times New Roman" w:hAnsi="Times New Roman" w:cs="Times New Roman"/>
          <w:b/>
          <w:sz w:val="20"/>
          <w:szCs w:val="20"/>
        </w:rPr>
      </w:pPr>
      <w:r w:rsidRPr="002944F8">
        <w:rPr>
          <w:rFonts w:ascii="Times New Roman" w:hAnsi="Times New Roman" w:cs="Times New Roman"/>
          <w:sz w:val="20"/>
          <w:szCs w:val="20"/>
        </w:rPr>
        <w:t>Maximum death</w:t>
      </w:r>
      <w:r>
        <w:rPr>
          <w:rFonts w:ascii="Times New Roman" w:hAnsi="Times New Roman" w:cs="Times New Roman"/>
          <w:sz w:val="20"/>
          <w:szCs w:val="20"/>
        </w:rPr>
        <w:t>s</w:t>
      </w:r>
      <w:r w:rsidRPr="002944F8">
        <w:rPr>
          <w:rFonts w:ascii="Times New Roman" w:hAnsi="Times New Roman" w:cs="Times New Roman"/>
          <w:sz w:val="20"/>
          <w:szCs w:val="20"/>
        </w:rPr>
        <w:t xml:space="preserve"> occurred in summer</w:t>
      </w:r>
      <w:r>
        <w:rPr>
          <w:rFonts w:ascii="Times New Roman" w:hAnsi="Times New Roman" w:cs="Times New Roman"/>
          <w:sz w:val="20"/>
          <w:szCs w:val="20"/>
        </w:rPr>
        <w:t xml:space="preserve">, </w:t>
      </w:r>
      <w:r w:rsidRPr="002944F8">
        <w:rPr>
          <w:rFonts w:ascii="Times New Roman" w:hAnsi="Times New Roman" w:cs="Times New Roman"/>
          <w:sz w:val="20"/>
          <w:szCs w:val="20"/>
        </w:rPr>
        <w:t>reaching a number of 36 cases (31.03%)</w:t>
      </w:r>
      <w:r>
        <w:rPr>
          <w:rFonts w:ascii="Times New Roman" w:hAnsi="Times New Roman" w:cs="Times New Roman"/>
          <w:sz w:val="20"/>
          <w:szCs w:val="20"/>
        </w:rPr>
        <w:t>,</w:t>
      </w:r>
      <w:r w:rsidRPr="002944F8">
        <w:rPr>
          <w:rFonts w:ascii="Times New Roman" w:hAnsi="Times New Roman" w:cs="Times New Roman"/>
          <w:sz w:val="20"/>
          <w:szCs w:val="20"/>
        </w:rPr>
        <w:t xml:space="preserve"> followed by autumn </w:t>
      </w:r>
      <w:r w:rsidR="00AF6E31">
        <w:rPr>
          <w:rFonts w:ascii="Times New Roman" w:hAnsi="Times New Roman" w:cs="Times New Roman"/>
          <w:sz w:val="20"/>
          <w:szCs w:val="20"/>
        </w:rPr>
        <w:t xml:space="preserve">and spring with same number of </w:t>
      </w:r>
      <w:r w:rsidRPr="002944F8">
        <w:rPr>
          <w:rFonts w:ascii="Times New Roman" w:hAnsi="Times New Roman" w:cs="Times New Roman"/>
          <w:sz w:val="20"/>
          <w:szCs w:val="20"/>
        </w:rPr>
        <w:t>28(24.13%) cases each</w:t>
      </w:r>
      <w:r>
        <w:rPr>
          <w:rFonts w:ascii="Times New Roman" w:hAnsi="Times New Roman" w:cs="Times New Roman"/>
          <w:sz w:val="20"/>
          <w:szCs w:val="20"/>
        </w:rPr>
        <w:t>,</w:t>
      </w:r>
      <w:r w:rsidRPr="002944F8">
        <w:rPr>
          <w:rFonts w:ascii="Times New Roman" w:hAnsi="Times New Roman" w:cs="Times New Roman"/>
          <w:sz w:val="20"/>
          <w:szCs w:val="20"/>
        </w:rPr>
        <w:t xml:space="preserve"> and winter with the lea</w:t>
      </w:r>
      <w:r w:rsidR="0005572F">
        <w:rPr>
          <w:rFonts w:ascii="Times New Roman" w:hAnsi="Times New Roman" w:cs="Times New Roman"/>
          <w:sz w:val="20"/>
          <w:szCs w:val="20"/>
        </w:rPr>
        <w:t>st number of 24 cases (20.68 %)</w:t>
      </w:r>
      <w:r w:rsidR="00E232FE">
        <w:rPr>
          <w:rFonts w:ascii="Times New Roman" w:hAnsi="Times New Roman" w:cs="Times New Roman"/>
          <w:sz w:val="20"/>
          <w:szCs w:val="20"/>
        </w:rPr>
        <w:t xml:space="preserve"> </w:t>
      </w:r>
      <w:r w:rsidRPr="002944F8">
        <w:rPr>
          <w:rFonts w:ascii="Times New Roman" w:hAnsi="Times New Roman" w:cs="Times New Roman"/>
          <w:sz w:val="20"/>
          <w:szCs w:val="20"/>
        </w:rPr>
        <w:t>(</w:t>
      </w:r>
      <w:r w:rsidR="00DB7771">
        <w:rPr>
          <w:rFonts w:ascii="Times New Roman" w:hAnsi="Times New Roman" w:cs="Times New Roman"/>
          <w:sz w:val="20"/>
          <w:szCs w:val="20"/>
        </w:rPr>
        <w:t>Table 6</w:t>
      </w:r>
      <w:r w:rsidRPr="002944F8">
        <w:rPr>
          <w:rFonts w:ascii="Times New Roman" w:hAnsi="Times New Roman" w:cs="Times New Roman"/>
          <w:b/>
          <w:sz w:val="20"/>
          <w:szCs w:val="20"/>
        </w:rPr>
        <w:t>)</w:t>
      </w:r>
      <w:r w:rsidR="0005572F">
        <w:rPr>
          <w:rFonts w:ascii="Times New Roman" w:hAnsi="Times New Roman" w:cs="Times New Roman"/>
          <w:b/>
          <w:sz w:val="20"/>
          <w:szCs w:val="20"/>
        </w:rPr>
        <w:t xml:space="preserve"> </w:t>
      </w:r>
      <w:r w:rsidRPr="002944F8">
        <w:rPr>
          <w:rFonts w:ascii="Times New Roman" w:hAnsi="Times New Roman" w:cs="Times New Roman"/>
          <w:b/>
          <w:sz w:val="20"/>
          <w:szCs w:val="20"/>
        </w:rPr>
        <w:t>.</w:t>
      </w:r>
    </w:p>
    <w:p w:rsidR="00B918C5" w:rsidRPr="002944F8" w:rsidRDefault="00B918C5" w:rsidP="009D5F0C">
      <w:pPr>
        <w:jc w:val="both"/>
        <w:rPr>
          <w:rFonts w:ascii="Times New Roman" w:hAnsi="Times New Roman" w:cs="Times New Roman"/>
          <w:sz w:val="20"/>
          <w:szCs w:val="20"/>
        </w:rPr>
      </w:pPr>
      <w:r w:rsidRPr="002944F8">
        <w:rPr>
          <w:rFonts w:ascii="Times New Roman" w:hAnsi="Times New Roman" w:cs="Times New Roman"/>
          <w:sz w:val="20"/>
          <w:szCs w:val="20"/>
        </w:rPr>
        <w:t>The incidence of various asphyxial deaths were recorded and hanging was found to be the most common type with 59 (50.86%) cases, of which 32 were male and 27 were female, followed by drowning with 43(37.06%) cases, of which 32 were male and 11 were female, strangulation with 12 (10.34%) cases of which 4 were male and 8 were female, smothering with 2 (1.72%) cases with female preponderance (</w:t>
      </w:r>
      <w:r w:rsidR="002C71C0" w:rsidRPr="00F666E6">
        <w:rPr>
          <w:rFonts w:ascii="Times New Roman" w:hAnsi="Times New Roman" w:cs="Times New Roman"/>
          <w:sz w:val="20"/>
          <w:szCs w:val="20"/>
        </w:rPr>
        <w:t xml:space="preserve">Table </w:t>
      </w:r>
      <w:r w:rsidR="00DB7771">
        <w:rPr>
          <w:rFonts w:ascii="Times New Roman" w:hAnsi="Times New Roman" w:cs="Times New Roman"/>
          <w:sz w:val="20"/>
          <w:szCs w:val="20"/>
        </w:rPr>
        <w:t>7</w:t>
      </w:r>
      <w:r w:rsidRPr="002944F8">
        <w:rPr>
          <w:rFonts w:ascii="Times New Roman" w:hAnsi="Times New Roman" w:cs="Times New Roman"/>
          <w:b/>
          <w:sz w:val="20"/>
          <w:szCs w:val="20"/>
        </w:rPr>
        <w:t>).</w:t>
      </w:r>
    </w:p>
    <w:p w:rsidR="00B918C5" w:rsidRDefault="00B918C5" w:rsidP="009D5F0C">
      <w:pPr>
        <w:jc w:val="both"/>
        <w:rPr>
          <w:rFonts w:ascii="Times New Roman" w:hAnsi="Times New Roman" w:cs="Times New Roman"/>
          <w:sz w:val="20"/>
          <w:szCs w:val="20"/>
        </w:rPr>
      </w:pPr>
      <w:r w:rsidRPr="002944F8">
        <w:rPr>
          <w:rFonts w:ascii="Times New Roman" w:hAnsi="Times New Roman" w:cs="Times New Roman"/>
          <w:sz w:val="20"/>
          <w:szCs w:val="20"/>
        </w:rPr>
        <w:t>Regarding manner of death, it is found th</w:t>
      </w:r>
      <w:r w:rsidR="004E6CDA">
        <w:rPr>
          <w:rFonts w:ascii="Times New Roman" w:hAnsi="Times New Roman" w:cs="Times New Roman"/>
          <w:sz w:val="20"/>
          <w:szCs w:val="20"/>
        </w:rPr>
        <w:t>at all the cases of hanging i.e</w:t>
      </w:r>
      <w:r w:rsidRPr="002944F8">
        <w:rPr>
          <w:rFonts w:ascii="Times New Roman" w:hAnsi="Times New Roman" w:cs="Times New Roman"/>
          <w:sz w:val="20"/>
          <w:szCs w:val="20"/>
        </w:rPr>
        <w:t>59 (50.86%) cases, were suicidal in nature. Accidental and homicid</w:t>
      </w:r>
      <w:r w:rsidR="004E6CDA">
        <w:rPr>
          <w:rFonts w:ascii="Times New Roman" w:hAnsi="Times New Roman" w:cs="Times New Roman"/>
          <w:sz w:val="20"/>
          <w:szCs w:val="20"/>
        </w:rPr>
        <w:t xml:space="preserve">al </w:t>
      </w:r>
      <w:r w:rsidRPr="002944F8">
        <w:rPr>
          <w:rFonts w:ascii="Times New Roman" w:hAnsi="Times New Roman" w:cs="Times New Roman"/>
          <w:sz w:val="20"/>
          <w:szCs w:val="20"/>
        </w:rPr>
        <w:t>hanging were not found in the study. All strangulation (10.34%) and smothering (1.72%)</w:t>
      </w:r>
      <w:r w:rsidR="001E4119">
        <w:rPr>
          <w:rFonts w:ascii="Times New Roman" w:hAnsi="Times New Roman" w:cs="Times New Roman"/>
          <w:sz w:val="20"/>
          <w:szCs w:val="20"/>
        </w:rPr>
        <w:t xml:space="preserve"> </w:t>
      </w:r>
      <w:r w:rsidRPr="002944F8">
        <w:rPr>
          <w:rFonts w:ascii="Times New Roman" w:hAnsi="Times New Roman" w:cs="Times New Roman"/>
          <w:sz w:val="20"/>
          <w:szCs w:val="20"/>
        </w:rPr>
        <w:t xml:space="preserve">cases, were of homicidal in nature and out of </w:t>
      </w:r>
      <w:r w:rsidR="00635DEC">
        <w:rPr>
          <w:rFonts w:ascii="Times New Roman" w:hAnsi="Times New Roman" w:cs="Times New Roman"/>
          <w:sz w:val="20"/>
          <w:szCs w:val="20"/>
        </w:rPr>
        <w:t>43 cases of drowning(37.06%), 42</w:t>
      </w:r>
      <w:r w:rsidRPr="002944F8">
        <w:rPr>
          <w:rFonts w:ascii="Times New Roman" w:hAnsi="Times New Roman" w:cs="Times New Roman"/>
          <w:sz w:val="20"/>
          <w:szCs w:val="20"/>
        </w:rPr>
        <w:t xml:space="preserve"> were found to be ac</w:t>
      </w:r>
      <w:r w:rsidR="00A36A09">
        <w:rPr>
          <w:rFonts w:ascii="Times New Roman" w:hAnsi="Times New Roman" w:cs="Times New Roman"/>
          <w:sz w:val="20"/>
          <w:szCs w:val="20"/>
        </w:rPr>
        <w:t>cid</w:t>
      </w:r>
      <w:r w:rsidR="00635DEC">
        <w:rPr>
          <w:rFonts w:ascii="Times New Roman" w:hAnsi="Times New Roman" w:cs="Times New Roman"/>
          <w:sz w:val="20"/>
          <w:szCs w:val="20"/>
        </w:rPr>
        <w:t>ental and remaining 1 was</w:t>
      </w:r>
      <w:r w:rsidRPr="002944F8">
        <w:rPr>
          <w:rFonts w:ascii="Times New Roman" w:hAnsi="Times New Roman" w:cs="Times New Roman"/>
          <w:sz w:val="20"/>
          <w:szCs w:val="20"/>
        </w:rPr>
        <w:t xml:space="preserve"> homicidal in nature(</w:t>
      </w:r>
      <w:r w:rsidR="002C71C0" w:rsidRPr="002C71C0">
        <w:rPr>
          <w:rFonts w:ascii="Times New Roman" w:hAnsi="Times New Roman" w:cs="Times New Roman"/>
          <w:sz w:val="20"/>
          <w:szCs w:val="20"/>
        </w:rPr>
        <w:t xml:space="preserve">Table </w:t>
      </w:r>
      <w:r w:rsidR="008B6669">
        <w:rPr>
          <w:rFonts w:ascii="Times New Roman" w:hAnsi="Times New Roman" w:cs="Times New Roman"/>
          <w:sz w:val="20"/>
          <w:szCs w:val="20"/>
        </w:rPr>
        <w:t>7</w:t>
      </w:r>
      <w:r w:rsidRPr="002944F8">
        <w:rPr>
          <w:rFonts w:ascii="Times New Roman" w:hAnsi="Times New Roman" w:cs="Times New Roman"/>
          <w:b/>
          <w:sz w:val="20"/>
          <w:szCs w:val="20"/>
        </w:rPr>
        <w:t>)</w:t>
      </w:r>
      <w:r w:rsidR="00025D21">
        <w:rPr>
          <w:rFonts w:ascii="Times New Roman" w:hAnsi="Times New Roman" w:cs="Times New Roman"/>
          <w:b/>
          <w:sz w:val="20"/>
          <w:szCs w:val="20"/>
        </w:rPr>
        <w:t>.</w:t>
      </w:r>
      <w:r w:rsidRPr="002944F8">
        <w:rPr>
          <w:rFonts w:ascii="Times New Roman" w:hAnsi="Times New Roman" w:cs="Times New Roman"/>
          <w:sz w:val="20"/>
          <w:szCs w:val="20"/>
        </w:rPr>
        <w:t xml:space="preserve">  </w:t>
      </w:r>
    </w:p>
    <w:p w:rsidR="009F46F7" w:rsidRPr="002944F8" w:rsidRDefault="00AD0AED" w:rsidP="009D5F0C">
      <w:pPr>
        <w:jc w:val="both"/>
        <w:rPr>
          <w:rFonts w:ascii="Times New Roman" w:hAnsi="Times New Roman" w:cs="Times New Roman"/>
          <w:b/>
          <w:sz w:val="20"/>
          <w:szCs w:val="20"/>
        </w:rPr>
      </w:pPr>
      <w:r w:rsidRPr="002944F8">
        <w:rPr>
          <w:rFonts w:ascii="Times New Roman" w:hAnsi="Times New Roman" w:cs="Times New Roman"/>
          <w:sz w:val="20"/>
          <w:szCs w:val="20"/>
        </w:rPr>
        <w:t>Most of the cases occurr</w:t>
      </w:r>
      <w:r w:rsidR="00632CEE" w:rsidRPr="002944F8">
        <w:rPr>
          <w:rFonts w:ascii="Times New Roman" w:hAnsi="Times New Roman" w:cs="Times New Roman"/>
          <w:sz w:val="20"/>
          <w:szCs w:val="20"/>
        </w:rPr>
        <w:t>ed between 6am – 12 noon with 50 cases contributing 43.10%, followed by</w:t>
      </w:r>
      <w:r w:rsidR="00096809" w:rsidRPr="002944F8">
        <w:rPr>
          <w:rFonts w:ascii="Times New Roman" w:hAnsi="Times New Roman" w:cs="Times New Roman"/>
          <w:sz w:val="20"/>
          <w:szCs w:val="20"/>
        </w:rPr>
        <w:t xml:space="preserve"> between 12 noon – 6pm with </w:t>
      </w:r>
      <w:r w:rsidR="00632CEE" w:rsidRPr="002944F8">
        <w:rPr>
          <w:rFonts w:ascii="Times New Roman" w:hAnsi="Times New Roman" w:cs="Times New Roman"/>
          <w:sz w:val="20"/>
          <w:szCs w:val="20"/>
        </w:rPr>
        <w:t>36</w:t>
      </w:r>
      <w:r w:rsidR="00096809" w:rsidRPr="002944F8">
        <w:rPr>
          <w:rFonts w:ascii="Times New Roman" w:hAnsi="Times New Roman" w:cs="Times New Roman"/>
          <w:sz w:val="20"/>
          <w:szCs w:val="20"/>
        </w:rPr>
        <w:t xml:space="preserve"> cases</w:t>
      </w:r>
      <w:r w:rsidR="004E6CDA">
        <w:rPr>
          <w:rFonts w:ascii="Times New Roman" w:hAnsi="Times New Roman" w:cs="Times New Roman"/>
          <w:sz w:val="20"/>
          <w:szCs w:val="20"/>
        </w:rPr>
        <w:t xml:space="preserve"> </w:t>
      </w:r>
      <w:r w:rsidR="00096809" w:rsidRPr="002944F8">
        <w:rPr>
          <w:rFonts w:ascii="Times New Roman" w:hAnsi="Times New Roman" w:cs="Times New Roman"/>
          <w:sz w:val="20"/>
          <w:szCs w:val="20"/>
        </w:rPr>
        <w:t>(</w:t>
      </w:r>
      <w:r w:rsidR="00632CEE" w:rsidRPr="002944F8">
        <w:rPr>
          <w:rFonts w:ascii="Times New Roman" w:hAnsi="Times New Roman" w:cs="Times New Roman"/>
          <w:sz w:val="20"/>
          <w:szCs w:val="20"/>
        </w:rPr>
        <w:t>31.0</w:t>
      </w:r>
      <w:r w:rsidRPr="002944F8">
        <w:rPr>
          <w:rFonts w:ascii="Times New Roman" w:hAnsi="Times New Roman" w:cs="Times New Roman"/>
          <w:sz w:val="20"/>
          <w:szCs w:val="20"/>
        </w:rPr>
        <w:t>3%</w:t>
      </w:r>
      <w:r w:rsidR="004E72A2">
        <w:rPr>
          <w:rFonts w:ascii="Times New Roman" w:hAnsi="Times New Roman" w:cs="Times New Roman"/>
          <w:sz w:val="20"/>
          <w:szCs w:val="20"/>
        </w:rPr>
        <w:t xml:space="preserve">), </w:t>
      </w:r>
      <w:r w:rsidR="00632CEE" w:rsidRPr="002944F8">
        <w:rPr>
          <w:rFonts w:ascii="Times New Roman" w:hAnsi="Times New Roman" w:cs="Times New Roman"/>
          <w:sz w:val="20"/>
          <w:szCs w:val="20"/>
        </w:rPr>
        <w:t>12 midnight – 6am with 19 (16.37%)</w:t>
      </w:r>
      <w:r w:rsidR="004E6CDA">
        <w:rPr>
          <w:rFonts w:ascii="Times New Roman" w:hAnsi="Times New Roman" w:cs="Times New Roman"/>
          <w:sz w:val="20"/>
          <w:szCs w:val="20"/>
        </w:rPr>
        <w:t xml:space="preserve"> </w:t>
      </w:r>
      <w:r w:rsidR="00096809" w:rsidRPr="002944F8">
        <w:rPr>
          <w:rFonts w:ascii="Times New Roman" w:hAnsi="Times New Roman" w:cs="Times New Roman"/>
          <w:sz w:val="20"/>
          <w:szCs w:val="20"/>
        </w:rPr>
        <w:t>cases</w:t>
      </w:r>
      <w:r w:rsidR="00632CEE" w:rsidRPr="002944F8">
        <w:rPr>
          <w:rFonts w:ascii="Times New Roman" w:hAnsi="Times New Roman" w:cs="Times New Roman"/>
          <w:sz w:val="20"/>
          <w:szCs w:val="20"/>
        </w:rPr>
        <w:t xml:space="preserve"> and </w:t>
      </w:r>
      <w:r w:rsidRPr="002944F8">
        <w:rPr>
          <w:rFonts w:ascii="Times New Roman" w:hAnsi="Times New Roman" w:cs="Times New Roman"/>
          <w:sz w:val="20"/>
          <w:szCs w:val="20"/>
        </w:rPr>
        <w:t>between 6pm-12 midnight</w:t>
      </w:r>
      <w:r w:rsidR="004E6CDA">
        <w:rPr>
          <w:rFonts w:ascii="Times New Roman" w:hAnsi="Times New Roman" w:cs="Times New Roman"/>
          <w:sz w:val="20"/>
          <w:szCs w:val="20"/>
        </w:rPr>
        <w:t xml:space="preserve"> with 11 cases (9.48%)</w:t>
      </w:r>
      <w:r w:rsidR="00025D21">
        <w:rPr>
          <w:rFonts w:ascii="Times New Roman" w:hAnsi="Times New Roman" w:cs="Times New Roman"/>
          <w:sz w:val="20"/>
          <w:szCs w:val="20"/>
        </w:rPr>
        <w:t xml:space="preserve"> </w:t>
      </w:r>
      <w:r w:rsidR="001E4119">
        <w:rPr>
          <w:rFonts w:ascii="Times New Roman" w:hAnsi="Times New Roman" w:cs="Times New Roman"/>
          <w:sz w:val="20"/>
          <w:szCs w:val="20"/>
        </w:rPr>
        <w:t>(</w:t>
      </w:r>
      <w:r w:rsidR="008B6669">
        <w:rPr>
          <w:rFonts w:ascii="Times New Roman" w:hAnsi="Times New Roman" w:cs="Times New Roman"/>
          <w:sz w:val="20"/>
          <w:szCs w:val="20"/>
        </w:rPr>
        <w:t>Table 8</w:t>
      </w:r>
      <w:r w:rsidR="00096809" w:rsidRPr="002944F8">
        <w:rPr>
          <w:rFonts w:ascii="Times New Roman" w:hAnsi="Times New Roman" w:cs="Times New Roman"/>
          <w:b/>
          <w:sz w:val="20"/>
          <w:szCs w:val="20"/>
        </w:rPr>
        <w:t>)</w:t>
      </w:r>
      <w:r w:rsidR="00406CDB" w:rsidRPr="002944F8">
        <w:rPr>
          <w:rFonts w:ascii="Times New Roman" w:hAnsi="Times New Roman" w:cs="Times New Roman"/>
          <w:b/>
          <w:sz w:val="20"/>
          <w:szCs w:val="20"/>
        </w:rPr>
        <w:t>.</w:t>
      </w:r>
    </w:p>
    <w:p w:rsidR="007C2419" w:rsidRDefault="004017EF" w:rsidP="009D5F0C">
      <w:pPr>
        <w:jc w:val="both"/>
        <w:rPr>
          <w:rFonts w:ascii="Times New Roman" w:hAnsi="Times New Roman" w:cs="Times New Roman"/>
          <w:b/>
          <w:sz w:val="20"/>
          <w:szCs w:val="20"/>
        </w:rPr>
      </w:pPr>
      <w:r w:rsidRPr="002944F8">
        <w:rPr>
          <w:rFonts w:ascii="Times New Roman" w:hAnsi="Times New Roman" w:cs="Times New Roman"/>
          <w:sz w:val="20"/>
          <w:szCs w:val="20"/>
        </w:rPr>
        <w:t>In the present study,</w:t>
      </w:r>
      <w:r w:rsidR="004E6CDA">
        <w:rPr>
          <w:rFonts w:ascii="Times New Roman" w:hAnsi="Times New Roman" w:cs="Times New Roman"/>
          <w:sz w:val="20"/>
          <w:szCs w:val="20"/>
        </w:rPr>
        <w:t xml:space="preserve"> it has been found that</w:t>
      </w:r>
      <w:r w:rsidRPr="002944F8">
        <w:rPr>
          <w:rFonts w:ascii="Times New Roman" w:hAnsi="Times New Roman" w:cs="Times New Roman"/>
          <w:sz w:val="20"/>
          <w:szCs w:val="20"/>
        </w:rPr>
        <w:t xml:space="preserve"> people committed suicide by hanging</w:t>
      </w:r>
      <w:r w:rsidR="008760A5">
        <w:rPr>
          <w:rFonts w:ascii="Times New Roman" w:hAnsi="Times New Roman" w:cs="Times New Roman"/>
          <w:sz w:val="20"/>
          <w:szCs w:val="20"/>
        </w:rPr>
        <w:t xml:space="preserve"> more at places outside home </w:t>
      </w:r>
      <w:r w:rsidRPr="002944F8">
        <w:rPr>
          <w:rFonts w:ascii="Times New Roman" w:hAnsi="Times New Roman" w:cs="Times New Roman"/>
          <w:sz w:val="20"/>
          <w:szCs w:val="20"/>
        </w:rPr>
        <w:t>(</w:t>
      </w:r>
      <w:r w:rsidR="008760A5" w:rsidRPr="008760A5">
        <w:rPr>
          <w:rFonts w:ascii="Calibri" w:eastAsia="Times New Roman" w:hAnsi="Calibri" w:cs="Times New Roman"/>
          <w:color w:val="000000"/>
          <w:lang w:eastAsia="en-IN"/>
        </w:rPr>
        <w:t>64.41</w:t>
      </w:r>
      <w:r w:rsidRPr="002944F8">
        <w:rPr>
          <w:rFonts w:ascii="Times New Roman" w:hAnsi="Times New Roman" w:cs="Times New Roman"/>
          <w:sz w:val="20"/>
          <w:szCs w:val="20"/>
        </w:rPr>
        <w:t xml:space="preserve">%) </w:t>
      </w:r>
      <w:r w:rsidR="00056C76">
        <w:rPr>
          <w:rFonts w:ascii="Times New Roman" w:hAnsi="Times New Roman" w:cs="Times New Roman"/>
          <w:sz w:val="20"/>
          <w:szCs w:val="20"/>
        </w:rPr>
        <w:t>rather than home</w:t>
      </w:r>
      <w:r w:rsidR="00886FF0">
        <w:rPr>
          <w:rFonts w:ascii="Times New Roman" w:hAnsi="Times New Roman" w:cs="Times New Roman"/>
          <w:sz w:val="20"/>
          <w:szCs w:val="20"/>
        </w:rPr>
        <w:t xml:space="preserve"> </w:t>
      </w:r>
      <w:r w:rsidRPr="002944F8">
        <w:rPr>
          <w:rFonts w:ascii="Times New Roman" w:hAnsi="Times New Roman" w:cs="Times New Roman"/>
          <w:sz w:val="20"/>
          <w:szCs w:val="20"/>
        </w:rPr>
        <w:t>(</w:t>
      </w:r>
      <w:r w:rsidR="008760A5" w:rsidRPr="008760A5">
        <w:rPr>
          <w:rFonts w:ascii="Calibri" w:eastAsia="Times New Roman" w:hAnsi="Calibri" w:cs="Times New Roman"/>
          <w:color w:val="000000"/>
          <w:lang w:eastAsia="en-IN"/>
        </w:rPr>
        <w:t>35.59%</w:t>
      </w:r>
      <w:r w:rsidR="00056C76">
        <w:rPr>
          <w:rFonts w:ascii="Times New Roman" w:hAnsi="Times New Roman" w:cs="Times New Roman"/>
          <w:sz w:val="20"/>
          <w:szCs w:val="20"/>
        </w:rPr>
        <w:t>)</w:t>
      </w:r>
      <w:r w:rsidR="00886FF0">
        <w:rPr>
          <w:rFonts w:ascii="Times New Roman" w:hAnsi="Times New Roman" w:cs="Times New Roman"/>
          <w:sz w:val="20"/>
          <w:szCs w:val="20"/>
        </w:rPr>
        <w:t xml:space="preserve"> </w:t>
      </w:r>
      <w:r w:rsidR="002C71C0">
        <w:rPr>
          <w:rFonts w:ascii="Times New Roman" w:hAnsi="Times New Roman" w:cs="Times New Roman"/>
          <w:sz w:val="20"/>
          <w:szCs w:val="20"/>
        </w:rPr>
        <w:t xml:space="preserve">(Fig </w:t>
      </w:r>
      <w:r w:rsidR="008B6669">
        <w:rPr>
          <w:rFonts w:ascii="Times New Roman" w:hAnsi="Times New Roman" w:cs="Times New Roman"/>
          <w:sz w:val="20"/>
          <w:szCs w:val="20"/>
        </w:rPr>
        <w:t>3</w:t>
      </w:r>
      <w:r w:rsidR="008E797D">
        <w:rPr>
          <w:rFonts w:ascii="Times New Roman" w:hAnsi="Times New Roman" w:cs="Times New Roman"/>
          <w:b/>
          <w:sz w:val="20"/>
          <w:szCs w:val="20"/>
        </w:rPr>
        <w:t>)</w:t>
      </w:r>
    </w:p>
    <w:p w:rsidR="002D2745" w:rsidRDefault="00651AB2" w:rsidP="00DE12C0">
      <w:pPr>
        <w:spacing w:after="0"/>
        <w:jc w:val="both"/>
        <w:rPr>
          <w:rFonts w:ascii="Times New Roman" w:hAnsi="Times New Roman" w:cs="Times New Roman"/>
          <w:b/>
          <w:sz w:val="18"/>
          <w:szCs w:val="18"/>
        </w:rPr>
      </w:pPr>
      <w:r>
        <w:rPr>
          <w:rFonts w:ascii="Times New Roman" w:hAnsi="Times New Roman" w:cs="Times New Roman"/>
          <w:sz w:val="20"/>
          <w:szCs w:val="20"/>
        </w:rPr>
        <w:t xml:space="preserve"> </w:t>
      </w:r>
      <w:r w:rsidRPr="00651AB2">
        <w:rPr>
          <w:rFonts w:ascii="Times New Roman" w:hAnsi="Times New Roman" w:cs="Times New Roman"/>
          <w:b/>
          <w:sz w:val="18"/>
          <w:szCs w:val="18"/>
        </w:rPr>
        <w:t>Table 1: Year wise distribution of cases</w:t>
      </w:r>
    </w:p>
    <w:p w:rsidR="00A80497" w:rsidRPr="007C2419" w:rsidRDefault="00A80497" w:rsidP="00DE12C0">
      <w:pPr>
        <w:spacing w:after="0"/>
        <w:jc w:val="both"/>
        <w:rPr>
          <w:rFonts w:ascii="Times New Roman" w:hAnsi="Times New Roman" w:cs="Times New Roman"/>
          <w:b/>
          <w:sz w:val="20"/>
          <w:szCs w:val="20"/>
        </w:rPr>
      </w:pPr>
    </w:p>
    <w:tbl>
      <w:tblPr>
        <w:tblStyle w:val="TableGrid"/>
        <w:tblpPr w:leftFromText="180" w:rightFromText="180" w:vertAnchor="text" w:horzAnchor="margin" w:tblpX="108" w:tblpY="21"/>
        <w:tblOverlap w:val="never"/>
        <w:tblW w:w="46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34"/>
        <w:gridCol w:w="708"/>
        <w:gridCol w:w="851"/>
        <w:gridCol w:w="1276"/>
        <w:gridCol w:w="1275"/>
      </w:tblGrid>
      <w:tr w:rsidR="006B645D" w:rsidRPr="00651AB2" w:rsidTr="00895567">
        <w:trPr>
          <w:trHeight w:val="386"/>
        </w:trPr>
        <w:tc>
          <w:tcPr>
            <w:tcW w:w="534" w:type="dxa"/>
          </w:tcPr>
          <w:p w:rsidR="007C2419" w:rsidRPr="007C2419" w:rsidRDefault="007C2419" w:rsidP="00DE12C0">
            <w:pPr>
              <w:jc w:val="both"/>
              <w:rPr>
                <w:rFonts w:ascii="Times New Roman" w:hAnsi="Times New Roman" w:cs="Times New Roman"/>
                <w:b/>
                <w:sz w:val="20"/>
                <w:szCs w:val="18"/>
              </w:rPr>
            </w:pPr>
            <w:r w:rsidRPr="007C2419">
              <w:rPr>
                <w:rFonts w:ascii="Times New Roman" w:hAnsi="Times New Roman" w:cs="Times New Roman"/>
                <w:b/>
                <w:sz w:val="20"/>
                <w:szCs w:val="18"/>
              </w:rPr>
              <w:t>Sl. No.</w:t>
            </w:r>
          </w:p>
        </w:tc>
        <w:tc>
          <w:tcPr>
            <w:tcW w:w="708" w:type="dxa"/>
          </w:tcPr>
          <w:p w:rsidR="007C2419" w:rsidRPr="007C2419" w:rsidRDefault="007C2419" w:rsidP="009D5F0C">
            <w:pPr>
              <w:jc w:val="both"/>
              <w:rPr>
                <w:rFonts w:ascii="Times New Roman" w:hAnsi="Times New Roman" w:cs="Times New Roman"/>
                <w:b/>
                <w:sz w:val="20"/>
                <w:szCs w:val="18"/>
              </w:rPr>
            </w:pPr>
            <w:r w:rsidRPr="007C2419">
              <w:rPr>
                <w:rFonts w:ascii="Times New Roman" w:hAnsi="Times New Roman" w:cs="Times New Roman"/>
                <w:b/>
                <w:sz w:val="20"/>
                <w:szCs w:val="18"/>
              </w:rPr>
              <w:t>Y</w:t>
            </w:r>
            <w:r w:rsidR="006B645D">
              <w:rPr>
                <w:rFonts w:ascii="Times New Roman" w:hAnsi="Times New Roman" w:cs="Times New Roman"/>
                <w:b/>
                <w:sz w:val="20"/>
                <w:szCs w:val="18"/>
              </w:rPr>
              <w:t>ear</w:t>
            </w:r>
          </w:p>
        </w:tc>
        <w:tc>
          <w:tcPr>
            <w:tcW w:w="851" w:type="dxa"/>
          </w:tcPr>
          <w:p w:rsidR="007C2419" w:rsidRPr="007C2419" w:rsidRDefault="007C2419" w:rsidP="009D5F0C">
            <w:pPr>
              <w:jc w:val="both"/>
              <w:rPr>
                <w:rFonts w:ascii="Times New Roman" w:hAnsi="Times New Roman" w:cs="Times New Roman"/>
                <w:b/>
                <w:sz w:val="20"/>
                <w:szCs w:val="18"/>
              </w:rPr>
            </w:pPr>
            <w:r w:rsidRPr="007C2419">
              <w:rPr>
                <w:rFonts w:ascii="Times New Roman" w:hAnsi="Times New Roman" w:cs="Times New Roman"/>
                <w:b/>
                <w:sz w:val="20"/>
                <w:szCs w:val="18"/>
              </w:rPr>
              <w:t>T</w:t>
            </w:r>
            <w:r w:rsidR="006B645D">
              <w:rPr>
                <w:rFonts w:ascii="Times New Roman" w:hAnsi="Times New Roman" w:cs="Times New Roman"/>
                <w:b/>
                <w:sz w:val="20"/>
                <w:szCs w:val="18"/>
              </w:rPr>
              <w:t>otal cases</w:t>
            </w:r>
          </w:p>
        </w:tc>
        <w:tc>
          <w:tcPr>
            <w:tcW w:w="1276" w:type="dxa"/>
          </w:tcPr>
          <w:p w:rsidR="007C2419" w:rsidRPr="007C2419" w:rsidRDefault="007C2419" w:rsidP="009D5F0C">
            <w:pPr>
              <w:jc w:val="both"/>
              <w:rPr>
                <w:rFonts w:ascii="Times New Roman" w:hAnsi="Times New Roman" w:cs="Times New Roman"/>
                <w:b/>
                <w:sz w:val="20"/>
                <w:szCs w:val="18"/>
              </w:rPr>
            </w:pPr>
            <w:r w:rsidRPr="007C2419">
              <w:rPr>
                <w:rFonts w:ascii="Times New Roman" w:hAnsi="Times New Roman" w:cs="Times New Roman"/>
                <w:b/>
                <w:sz w:val="20"/>
                <w:szCs w:val="18"/>
              </w:rPr>
              <w:t>A</w:t>
            </w:r>
            <w:r w:rsidR="006B645D">
              <w:rPr>
                <w:rFonts w:ascii="Times New Roman" w:hAnsi="Times New Roman" w:cs="Times New Roman"/>
                <w:b/>
                <w:sz w:val="20"/>
                <w:szCs w:val="18"/>
              </w:rPr>
              <w:t>sphyxial death cases</w:t>
            </w:r>
          </w:p>
        </w:tc>
        <w:tc>
          <w:tcPr>
            <w:tcW w:w="1275" w:type="dxa"/>
          </w:tcPr>
          <w:p w:rsidR="007C2419" w:rsidRPr="007C2419" w:rsidRDefault="007C2419" w:rsidP="009D5F0C">
            <w:pPr>
              <w:jc w:val="both"/>
              <w:rPr>
                <w:rFonts w:ascii="Times New Roman" w:hAnsi="Times New Roman" w:cs="Times New Roman"/>
                <w:b/>
                <w:sz w:val="20"/>
                <w:szCs w:val="18"/>
              </w:rPr>
            </w:pPr>
            <w:r w:rsidRPr="007C2419">
              <w:rPr>
                <w:rFonts w:ascii="Times New Roman" w:hAnsi="Times New Roman" w:cs="Times New Roman"/>
                <w:b/>
                <w:sz w:val="20"/>
                <w:szCs w:val="18"/>
              </w:rPr>
              <w:t>P</w:t>
            </w:r>
            <w:r w:rsidR="006B645D">
              <w:rPr>
                <w:rFonts w:ascii="Times New Roman" w:hAnsi="Times New Roman" w:cs="Times New Roman"/>
                <w:b/>
                <w:sz w:val="20"/>
                <w:szCs w:val="18"/>
              </w:rPr>
              <w:t>ercentage</w:t>
            </w:r>
          </w:p>
        </w:tc>
      </w:tr>
      <w:tr w:rsidR="006B645D" w:rsidRPr="00651AB2" w:rsidTr="00895567">
        <w:trPr>
          <w:trHeight w:val="386"/>
        </w:trPr>
        <w:tc>
          <w:tcPr>
            <w:tcW w:w="534"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1</w:t>
            </w:r>
          </w:p>
        </w:tc>
        <w:tc>
          <w:tcPr>
            <w:tcW w:w="708"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2014</w:t>
            </w:r>
          </w:p>
        </w:tc>
        <w:tc>
          <w:tcPr>
            <w:tcW w:w="851"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210</w:t>
            </w:r>
          </w:p>
        </w:tc>
        <w:tc>
          <w:tcPr>
            <w:tcW w:w="1276"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29</w:t>
            </w:r>
          </w:p>
        </w:tc>
        <w:tc>
          <w:tcPr>
            <w:tcW w:w="1275"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25%</w:t>
            </w:r>
          </w:p>
        </w:tc>
      </w:tr>
      <w:tr w:rsidR="006B645D" w:rsidRPr="00651AB2" w:rsidTr="00895567">
        <w:trPr>
          <w:trHeight w:val="386"/>
        </w:trPr>
        <w:tc>
          <w:tcPr>
            <w:tcW w:w="534"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w:t>
            </w:r>
          </w:p>
        </w:tc>
        <w:tc>
          <w:tcPr>
            <w:tcW w:w="708"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2015</w:t>
            </w:r>
          </w:p>
        </w:tc>
        <w:tc>
          <w:tcPr>
            <w:tcW w:w="851"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231</w:t>
            </w:r>
          </w:p>
        </w:tc>
        <w:tc>
          <w:tcPr>
            <w:tcW w:w="1276" w:type="dxa"/>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34</w:t>
            </w:r>
          </w:p>
        </w:tc>
        <w:tc>
          <w:tcPr>
            <w:tcW w:w="1275" w:type="dxa"/>
          </w:tcPr>
          <w:p w:rsidR="007C2419" w:rsidRPr="007C2419" w:rsidRDefault="00CE4877" w:rsidP="009D5F0C">
            <w:pPr>
              <w:jc w:val="both"/>
              <w:rPr>
                <w:rFonts w:ascii="Times New Roman" w:hAnsi="Times New Roman" w:cs="Times New Roman"/>
                <w:sz w:val="20"/>
                <w:szCs w:val="18"/>
              </w:rPr>
            </w:pPr>
            <w:r>
              <w:rPr>
                <w:rFonts w:ascii="Times New Roman" w:hAnsi="Times New Roman" w:cs="Times New Roman"/>
                <w:sz w:val="20"/>
                <w:szCs w:val="18"/>
              </w:rPr>
              <w:t>29.3</w:t>
            </w:r>
            <w:r w:rsidR="007C2419" w:rsidRPr="007C2419">
              <w:rPr>
                <w:rFonts w:ascii="Times New Roman" w:hAnsi="Times New Roman" w:cs="Times New Roman"/>
                <w:sz w:val="20"/>
                <w:szCs w:val="18"/>
              </w:rPr>
              <w:t>%</w:t>
            </w:r>
          </w:p>
        </w:tc>
      </w:tr>
      <w:tr w:rsidR="006B645D" w:rsidRPr="00651AB2" w:rsidTr="00895567">
        <w:trPr>
          <w:trHeight w:val="361"/>
        </w:trPr>
        <w:tc>
          <w:tcPr>
            <w:tcW w:w="534"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3</w:t>
            </w:r>
          </w:p>
        </w:tc>
        <w:tc>
          <w:tcPr>
            <w:tcW w:w="708"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2016</w:t>
            </w:r>
          </w:p>
        </w:tc>
        <w:tc>
          <w:tcPr>
            <w:tcW w:w="851"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167</w:t>
            </w:r>
          </w:p>
        </w:tc>
        <w:tc>
          <w:tcPr>
            <w:tcW w:w="1276"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19</w:t>
            </w:r>
          </w:p>
        </w:tc>
        <w:tc>
          <w:tcPr>
            <w:tcW w:w="1275" w:type="dxa"/>
            <w:tcBorders>
              <w:bottom w:val="single" w:sz="12" w:space="0" w:color="auto"/>
            </w:tcBorders>
          </w:tcPr>
          <w:p w:rsidR="007C2419" w:rsidRPr="007C2419" w:rsidRDefault="00CE4877" w:rsidP="009D5F0C">
            <w:pPr>
              <w:jc w:val="both"/>
              <w:rPr>
                <w:rFonts w:ascii="Times New Roman" w:hAnsi="Times New Roman" w:cs="Times New Roman"/>
                <w:sz w:val="20"/>
                <w:szCs w:val="18"/>
              </w:rPr>
            </w:pPr>
            <w:r>
              <w:rPr>
                <w:rFonts w:ascii="Times New Roman" w:hAnsi="Times New Roman" w:cs="Times New Roman"/>
                <w:sz w:val="20"/>
                <w:szCs w:val="18"/>
              </w:rPr>
              <w:t>16.4</w:t>
            </w:r>
            <w:r w:rsidR="007C2419" w:rsidRPr="007C2419">
              <w:rPr>
                <w:rFonts w:ascii="Times New Roman" w:hAnsi="Times New Roman" w:cs="Times New Roman"/>
                <w:sz w:val="20"/>
                <w:szCs w:val="18"/>
              </w:rPr>
              <w:t>%</w:t>
            </w:r>
          </w:p>
        </w:tc>
      </w:tr>
      <w:tr w:rsidR="006B645D" w:rsidRPr="00651AB2" w:rsidTr="00895567">
        <w:trPr>
          <w:trHeight w:val="386"/>
        </w:trPr>
        <w:tc>
          <w:tcPr>
            <w:tcW w:w="534"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4</w:t>
            </w:r>
          </w:p>
        </w:tc>
        <w:tc>
          <w:tcPr>
            <w:tcW w:w="708"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2017</w:t>
            </w:r>
          </w:p>
        </w:tc>
        <w:tc>
          <w:tcPr>
            <w:tcW w:w="851"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195</w:t>
            </w:r>
          </w:p>
        </w:tc>
        <w:tc>
          <w:tcPr>
            <w:tcW w:w="1276" w:type="dxa"/>
            <w:tcBorders>
              <w:bottom w:val="single" w:sz="12" w:space="0" w:color="auto"/>
            </w:tcBorders>
          </w:tcPr>
          <w:p w:rsidR="007C2419" w:rsidRPr="007C2419" w:rsidRDefault="007C2419" w:rsidP="009D5F0C">
            <w:pPr>
              <w:jc w:val="both"/>
              <w:rPr>
                <w:rFonts w:ascii="Times New Roman" w:hAnsi="Times New Roman" w:cs="Times New Roman"/>
                <w:sz w:val="20"/>
                <w:szCs w:val="18"/>
              </w:rPr>
            </w:pPr>
            <w:r w:rsidRPr="007C2419">
              <w:rPr>
                <w:rFonts w:ascii="Times New Roman" w:hAnsi="Times New Roman" w:cs="Times New Roman"/>
                <w:sz w:val="20"/>
                <w:szCs w:val="18"/>
              </w:rPr>
              <w:t>34</w:t>
            </w:r>
          </w:p>
        </w:tc>
        <w:tc>
          <w:tcPr>
            <w:tcW w:w="1275" w:type="dxa"/>
            <w:tcBorders>
              <w:bottom w:val="single" w:sz="12" w:space="0" w:color="auto"/>
            </w:tcBorders>
          </w:tcPr>
          <w:p w:rsidR="007C2419" w:rsidRPr="007C2419" w:rsidRDefault="00CE4877" w:rsidP="009D5F0C">
            <w:pPr>
              <w:jc w:val="both"/>
              <w:rPr>
                <w:rFonts w:ascii="Times New Roman" w:hAnsi="Times New Roman" w:cs="Times New Roman"/>
                <w:sz w:val="20"/>
                <w:szCs w:val="18"/>
              </w:rPr>
            </w:pPr>
            <w:r>
              <w:rPr>
                <w:rFonts w:ascii="Times New Roman" w:hAnsi="Times New Roman" w:cs="Times New Roman"/>
                <w:sz w:val="20"/>
                <w:szCs w:val="18"/>
              </w:rPr>
              <w:t>29.3</w:t>
            </w:r>
            <w:r w:rsidR="007C2419" w:rsidRPr="007C2419">
              <w:rPr>
                <w:rFonts w:ascii="Times New Roman" w:hAnsi="Times New Roman" w:cs="Times New Roman"/>
                <w:sz w:val="20"/>
                <w:szCs w:val="18"/>
              </w:rPr>
              <w:t>%</w:t>
            </w:r>
          </w:p>
        </w:tc>
      </w:tr>
      <w:tr w:rsidR="009D5F0C" w:rsidRPr="00651AB2" w:rsidTr="00895567">
        <w:trPr>
          <w:trHeight w:val="386"/>
        </w:trPr>
        <w:tc>
          <w:tcPr>
            <w:tcW w:w="534" w:type="dxa"/>
            <w:tcBorders>
              <w:bottom w:val="single" w:sz="12" w:space="0" w:color="auto"/>
            </w:tcBorders>
          </w:tcPr>
          <w:p w:rsidR="009D5F0C" w:rsidRPr="007C2419" w:rsidRDefault="009D5F0C" w:rsidP="009D5F0C">
            <w:pPr>
              <w:jc w:val="both"/>
              <w:rPr>
                <w:rFonts w:ascii="Times New Roman" w:hAnsi="Times New Roman" w:cs="Times New Roman"/>
                <w:sz w:val="20"/>
                <w:szCs w:val="18"/>
              </w:rPr>
            </w:pPr>
          </w:p>
        </w:tc>
        <w:tc>
          <w:tcPr>
            <w:tcW w:w="708" w:type="dxa"/>
            <w:tcBorders>
              <w:bottom w:val="single" w:sz="12" w:space="0" w:color="auto"/>
            </w:tcBorders>
          </w:tcPr>
          <w:p w:rsidR="009D5F0C" w:rsidRPr="007C2419" w:rsidRDefault="009D5F0C" w:rsidP="009D5F0C">
            <w:pPr>
              <w:jc w:val="both"/>
              <w:rPr>
                <w:rFonts w:ascii="Times New Roman" w:hAnsi="Times New Roman" w:cs="Times New Roman"/>
                <w:b/>
                <w:sz w:val="20"/>
                <w:szCs w:val="18"/>
              </w:rPr>
            </w:pPr>
            <w:r w:rsidRPr="007C2419">
              <w:rPr>
                <w:rFonts w:ascii="Times New Roman" w:hAnsi="Times New Roman" w:cs="Times New Roman"/>
                <w:b/>
                <w:sz w:val="20"/>
                <w:szCs w:val="18"/>
              </w:rPr>
              <w:t>Total</w:t>
            </w:r>
          </w:p>
        </w:tc>
        <w:tc>
          <w:tcPr>
            <w:tcW w:w="851" w:type="dxa"/>
            <w:tcBorders>
              <w:bottom w:val="single" w:sz="12" w:space="0" w:color="auto"/>
            </w:tcBorders>
          </w:tcPr>
          <w:p w:rsidR="009D5F0C" w:rsidRPr="007C2419" w:rsidRDefault="009D5F0C" w:rsidP="009D5F0C">
            <w:pPr>
              <w:jc w:val="both"/>
              <w:rPr>
                <w:rFonts w:ascii="Times New Roman" w:hAnsi="Times New Roman" w:cs="Times New Roman"/>
                <w:b/>
                <w:sz w:val="20"/>
                <w:szCs w:val="18"/>
              </w:rPr>
            </w:pPr>
            <w:r w:rsidRPr="007C2419">
              <w:rPr>
                <w:rFonts w:ascii="Times New Roman" w:hAnsi="Times New Roman" w:cs="Times New Roman"/>
                <w:b/>
                <w:sz w:val="20"/>
                <w:szCs w:val="18"/>
              </w:rPr>
              <w:t>803</w:t>
            </w:r>
          </w:p>
        </w:tc>
        <w:tc>
          <w:tcPr>
            <w:tcW w:w="1276" w:type="dxa"/>
            <w:tcBorders>
              <w:bottom w:val="single" w:sz="12" w:space="0" w:color="auto"/>
            </w:tcBorders>
          </w:tcPr>
          <w:p w:rsidR="009D5F0C" w:rsidRPr="007C2419" w:rsidRDefault="009D5F0C" w:rsidP="009D5F0C">
            <w:pPr>
              <w:jc w:val="both"/>
              <w:rPr>
                <w:rFonts w:ascii="Times New Roman" w:hAnsi="Times New Roman" w:cs="Times New Roman"/>
                <w:b/>
                <w:sz w:val="20"/>
                <w:szCs w:val="18"/>
              </w:rPr>
            </w:pPr>
            <w:r w:rsidRPr="007C2419">
              <w:rPr>
                <w:rFonts w:ascii="Times New Roman" w:hAnsi="Times New Roman" w:cs="Times New Roman"/>
                <w:b/>
                <w:sz w:val="20"/>
                <w:szCs w:val="18"/>
              </w:rPr>
              <w:t>116</w:t>
            </w:r>
          </w:p>
        </w:tc>
        <w:tc>
          <w:tcPr>
            <w:tcW w:w="1275" w:type="dxa"/>
            <w:tcBorders>
              <w:bottom w:val="single" w:sz="12" w:space="0" w:color="auto"/>
            </w:tcBorders>
          </w:tcPr>
          <w:p w:rsidR="009D5F0C" w:rsidRPr="007C2419" w:rsidRDefault="009D5F0C" w:rsidP="009D5F0C">
            <w:pPr>
              <w:jc w:val="both"/>
              <w:rPr>
                <w:rFonts w:ascii="Times New Roman" w:hAnsi="Times New Roman" w:cs="Times New Roman"/>
                <w:b/>
                <w:sz w:val="20"/>
                <w:szCs w:val="18"/>
              </w:rPr>
            </w:pPr>
            <w:r>
              <w:rPr>
                <w:rFonts w:ascii="Times New Roman" w:hAnsi="Times New Roman" w:cs="Times New Roman"/>
                <w:b/>
                <w:sz w:val="20"/>
                <w:szCs w:val="18"/>
              </w:rPr>
              <w:t>100</w:t>
            </w:r>
            <w:r w:rsidRPr="007C2419">
              <w:rPr>
                <w:rFonts w:ascii="Times New Roman" w:hAnsi="Times New Roman" w:cs="Times New Roman"/>
                <w:b/>
                <w:sz w:val="20"/>
                <w:szCs w:val="18"/>
              </w:rPr>
              <w:t>%</w:t>
            </w:r>
          </w:p>
        </w:tc>
      </w:tr>
    </w:tbl>
    <w:p w:rsidR="006249E5" w:rsidRPr="002944F8" w:rsidRDefault="006249E5" w:rsidP="009D5F0C">
      <w:pPr>
        <w:jc w:val="both"/>
        <w:rPr>
          <w:rFonts w:ascii="Times New Roman" w:hAnsi="Times New Roman" w:cs="Times New Roman"/>
          <w:sz w:val="20"/>
          <w:szCs w:val="20"/>
        </w:rPr>
      </w:pPr>
    </w:p>
    <w:p w:rsidR="00594DAF" w:rsidRPr="002944F8" w:rsidRDefault="00594DAF" w:rsidP="009D5F0C">
      <w:pPr>
        <w:jc w:val="both"/>
        <w:rPr>
          <w:rFonts w:ascii="Times New Roman" w:hAnsi="Times New Roman" w:cs="Times New Roman"/>
          <w:sz w:val="20"/>
          <w:szCs w:val="20"/>
        </w:rPr>
      </w:pPr>
    </w:p>
    <w:p w:rsidR="00594DAF" w:rsidRPr="002944F8" w:rsidRDefault="00594DAF" w:rsidP="009D5F0C">
      <w:pPr>
        <w:jc w:val="both"/>
        <w:rPr>
          <w:rFonts w:ascii="Times New Roman" w:hAnsi="Times New Roman" w:cs="Times New Roman"/>
          <w:sz w:val="20"/>
          <w:szCs w:val="20"/>
        </w:rPr>
      </w:pPr>
    </w:p>
    <w:p w:rsidR="00594DAF" w:rsidRPr="002944F8" w:rsidRDefault="00594DAF" w:rsidP="009D5F0C">
      <w:pPr>
        <w:jc w:val="both"/>
        <w:rPr>
          <w:rFonts w:ascii="Times New Roman" w:hAnsi="Times New Roman" w:cs="Times New Roman"/>
          <w:sz w:val="20"/>
          <w:szCs w:val="20"/>
        </w:rPr>
      </w:pPr>
    </w:p>
    <w:p w:rsidR="008664C0" w:rsidRPr="002944F8" w:rsidRDefault="008664C0" w:rsidP="009D5F0C">
      <w:pPr>
        <w:jc w:val="both"/>
        <w:rPr>
          <w:rFonts w:ascii="Times New Roman" w:hAnsi="Times New Roman" w:cs="Times New Roman"/>
          <w:b/>
          <w:sz w:val="20"/>
          <w:szCs w:val="20"/>
        </w:rPr>
      </w:pPr>
    </w:p>
    <w:p w:rsidR="00E05EF8" w:rsidRPr="002944F8" w:rsidRDefault="00E05EF8" w:rsidP="009D5F0C">
      <w:pPr>
        <w:jc w:val="both"/>
        <w:rPr>
          <w:rFonts w:ascii="Times New Roman" w:hAnsi="Times New Roman" w:cs="Times New Roman"/>
          <w:sz w:val="20"/>
          <w:szCs w:val="20"/>
        </w:rPr>
      </w:pPr>
    </w:p>
    <w:p w:rsidR="004863CB" w:rsidRDefault="004863CB" w:rsidP="006249E5">
      <w:pPr>
        <w:ind w:left="3600" w:firstLine="720"/>
        <w:jc w:val="both"/>
        <w:rPr>
          <w:rFonts w:ascii="Times New Roman" w:hAnsi="Times New Roman" w:cs="Times New Roman"/>
          <w:b/>
          <w:sz w:val="20"/>
          <w:szCs w:val="20"/>
        </w:rPr>
      </w:pPr>
    </w:p>
    <w:p w:rsidR="00BE41EF" w:rsidRPr="009D5F0C" w:rsidRDefault="00BE41EF" w:rsidP="009D5F0C">
      <w:pPr>
        <w:spacing w:after="0"/>
        <w:jc w:val="right"/>
        <w:rPr>
          <w:rFonts w:ascii="Times New Roman" w:hAnsi="Times New Roman" w:cs="Times New Roman"/>
          <w:sz w:val="20"/>
          <w:szCs w:val="20"/>
        </w:rPr>
      </w:pPr>
      <w:r w:rsidRPr="009D5F0C">
        <w:rPr>
          <w:rFonts w:ascii="Times New Roman" w:hAnsi="Times New Roman" w:cs="Times New Roman"/>
          <w:sz w:val="20"/>
          <w:szCs w:val="20"/>
        </w:rPr>
        <w:lastRenderedPageBreak/>
        <w:t>Study of Violent Asphyxial Deaths</w:t>
      </w:r>
    </w:p>
    <w:p w:rsidR="00DB7771" w:rsidRDefault="00DB7771" w:rsidP="009D5F0C">
      <w:pPr>
        <w:spacing w:after="0"/>
        <w:ind w:left="3600" w:firstLine="720"/>
        <w:jc w:val="both"/>
        <w:rPr>
          <w:rFonts w:ascii="Times New Roman" w:hAnsi="Times New Roman" w:cs="Times New Roman"/>
          <w:b/>
          <w:sz w:val="20"/>
          <w:szCs w:val="20"/>
        </w:rPr>
      </w:pPr>
    </w:p>
    <w:p w:rsidR="002C1C2F" w:rsidRPr="002C1C2F" w:rsidRDefault="00DB7771" w:rsidP="00DE12C0">
      <w:pPr>
        <w:spacing w:after="0"/>
        <w:jc w:val="both"/>
        <w:rPr>
          <w:rFonts w:ascii="Times New Roman" w:hAnsi="Times New Roman" w:cs="Times New Roman"/>
          <w:b/>
          <w:sz w:val="18"/>
          <w:szCs w:val="18"/>
        </w:rPr>
      </w:pPr>
      <w:r>
        <w:rPr>
          <w:rFonts w:ascii="Times New Roman" w:hAnsi="Times New Roman" w:cs="Times New Roman"/>
          <w:b/>
          <w:sz w:val="18"/>
          <w:szCs w:val="18"/>
        </w:rPr>
        <w:t>Table 2</w:t>
      </w:r>
      <w:r w:rsidR="002C1C2F">
        <w:rPr>
          <w:rFonts w:ascii="Times New Roman" w:hAnsi="Times New Roman" w:cs="Times New Roman"/>
          <w:b/>
          <w:sz w:val="18"/>
          <w:szCs w:val="18"/>
        </w:rPr>
        <w:t>: Age wise distribution of cases</w:t>
      </w:r>
    </w:p>
    <w:tbl>
      <w:tblPr>
        <w:tblW w:w="4551" w:type="dxa"/>
        <w:tblInd w:w="93" w:type="dxa"/>
        <w:tblLook w:val="04A0"/>
      </w:tblPr>
      <w:tblGrid>
        <w:gridCol w:w="724"/>
        <w:gridCol w:w="1276"/>
        <w:gridCol w:w="1276"/>
        <w:gridCol w:w="1275"/>
      </w:tblGrid>
      <w:tr w:rsidR="007C2419" w:rsidRPr="008455A3" w:rsidTr="00895567">
        <w:trPr>
          <w:trHeight w:val="744"/>
        </w:trPr>
        <w:tc>
          <w:tcPr>
            <w:tcW w:w="724" w:type="dxa"/>
            <w:tcBorders>
              <w:top w:val="single" w:sz="12" w:space="0" w:color="000000"/>
              <w:left w:val="single" w:sz="12" w:space="0" w:color="000000"/>
              <w:bottom w:val="nil"/>
              <w:right w:val="single" w:sz="12" w:space="0" w:color="000000"/>
            </w:tcBorders>
            <w:shd w:val="clear" w:color="auto" w:fill="auto"/>
            <w:noWrap/>
            <w:vAlign w:val="center"/>
            <w:hideMark/>
          </w:tcPr>
          <w:p w:rsidR="007C2419" w:rsidRPr="007C2419" w:rsidRDefault="007C2419" w:rsidP="00DE12C0">
            <w:pPr>
              <w:spacing w:after="0" w:line="240" w:lineRule="auto"/>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Sl. No.</w:t>
            </w:r>
          </w:p>
        </w:tc>
        <w:tc>
          <w:tcPr>
            <w:tcW w:w="1276" w:type="dxa"/>
            <w:tcBorders>
              <w:top w:val="single" w:sz="12" w:space="0" w:color="000000"/>
              <w:left w:val="nil"/>
              <w:bottom w:val="nil"/>
              <w:right w:val="single" w:sz="12" w:space="0" w:color="000000"/>
            </w:tcBorders>
            <w:shd w:val="clear" w:color="auto" w:fill="auto"/>
            <w:vAlign w:val="center"/>
            <w:hideMark/>
          </w:tcPr>
          <w:p w:rsidR="007C2419" w:rsidRPr="007C2419" w:rsidRDefault="007C2419" w:rsidP="00747C7A">
            <w:pPr>
              <w:spacing w:after="0" w:line="240" w:lineRule="auto"/>
              <w:jc w:val="center"/>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Age range      (in years)</w:t>
            </w:r>
          </w:p>
        </w:tc>
        <w:tc>
          <w:tcPr>
            <w:tcW w:w="1276" w:type="dxa"/>
            <w:tcBorders>
              <w:top w:val="single" w:sz="12" w:space="0" w:color="000000"/>
              <w:left w:val="nil"/>
              <w:bottom w:val="nil"/>
              <w:right w:val="single" w:sz="12" w:space="0" w:color="000000"/>
            </w:tcBorders>
            <w:shd w:val="clear" w:color="auto" w:fill="auto"/>
            <w:noWrap/>
            <w:vAlign w:val="center"/>
            <w:hideMark/>
          </w:tcPr>
          <w:p w:rsidR="007C2419" w:rsidRPr="007C2419" w:rsidRDefault="007C2419" w:rsidP="00747C7A">
            <w:pPr>
              <w:spacing w:after="0" w:line="240" w:lineRule="auto"/>
              <w:jc w:val="center"/>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Frequency</w:t>
            </w:r>
          </w:p>
        </w:tc>
        <w:tc>
          <w:tcPr>
            <w:tcW w:w="1275" w:type="dxa"/>
            <w:tcBorders>
              <w:top w:val="single" w:sz="12" w:space="0" w:color="000000"/>
              <w:left w:val="nil"/>
              <w:bottom w:val="nil"/>
              <w:right w:val="single" w:sz="12" w:space="0" w:color="000000"/>
            </w:tcBorders>
            <w:shd w:val="clear" w:color="auto" w:fill="auto"/>
            <w:noWrap/>
            <w:vAlign w:val="center"/>
            <w:hideMark/>
          </w:tcPr>
          <w:p w:rsidR="007C2419" w:rsidRPr="007C2419" w:rsidRDefault="007C2419" w:rsidP="00747C7A">
            <w:pPr>
              <w:spacing w:after="0" w:line="240" w:lineRule="auto"/>
              <w:jc w:val="center"/>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Percentage</w:t>
            </w:r>
          </w:p>
        </w:tc>
      </w:tr>
      <w:tr w:rsidR="007C2419" w:rsidRPr="008455A3" w:rsidTr="00895567">
        <w:trPr>
          <w:trHeight w:val="312"/>
        </w:trPr>
        <w:tc>
          <w:tcPr>
            <w:tcW w:w="72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1</w:t>
            </w:r>
          </w:p>
        </w:tc>
        <w:tc>
          <w:tcPr>
            <w:tcW w:w="1276" w:type="dxa"/>
            <w:tcBorders>
              <w:top w:val="single" w:sz="12" w:space="0" w:color="auto"/>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 xml:space="preserve">Below 10 </w:t>
            </w:r>
          </w:p>
        </w:tc>
        <w:tc>
          <w:tcPr>
            <w:tcW w:w="1276" w:type="dxa"/>
            <w:tcBorders>
              <w:top w:val="single" w:sz="12" w:space="0" w:color="auto"/>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6</w:t>
            </w:r>
          </w:p>
        </w:tc>
        <w:tc>
          <w:tcPr>
            <w:tcW w:w="1275" w:type="dxa"/>
            <w:tcBorders>
              <w:top w:val="single" w:sz="12" w:space="0" w:color="auto"/>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5.17%</w:t>
            </w:r>
          </w:p>
        </w:tc>
      </w:tr>
      <w:tr w:rsidR="007C2419"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2</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10-20</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30</w:t>
            </w:r>
          </w:p>
        </w:tc>
        <w:tc>
          <w:tcPr>
            <w:tcW w:w="1275"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25.86%</w:t>
            </w:r>
          </w:p>
        </w:tc>
      </w:tr>
      <w:tr w:rsidR="007C2419"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3</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20-30</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37</w:t>
            </w:r>
          </w:p>
        </w:tc>
        <w:tc>
          <w:tcPr>
            <w:tcW w:w="1275"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31.90%</w:t>
            </w:r>
          </w:p>
        </w:tc>
      </w:tr>
      <w:tr w:rsidR="007C2419"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4</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30-40</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22</w:t>
            </w:r>
          </w:p>
        </w:tc>
        <w:tc>
          <w:tcPr>
            <w:tcW w:w="1275"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18.97%</w:t>
            </w:r>
          </w:p>
        </w:tc>
      </w:tr>
      <w:tr w:rsidR="007C2419"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5</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40-50</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6</w:t>
            </w:r>
          </w:p>
        </w:tc>
        <w:tc>
          <w:tcPr>
            <w:tcW w:w="1275"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5.17%</w:t>
            </w:r>
          </w:p>
        </w:tc>
      </w:tr>
      <w:tr w:rsidR="007C2419"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6</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50-60</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8</w:t>
            </w:r>
          </w:p>
        </w:tc>
        <w:tc>
          <w:tcPr>
            <w:tcW w:w="1275"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6.90%</w:t>
            </w:r>
          </w:p>
        </w:tc>
      </w:tr>
      <w:tr w:rsidR="007C2419"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7</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Above 60</w:t>
            </w:r>
          </w:p>
        </w:tc>
        <w:tc>
          <w:tcPr>
            <w:tcW w:w="1276"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7</w:t>
            </w:r>
          </w:p>
        </w:tc>
        <w:tc>
          <w:tcPr>
            <w:tcW w:w="1275" w:type="dxa"/>
            <w:tcBorders>
              <w:top w:val="nil"/>
              <w:left w:val="nil"/>
              <w:bottom w:val="single" w:sz="12" w:space="0" w:color="auto"/>
              <w:right w:val="single" w:sz="12" w:space="0" w:color="auto"/>
            </w:tcBorders>
            <w:shd w:val="clear" w:color="auto" w:fill="auto"/>
            <w:noWrap/>
            <w:vAlign w:val="bottom"/>
            <w:hideMark/>
          </w:tcPr>
          <w:p w:rsidR="007C2419" w:rsidRPr="007C2419" w:rsidRDefault="007C2419" w:rsidP="00747C7A">
            <w:pPr>
              <w:spacing w:after="0" w:line="240" w:lineRule="auto"/>
              <w:jc w:val="center"/>
              <w:rPr>
                <w:rFonts w:ascii="Times New Roman" w:eastAsia="Times New Roman" w:hAnsi="Times New Roman" w:cs="Times New Roman"/>
                <w:color w:val="000000"/>
                <w:sz w:val="20"/>
                <w:szCs w:val="20"/>
              </w:rPr>
            </w:pPr>
            <w:r w:rsidRPr="007C2419">
              <w:rPr>
                <w:rFonts w:ascii="Times New Roman" w:eastAsia="Times New Roman" w:hAnsi="Times New Roman" w:cs="Times New Roman"/>
                <w:color w:val="000000"/>
                <w:sz w:val="20"/>
                <w:szCs w:val="20"/>
              </w:rPr>
              <w:t>6.03%</w:t>
            </w:r>
          </w:p>
        </w:tc>
      </w:tr>
      <w:tr w:rsidR="009D5F0C" w:rsidRPr="008455A3" w:rsidTr="00895567">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bottom"/>
            <w:hideMark/>
          </w:tcPr>
          <w:p w:rsidR="009D5F0C" w:rsidRPr="007C2419" w:rsidRDefault="009D5F0C" w:rsidP="00747C7A">
            <w:pPr>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nil"/>
              <w:bottom w:val="single" w:sz="12" w:space="0" w:color="auto"/>
              <w:right w:val="single" w:sz="12" w:space="0" w:color="auto"/>
            </w:tcBorders>
            <w:shd w:val="clear" w:color="auto" w:fill="auto"/>
            <w:noWrap/>
            <w:vAlign w:val="center"/>
            <w:hideMark/>
          </w:tcPr>
          <w:p w:rsidR="009D5F0C" w:rsidRPr="007C2419" w:rsidRDefault="009D5F0C" w:rsidP="00E15406">
            <w:pPr>
              <w:spacing w:after="0" w:line="240" w:lineRule="auto"/>
              <w:jc w:val="center"/>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TOTAL</w:t>
            </w:r>
          </w:p>
        </w:tc>
        <w:tc>
          <w:tcPr>
            <w:tcW w:w="1276" w:type="dxa"/>
            <w:tcBorders>
              <w:top w:val="nil"/>
              <w:left w:val="nil"/>
              <w:bottom w:val="single" w:sz="12" w:space="0" w:color="auto"/>
              <w:right w:val="single" w:sz="12" w:space="0" w:color="auto"/>
            </w:tcBorders>
            <w:shd w:val="clear" w:color="auto" w:fill="auto"/>
            <w:noWrap/>
            <w:vAlign w:val="center"/>
            <w:hideMark/>
          </w:tcPr>
          <w:p w:rsidR="009D5F0C" w:rsidRPr="007C2419" w:rsidRDefault="009D5F0C" w:rsidP="00E15406">
            <w:pPr>
              <w:spacing w:after="0" w:line="240" w:lineRule="auto"/>
              <w:jc w:val="center"/>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116</w:t>
            </w:r>
          </w:p>
        </w:tc>
        <w:tc>
          <w:tcPr>
            <w:tcW w:w="1275" w:type="dxa"/>
            <w:tcBorders>
              <w:top w:val="nil"/>
              <w:left w:val="nil"/>
              <w:bottom w:val="single" w:sz="12" w:space="0" w:color="auto"/>
              <w:right w:val="single" w:sz="12" w:space="0" w:color="auto"/>
            </w:tcBorders>
            <w:shd w:val="clear" w:color="auto" w:fill="auto"/>
            <w:noWrap/>
            <w:vAlign w:val="center"/>
            <w:hideMark/>
          </w:tcPr>
          <w:p w:rsidR="009D5F0C" w:rsidRPr="007C2419" w:rsidRDefault="009D5F0C" w:rsidP="00E15406">
            <w:pPr>
              <w:spacing w:after="0" w:line="240" w:lineRule="auto"/>
              <w:jc w:val="center"/>
              <w:rPr>
                <w:rFonts w:ascii="Times New Roman" w:eastAsia="Times New Roman" w:hAnsi="Times New Roman" w:cs="Times New Roman"/>
                <w:b/>
                <w:bCs/>
                <w:color w:val="000000"/>
                <w:sz w:val="20"/>
                <w:szCs w:val="20"/>
              </w:rPr>
            </w:pPr>
            <w:r w:rsidRPr="007C2419">
              <w:rPr>
                <w:rFonts w:ascii="Times New Roman" w:eastAsia="Times New Roman" w:hAnsi="Times New Roman" w:cs="Times New Roman"/>
                <w:b/>
                <w:bCs/>
                <w:color w:val="000000"/>
                <w:sz w:val="20"/>
                <w:szCs w:val="20"/>
              </w:rPr>
              <w:t>100.00%</w:t>
            </w:r>
          </w:p>
        </w:tc>
      </w:tr>
    </w:tbl>
    <w:p w:rsidR="008048BF" w:rsidRDefault="008048BF" w:rsidP="00355DB5">
      <w:pPr>
        <w:jc w:val="both"/>
        <w:rPr>
          <w:rFonts w:ascii="Times New Roman" w:hAnsi="Times New Roman" w:cs="Times New Roman"/>
          <w:sz w:val="20"/>
          <w:szCs w:val="20"/>
        </w:rPr>
      </w:pPr>
    </w:p>
    <w:p w:rsidR="00942A33" w:rsidRPr="00AD1D70" w:rsidRDefault="00DB7771" w:rsidP="00DE12C0">
      <w:pPr>
        <w:spacing w:after="0"/>
        <w:jc w:val="both"/>
        <w:rPr>
          <w:rFonts w:ascii="Times New Roman" w:hAnsi="Times New Roman" w:cs="Times New Roman"/>
          <w:b/>
          <w:sz w:val="20"/>
          <w:szCs w:val="20"/>
        </w:rPr>
      </w:pPr>
      <w:r>
        <w:rPr>
          <w:rFonts w:ascii="Times New Roman" w:hAnsi="Times New Roman" w:cs="Times New Roman"/>
          <w:b/>
          <w:sz w:val="20"/>
          <w:szCs w:val="20"/>
        </w:rPr>
        <w:t>Table 3</w:t>
      </w:r>
      <w:r w:rsidR="00942A33" w:rsidRPr="00AD1D70">
        <w:rPr>
          <w:rFonts w:ascii="Times New Roman" w:hAnsi="Times New Roman" w:cs="Times New Roman"/>
          <w:b/>
          <w:sz w:val="20"/>
          <w:szCs w:val="20"/>
        </w:rPr>
        <w:t>: Sex wise distribution of cases</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1"/>
        <w:gridCol w:w="1134"/>
        <w:gridCol w:w="1276"/>
        <w:gridCol w:w="1275"/>
      </w:tblGrid>
      <w:tr w:rsidR="007C2419" w:rsidTr="00895567">
        <w:trPr>
          <w:trHeight w:val="339"/>
        </w:trPr>
        <w:tc>
          <w:tcPr>
            <w:tcW w:w="851" w:type="dxa"/>
          </w:tcPr>
          <w:p w:rsidR="007C2419" w:rsidRPr="007C2419" w:rsidRDefault="007C2419" w:rsidP="00DE12C0">
            <w:pPr>
              <w:jc w:val="center"/>
              <w:rPr>
                <w:rFonts w:ascii="Times New Roman" w:hAnsi="Times New Roman" w:cs="Times New Roman"/>
                <w:b/>
                <w:sz w:val="20"/>
                <w:szCs w:val="20"/>
              </w:rPr>
            </w:pPr>
            <w:r>
              <w:rPr>
                <w:rFonts w:ascii="Times New Roman" w:hAnsi="Times New Roman" w:cs="Times New Roman"/>
                <w:b/>
                <w:sz w:val="20"/>
                <w:szCs w:val="20"/>
              </w:rPr>
              <w:t>Sl. No</w:t>
            </w:r>
          </w:p>
        </w:tc>
        <w:tc>
          <w:tcPr>
            <w:tcW w:w="1134" w:type="dxa"/>
          </w:tcPr>
          <w:p w:rsidR="007C2419" w:rsidRPr="007C2419" w:rsidRDefault="007C2419" w:rsidP="006B645D">
            <w:pPr>
              <w:jc w:val="center"/>
              <w:rPr>
                <w:rFonts w:ascii="Times New Roman" w:hAnsi="Times New Roman" w:cs="Times New Roman"/>
                <w:b/>
                <w:sz w:val="20"/>
                <w:szCs w:val="20"/>
              </w:rPr>
            </w:pPr>
            <w:r w:rsidRPr="007C2419">
              <w:rPr>
                <w:rFonts w:ascii="Times New Roman" w:hAnsi="Times New Roman" w:cs="Times New Roman"/>
                <w:b/>
                <w:sz w:val="20"/>
                <w:szCs w:val="20"/>
              </w:rPr>
              <w:t>Sex</w:t>
            </w:r>
          </w:p>
        </w:tc>
        <w:tc>
          <w:tcPr>
            <w:tcW w:w="1276" w:type="dxa"/>
          </w:tcPr>
          <w:p w:rsidR="007C2419" w:rsidRPr="007C2419" w:rsidRDefault="007C2419" w:rsidP="006B645D">
            <w:pPr>
              <w:jc w:val="center"/>
              <w:rPr>
                <w:rFonts w:ascii="Times New Roman" w:hAnsi="Times New Roman" w:cs="Times New Roman"/>
                <w:b/>
                <w:sz w:val="20"/>
                <w:szCs w:val="20"/>
              </w:rPr>
            </w:pPr>
            <w:r w:rsidRPr="007C2419">
              <w:rPr>
                <w:rFonts w:ascii="Times New Roman" w:hAnsi="Times New Roman" w:cs="Times New Roman"/>
                <w:b/>
                <w:sz w:val="20"/>
                <w:szCs w:val="20"/>
              </w:rPr>
              <w:t>Frequency</w:t>
            </w:r>
          </w:p>
        </w:tc>
        <w:tc>
          <w:tcPr>
            <w:tcW w:w="1275" w:type="dxa"/>
          </w:tcPr>
          <w:p w:rsidR="007C2419" w:rsidRPr="007C2419" w:rsidRDefault="007C2419" w:rsidP="006B645D">
            <w:pPr>
              <w:jc w:val="center"/>
              <w:rPr>
                <w:rFonts w:ascii="Times New Roman" w:hAnsi="Times New Roman" w:cs="Times New Roman"/>
                <w:b/>
                <w:sz w:val="20"/>
                <w:szCs w:val="20"/>
              </w:rPr>
            </w:pPr>
            <w:r w:rsidRPr="007C2419">
              <w:rPr>
                <w:rFonts w:ascii="Times New Roman" w:hAnsi="Times New Roman" w:cs="Times New Roman"/>
                <w:b/>
                <w:sz w:val="20"/>
                <w:szCs w:val="20"/>
              </w:rPr>
              <w:t>Percentage</w:t>
            </w:r>
          </w:p>
        </w:tc>
      </w:tr>
      <w:tr w:rsidR="007C2419" w:rsidTr="00895567">
        <w:trPr>
          <w:trHeight w:val="339"/>
        </w:trPr>
        <w:tc>
          <w:tcPr>
            <w:tcW w:w="851"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Male</w:t>
            </w:r>
          </w:p>
        </w:tc>
        <w:tc>
          <w:tcPr>
            <w:tcW w:w="1276"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68</w:t>
            </w:r>
          </w:p>
        </w:tc>
        <w:tc>
          <w:tcPr>
            <w:tcW w:w="1275"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58.6 %</w:t>
            </w:r>
          </w:p>
        </w:tc>
      </w:tr>
      <w:tr w:rsidR="007C2419" w:rsidTr="00895567">
        <w:trPr>
          <w:trHeight w:val="339"/>
        </w:trPr>
        <w:tc>
          <w:tcPr>
            <w:tcW w:w="851"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Female</w:t>
            </w:r>
          </w:p>
        </w:tc>
        <w:tc>
          <w:tcPr>
            <w:tcW w:w="1276"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48</w:t>
            </w:r>
          </w:p>
        </w:tc>
        <w:tc>
          <w:tcPr>
            <w:tcW w:w="1275" w:type="dxa"/>
            <w:tcBorders>
              <w:bottom w:val="single" w:sz="12" w:space="0" w:color="auto"/>
            </w:tcBorders>
          </w:tcPr>
          <w:p w:rsidR="007C2419" w:rsidRDefault="007C2419" w:rsidP="007C2419">
            <w:pPr>
              <w:jc w:val="center"/>
              <w:rPr>
                <w:rFonts w:ascii="Times New Roman" w:hAnsi="Times New Roman" w:cs="Times New Roman"/>
                <w:sz w:val="20"/>
                <w:szCs w:val="20"/>
              </w:rPr>
            </w:pPr>
            <w:r>
              <w:rPr>
                <w:rFonts w:ascii="Times New Roman" w:hAnsi="Times New Roman" w:cs="Times New Roman"/>
                <w:sz w:val="20"/>
                <w:szCs w:val="20"/>
              </w:rPr>
              <w:t>41.4%</w:t>
            </w:r>
          </w:p>
        </w:tc>
      </w:tr>
      <w:tr w:rsidR="009D5F0C" w:rsidTr="00895567">
        <w:trPr>
          <w:trHeight w:val="339"/>
        </w:trPr>
        <w:tc>
          <w:tcPr>
            <w:tcW w:w="851" w:type="dxa"/>
            <w:tcBorders>
              <w:bottom w:val="single" w:sz="12" w:space="0" w:color="auto"/>
            </w:tcBorders>
          </w:tcPr>
          <w:p w:rsidR="009D5F0C" w:rsidRDefault="009D5F0C" w:rsidP="007C2419">
            <w:pPr>
              <w:jc w:val="center"/>
              <w:rPr>
                <w:rFonts w:ascii="Times New Roman" w:hAnsi="Times New Roman" w:cs="Times New Roman"/>
                <w:sz w:val="20"/>
                <w:szCs w:val="20"/>
              </w:rPr>
            </w:pPr>
          </w:p>
        </w:tc>
        <w:tc>
          <w:tcPr>
            <w:tcW w:w="1134" w:type="dxa"/>
            <w:tcBorders>
              <w:bottom w:val="single" w:sz="12" w:space="0" w:color="auto"/>
            </w:tcBorders>
          </w:tcPr>
          <w:p w:rsidR="009D5F0C" w:rsidRPr="007C2419" w:rsidRDefault="009D5F0C" w:rsidP="007B3E98">
            <w:pPr>
              <w:jc w:val="center"/>
              <w:rPr>
                <w:rFonts w:ascii="Times New Roman" w:hAnsi="Times New Roman" w:cs="Times New Roman"/>
                <w:b/>
                <w:sz w:val="20"/>
                <w:szCs w:val="20"/>
              </w:rPr>
            </w:pPr>
            <w:r w:rsidRPr="007C2419">
              <w:rPr>
                <w:rFonts w:ascii="Times New Roman" w:hAnsi="Times New Roman" w:cs="Times New Roman"/>
                <w:b/>
                <w:sz w:val="20"/>
                <w:szCs w:val="20"/>
              </w:rPr>
              <w:t>Total</w:t>
            </w:r>
          </w:p>
        </w:tc>
        <w:tc>
          <w:tcPr>
            <w:tcW w:w="1276" w:type="dxa"/>
            <w:tcBorders>
              <w:bottom w:val="single" w:sz="12" w:space="0" w:color="auto"/>
            </w:tcBorders>
          </w:tcPr>
          <w:p w:rsidR="009D5F0C" w:rsidRPr="007C2419" w:rsidRDefault="009D5F0C" w:rsidP="007B3E98">
            <w:pPr>
              <w:jc w:val="center"/>
              <w:rPr>
                <w:rFonts w:ascii="Times New Roman" w:hAnsi="Times New Roman" w:cs="Times New Roman"/>
                <w:b/>
                <w:sz w:val="20"/>
                <w:szCs w:val="20"/>
              </w:rPr>
            </w:pPr>
            <w:r w:rsidRPr="007C2419">
              <w:rPr>
                <w:rFonts w:ascii="Times New Roman" w:hAnsi="Times New Roman" w:cs="Times New Roman"/>
                <w:b/>
                <w:sz w:val="20"/>
                <w:szCs w:val="20"/>
              </w:rPr>
              <w:t>116</w:t>
            </w:r>
          </w:p>
        </w:tc>
        <w:tc>
          <w:tcPr>
            <w:tcW w:w="1275" w:type="dxa"/>
            <w:tcBorders>
              <w:bottom w:val="single" w:sz="12" w:space="0" w:color="auto"/>
            </w:tcBorders>
          </w:tcPr>
          <w:p w:rsidR="009D5F0C" w:rsidRPr="007C2419" w:rsidRDefault="009D5F0C" w:rsidP="007B3E98">
            <w:pPr>
              <w:jc w:val="center"/>
              <w:rPr>
                <w:rFonts w:ascii="Times New Roman" w:hAnsi="Times New Roman" w:cs="Times New Roman"/>
                <w:b/>
                <w:sz w:val="20"/>
                <w:szCs w:val="20"/>
              </w:rPr>
            </w:pPr>
            <w:r w:rsidRPr="007C2419">
              <w:rPr>
                <w:rFonts w:ascii="Times New Roman" w:hAnsi="Times New Roman" w:cs="Times New Roman"/>
                <w:b/>
                <w:sz w:val="20"/>
                <w:szCs w:val="20"/>
              </w:rPr>
              <w:t>100</w:t>
            </w:r>
            <w:r>
              <w:rPr>
                <w:rFonts w:ascii="Times New Roman" w:hAnsi="Times New Roman" w:cs="Times New Roman"/>
                <w:b/>
                <w:sz w:val="20"/>
                <w:szCs w:val="20"/>
              </w:rPr>
              <w:t>.0%</w:t>
            </w:r>
          </w:p>
        </w:tc>
      </w:tr>
    </w:tbl>
    <w:p w:rsidR="008048BF" w:rsidRDefault="008048BF" w:rsidP="00355DB5">
      <w:pPr>
        <w:jc w:val="both"/>
        <w:rPr>
          <w:rFonts w:ascii="Times New Roman" w:hAnsi="Times New Roman" w:cs="Times New Roman"/>
          <w:sz w:val="20"/>
          <w:szCs w:val="20"/>
        </w:rPr>
      </w:pPr>
    </w:p>
    <w:p w:rsidR="00560E96" w:rsidRPr="00DB7771" w:rsidRDefault="00DB7771" w:rsidP="00DE12C0">
      <w:pPr>
        <w:spacing w:after="0"/>
        <w:jc w:val="both"/>
        <w:rPr>
          <w:rFonts w:ascii="Times New Roman" w:hAnsi="Times New Roman" w:cs="Times New Roman"/>
          <w:b/>
          <w:sz w:val="20"/>
          <w:szCs w:val="18"/>
        </w:rPr>
      </w:pPr>
      <w:r w:rsidRPr="00DB7771">
        <w:rPr>
          <w:rFonts w:ascii="Times New Roman" w:hAnsi="Times New Roman" w:cs="Times New Roman"/>
          <w:b/>
          <w:sz w:val="20"/>
          <w:szCs w:val="18"/>
        </w:rPr>
        <w:t>Table 4</w:t>
      </w:r>
      <w:r w:rsidR="002C1C2F" w:rsidRPr="00DB7771">
        <w:rPr>
          <w:rFonts w:ascii="Times New Roman" w:hAnsi="Times New Roman" w:cs="Times New Roman"/>
          <w:b/>
          <w:sz w:val="20"/>
          <w:szCs w:val="18"/>
        </w:rPr>
        <w:t>: Religion wise distribution of cases</w:t>
      </w:r>
    </w:p>
    <w:tbl>
      <w:tblPr>
        <w:tblpPr w:leftFromText="180" w:rightFromText="180" w:vertAnchor="text" w:tblpX="89" w:tblpY="1"/>
        <w:tblOverlap w:val="never"/>
        <w:tblW w:w="4503" w:type="dxa"/>
        <w:tblLook w:val="04A0"/>
      </w:tblPr>
      <w:tblGrid>
        <w:gridCol w:w="817"/>
        <w:gridCol w:w="1134"/>
        <w:gridCol w:w="1276"/>
        <w:gridCol w:w="1276"/>
      </w:tblGrid>
      <w:tr w:rsidR="006B645D" w:rsidRPr="008746AF" w:rsidTr="00895567">
        <w:trPr>
          <w:trHeight w:val="328"/>
        </w:trPr>
        <w:tc>
          <w:tcPr>
            <w:tcW w:w="817" w:type="dxa"/>
            <w:tcBorders>
              <w:top w:val="single" w:sz="12" w:space="0" w:color="000000"/>
              <w:left w:val="single" w:sz="12" w:space="0" w:color="000000"/>
              <w:bottom w:val="nil"/>
              <w:right w:val="single" w:sz="12" w:space="0" w:color="000000"/>
            </w:tcBorders>
            <w:shd w:val="clear" w:color="auto" w:fill="auto"/>
            <w:noWrap/>
            <w:vAlign w:val="center"/>
            <w:hideMark/>
          </w:tcPr>
          <w:p w:rsidR="006B645D" w:rsidRPr="006B645D" w:rsidRDefault="006B645D" w:rsidP="00DE12C0">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Sl. No.</w:t>
            </w:r>
          </w:p>
        </w:tc>
        <w:tc>
          <w:tcPr>
            <w:tcW w:w="1134" w:type="dxa"/>
            <w:tcBorders>
              <w:top w:val="single" w:sz="12" w:space="0" w:color="000000"/>
              <w:left w:val="nil"/>
              <w:bottom w:val="nil"/>
              <w:right w:val="single" w:sz="12" w:space="0" w:color="000000"/>
            </w:tcBorders>
            <w:shd w:val="clear" w:color="auto" w:fill="auto"/>
            <w:vAlign w:val="center"/>
            <w:hideMark/>
          </w:tcPr>
          <w:p w:rsidR="006B645D" w:rsidRPr="006B645D" w:rsidRDefault="006B645D" w:rsidP="006B645D">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Religion</w:t>
            </w:r>
          </w:p>
        </w:tc>
        <w:tc>
          <w:tcPr>
            <w:tcW w:w="1276" w:type="dxa"/>
            <w:tcBorders>
              <w:top w:val="single" w:sz="12" w:space="0" w:color="000000"/>
              <w:left w:val="nil"/>
              <w:bottom w:val="nil"/>
              <w:right w:val="single" w:sz="12" w:space="0" w:color="000000"/>
            </w:tcBorders>
            <w:shd w:val="clear" w:color="auto" w:fill="auto"/>
            <w:noWrap/>
            <w:vAlign w:val="center"/>
            <w:hideMark/>
          </w:tcPr>
          <w:p w:rsidR="006B645D" w:rsidRPr="006B645D" w:rsidRDefault="006B645D" w:rsidP="006B645D">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Frequency</w:t>
            </w:r>
          </w:p>
        </w:tc>
        <w:tc>
          <w:tcPr>
            <w:tcW w:w="1276" w:type="dxa"/>
            <w:tcBorders>
              <w:top w:val="single" w:sz="12" w:space="0" w:color="000000"/>
              <w:left w:val="nil"/>
              <w:bottom w:val="nil"/>
              <w:right w:val="single" w:sz="12" w:space="0" w:color="000000"/>
            </w:tcBorders>
            <w:shd w:val="clear" w:color="auto" w:fill="auto"/>
            <w:noWrap/>
            <w:vAlign w:val="center"/>
            <w:hideMark/>
          </w:tcPr>
          <w:p w:rsidR="006B645D" w:rsidRPr="006B645D" w:rsidRDefault="006B645D" w:rsidP="006B645D">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Percentage</w:t>
            </w:r>
          </w:p>
        </w:tc>
      </w:tr>
      <w:tr w:rsidR="006B645D" w:rsidRPr="008746AF" w:rsidTr="00895567">
        <w:trPr>
          <w:trHeight w:val="303"/>
        </w:trPr>
        <w:tc>
          <w:tcPr>
            <w:tcW w:w="81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1</w:t>
            </w:r>
          </w:p>
        </w:tc>
        <w:tc>
          <w:tcPr>
            <w:tcW w:w="1134" w:type="dxa"/>
            <w:tcBorders>
              <w:top w:val="single" w:sz="12" w:space="0" w:color="auto"/>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Hindu</w:t>
            </w:r>
          </w:p>
        </w:tc>
        <w:tc>
          <w:tcPr>
            <w:tcW w:w="1276" w:type="dxa"/>
            <w:tcBorders>
              <w:top w:val="single" w:sz="12" w:space="0" w:color="auto"/>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83</w:t>
            </w:r>
          </w:p>
        </w:tc>
        <w:tc>
          <w:tcPr>
            <w:tcW w:w="1276" w:type="dxa"/>
            <w:tcBorders>
              <w:top w:val="single" w:sz="12" w:space="0" w:color="auto"/>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71.55%</w:t>
            </w:r>
          </w:p>
        </w:tc>
      </w:tr>
      <w:tr w:rsidR="006B645D" w:rsidRPr="008746AF" w:rsidTr="00895567">
        <w:trPr>
          <w:trHeight w:val="303"/>
        </w:trPr>
        <w:tc>
          <w:tcPr>
            <w:tcW w:w="817" w:type="dxa"/>
            <w:tcBorders>
              <w:top w:val="nil"/>
              <w:left w:val="single" w:sz="12" w:space="0" w:color="auto"/>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2</w:t>
            </w:r>
          </w:p>
        </w:tc>
        <w:tc>
          <w:tcPr>
            <w:tcW w:w="1134"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Muslim</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10</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8.62%</w:t>
            </w:r>
          </w:p>
        </w:tc>
      </w:tr>
      <w:tr w:rsidR="006B645D" w:rsidRPr="008746AF" w:rsidTr="00895567">
        <w:trPr>
          <w:trHeight w:val="303"/>
        </w:trPr>
        <w:tc>
          <w:tcPr>
            <w:tcW w:w="817" w:type="dxa"/>
            <w:tcBorders>
              <w:top w:val="nil"/>
              <w:left w:val="single" w:sz="12" w:space="0" w:color="auto"/>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3</w:t>
            </w:r>
          </w:p>
        </w:tc>
        <w:tc>
          <w:tcPr>
            <w:tcW w:w="1134"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Christian</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17</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14.66%</w:t>
            </w:r>
          </w:p>
        </w:tc>
      </w:tr>
      <w:tr w:rsidR="006B645D" w:rsidRPr="008746AF" w:rsidTr="00895567">
        <w:trPr>
          <w:trHeight w:val="303"/>
        </w:trPr>
        <w:tc>
          <w:tcPr>
            <w:tcW w:w="817" w:type="dxa"/>
            <w:tcBorders>
              <w:top w:val="nil"/>
              <w:left w:val="single" w:sz="12" w:space="0" w:color="auto"/>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4</w:t>
            </w:r>
          </w:p>
        </w:tc>
        <w:tc>
          <w:tcPr>
            <w:tcW w:w="1134"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Sikh</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4</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3.45%</w:t>
            </w:r>
          </w:p>
        </w:tc>
      </w:tr>
      <w:tr w:rsidR="006B645D" w:rsidRPr="008746AF" w:rsidTr="00895567">
        <w:trPr>
          <w:trHeight w:val="303"/>
        </w:trPr>
        <w:tc>
          <w:tcPr>
            <w:tcW w:w="817" w:type="dxa"/>
            <w:tcBorders>
              <w:top w:val="nil"/>
              <w:left w:val="single" w:sz="12" w:space="0" w:color="auto"/>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5</w:t>
            </w:r>
          </w:p>
        </w:tc>
        <w:tc>
          <w:tcPr>
            <w:tcW w:w="1134"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Jain</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2</w:t>
            </w:r>
          </w:p>
        </w:tc>
        <w:tc>
          <w:tcPr>
            <w:tcW w:w="1276" w:type="dxa"/>
            <w:tcBorders>
              <w:top w:val="nil"/>
              <w:left w:val="nil"/>
              <w:bottom w:val="single" w:sz="12" w:space="0" w:color="auto"/>
              <w:right w:val="single" w:sz="12" w:space="0" w:color="auto"/>
            </w:tcBorders>
            <w:shd w:val="clear" w:color="auto" w:fill="auto"/>
            <w:noWrap/>
            <w:vAlign w:val="bottom"/>
            <w:hideMark/>
          </w:tcPr>
          <w:p w:rsidR="006B645D" w:rsidRPr="006B645D" w:rsidRDefault="006B645D" w:rsidP="006B645D">
            <w:pPr>
              <w:spacing w:after="0" w:line="240" w:lineRule="auto"/>
              <w:jc w:val="center"/>
              <w:rPr>
                <w:rFonts w:ascii="Times New Roman" w:eastAsia="Times New Roman" w:hAnsi="Times New Roman" w:cs="Times New Roman"/>
                <w:color w:val="000000"/>
                <w:sz w:val="20"/>
                <w:szCs w:val="20"/>
                <w:lang w:eastAsia="en-IN"/>
              </w:rPr>
            </w:pPr>
            <w:r w:rsidRPr="006B645D">
              <w:rPr>
                <w:rFonts w:ascii="Times New Roman" w:eastAsia="Times New Roman" w:hAnsi="Times New Roman" w:cs="Times New Roman"/>
                <w:color w:val="000000"/>
                <w:sz w:val="20"/>
                <w:szCs w:val="20"/>
                <w:lang w:eastAsia="en-IN"/>
              </w:rPr>
              <w:t>1.72%</w:t>
            </w:r>
          </w:p>
        </w:tc>
      </w:tr>
      <w:tr w:rsidR="009D5F0C" w:rsidRPr="008746AF" w:rsidTr="00895567">
        <w:trPr>
          <w:trHeight w:val="303"/>
        </w:trPr>
        <w:tc>
          <w:tcPr>
            <w:tcW w:w="817" w:type="dxa"/>
            <w:tcBorders>
              <w:top w:val="nil"/>
              <w:left w:val="single" w:sz="12" w:space="0" w:color="auto"/>
              <w:bottom w:val="single" w:sz="12" w:space="0" w:color="auto"/>
              <w:right w:val="single" w:sz="12" w:space="0" w:color="auto"/>
            </w:tcBorders>
            <w:shd w:val="clear" w:color="auto" w:fill="auto"/>
            <w:noWrap/>
            <w:vAlign w:val="bottom"/>
            <w:hideMark/>
          </w:tcPr>
          <w:p w:rsidR="009D5F0C" w:rsidRPr="006B645D" w:rsidRDefault="009D5F0C" w:rsidP="009D5F0C">
            <w:pPr>
              <w:spacing w:after="0" w:line="24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single" w:sz="12" w:space="0" w:color="auto"/>
              <w:right w:val="single" w:sz="12" w:space="0" w:color="auto"/>
            </w:tcBorders>
            <w:shd w:val="clear" w:color="auto" w:fill="auto"/>
            <w:noWrap/>
            <w:vAlign w:val="center"/>
            <w:hideMark/>
          </w:tcPr>
          <w:p w:rsidR="009D5F0C" w:rsidRPr="006B645D" w:rsidRDefault="009D5F0C" w:rsidP="009D5F0C">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TOTAL</w:t>
            </w:r>
          </w:p>
        </w:tc>
        <w:tc>
          <w:tcPr>
            <w:tcW w:w="1276" w:type="dxa"/>
            <w:tcBorders>
              <w:top w:val="nil"/>
              <w:left w:val="nil"/>
              <w:bottom w:val="single" w:sz="12" w:space="0" w:color="auto"/>
              <w:right w:val="single" w:sz="12" w:space="0" w:color="auto"/>
            </w:tcBorders>
            <w:shd w:val="clear" w:color="auto" w:fill="auto"/>
            <w:noWrap/>
            <w:vAlign w:val="center"/>
            <w:hideMark/>
          </w:tcPr>
          <w:p w:rsidR="009D5F0C" w:rsidRPr="006B645D" w:rsidRDefault="009D5F0C" w:rsidP="009D5F0C">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116</w:t>
            </w:r>
          </w:p>
        </w:tc>
        <w:tc>
          <w:tcPr>
            <w:tcW w:w="1276" w:type="dxa"/>
            <w:tcBorders>
              <w:top w:val="nil"/>
              <w:left w:val="nil"/>
              <w:bottom w:val="single" w:sz="12" w:space="0" w:color="auto"/>
              <w:right w:val="single" w:sz="12" w:space="0" w:color="auto"/>
            </w:tcBorders>
            <w:shd w:val="clear" w:color="auto" w:fill="auto"/>
            <w:noWrap/>
            <w:vAlign w:val="center"/>
            <w:hideMark/>
          </w:tcPr>
          <w:p w:rsidR="009D5F0C" w:rsidRPr="006B645D" w:rsidRDefault="009D5F0C" w:rsidP="009D5F0C">
            <w:pPr>
              <w:spacing w:after="0" w:line="240" w:lineRule="auto"/>
              <w:jc w:val="center"/>
              <w:rPr>
                <w:rFonts w:ascii="Times New Roman" w:eastAsia="Times New Roman" w:hAnsi="Times New Roman" w:cs="Times New Roman"/>
                <w:b/>
                <w:bCs/>
                <w:color w:val="000000"/>
                <w:sz w:val="20"/>
                <w:szCs w:val="20"/>
                <w:lang w:eastAsia="en-IN"/>
              </w:rPr>
            </w:pPr>
            <w:r w:rsidRPr="006B645D">
              <w:rPr>
                <w:rFonts w:ascii="Times New Roman" w:eastAsia="Times New Roman" w:hAnsi="Times New Roman" w:cs="Times New Roman"/>
                <w:b/>
                <w:bCs/>
                <w:color w:val="000000"/>
                <w:sz w:val="20"/>
                <w:szCs w:val="20"/>
                <w:lang w:eastAsia="en-IN"/>
              </w:rPr>
              <w:t>100.00%</w:t>
            </w:r>
          </w:p>
        </w:tc>
      </w:tr>
    </w:tbl>
    <w:p w:rsidR="0048780B" w:rsidRDefault="0048780B" w:rsidP="00560E96">
      <w:pPr>
        <w:jc w:val="both"/>
        <w:rPr>
          <w:rFonts w:ascii="Times New Roman" w:hAnsi="Times New Roman" w:cs="Times New Roman"/>
          <w:b/>
          <w:sz w:val="20"/>
          <w:szCs w:val="20"/>
        </w:rPr>
      </w:pPr>
    </w:p>
    <w:p w:rsidR="006B645D" w:rsidRDefault="006B645D" w:rsidP="00560E96">
      <w:pPr>
        <w:jc w:val="both"/>
        <w:rPr>
          <w:rFonts w:ascii="Times New Roman" w:hAnsi="Times New Roman" w:cs="Times New Roman"/>
          <w:b/>
          <w:sz w:val="20"/>
          <w:szCs w:val="20"/>
        </w:rPr>
      </w:pPr>
    </w:p>
    <w:p w:rsidR="006B645D" w:rsidRDefault="006B645D" w:rsidP="00560E96">
      <w:pPr>
        <w:jc w:val="both"/>
        <w:rPr>
          <w:rFonts w:ascii="Times New Roman" w:hAnsi="Times New Roman" w:cs="Times New Roman"/>
          <w:b/>
          <w:sz w:val="20"/>
          <w:szCs w:val="20"/>
        </w:rPr>
      </w:pPr>
    </w:p>
    <w:p w:rsidR="006B645D" w:rsidRDefault="006B645D" w:rsidP="00560E96">
      <w:pPr>
        <w:jc w:val="both"/>
        <w:rPr>
          <w:rFonts w:ascii="Times New Roman" w:hAnsi="Times New Roman" w:cs="Times New Roman"/>
          <w:b/>
          <w:sz w:val="20"/>
          <w:szCs w:val="20"/>
        </w:rPr>
      </w:pPr>
    </w:p>
    <w:p w:rsidR="00895567" w:rsidRDefault="00895567" w:rsidP="00560E96">
      <w:pPr>
        <w:jc w:val="both"/>
        <w:rPr>
          <w:rFonts w:ascii="Times New Roman" w:hAnsi="Times New Roman" w:cs="Times New Roman"/>
          <w:b/>
          <w:sz w:val="20"/>
          <w:szCs w:val="20"/>
        </w:rPr>
      </w:pPr>
    </w:p>
    <w:p w:rsidR="00895567" w:rsidRDefault="00895567" w:rsidP="00560E96">
      <w:pPr>
        <w:jc w:val="both"/>
        <w:rPr>
          <w:rFonts w:ascii="Times New Roman" w:hAnsi="Times New Roman" w:cs="Times New Roman"/>
          <w:b/>
          <w:sz w:val="20"/>
          <w:szCs w:val="20"/>
        </w:rPr>
      </w:pPr>
    </w:p>
    <w:p w:rsidR="006B645D" w:rsidRPr="00DB7771" w:rsidRDefault="006B645D" w:rsidP="00DE12C0">
      <w:pPr>
        <w:spacing w:after="0"/>
        <w:rPr>
          <w:rFonts w:ascii="Times New Roman" w:hAnsi="Times New Roman" w:cs="Times New Roman"/>
          <w:b/>
          <w:szCs w:val="20"/>
        </w:rPr>
      </w:pPr>
      <w:r w:rsidRPr="00DB7771">
        <w:rPr>
          <w:rFonts w:ascii="Times New Roman" w:hAnsi="Times New Roman" w:cs="Times New Roman"/>
          <w:b/>
          <w:sz w:val="20"/>
          <w:szCs w:val="18"/>
        </w:rPr>
        <w:t>Fig</w:t>
      </w:r>
      <w:r w:rsidR="00DB7771" w:rsidRPr="00DB7771">
        <w:rPr>
          <w:rFonts w:ascii="Times New Roman" w:hAnsi="Times New Roman" w:cs="Times New Roman"/>
          <w:b/>
          <w:sz w:val="20"/>
          <w:szCs w:val="18"/>
        </w:rPr>
        <w:t xml:space="preserve"> 1</w:t>
      </w:r>
      <w:r w:rsidRPr="00DB7771">
        <w:rPr>
          <w:rFonts w:ascii="Times New Roman" w:hAnsi="Times New Roman" w:cs="Times New Roman"/>
          <w:b/>
          <w:sz w:val="20"/>
          <w:szCs w:val="18"/>
        </w:rPr>
        <w:t>: Area wise distribution of cases</w:t>
      </w:r>
    </w:p>
    <w:p w:rsidR="00560E96" w:rsidRDefault="006B645D" w:rsidP="00DE12C0">
      <w:pPr>
        <w:spacing w:after="0"/>
        <w:jc w:val="both"/>
        <w:rPr>
          <w:rFonts w:ascii="Times New Roman" w:hAnsi="Times New Roman" w:cs="Times New Roman"/>
          <w:sz w:val="20"/>
          <w:szCs w:val="20"/>
        </w:rPr>
      </w:pPr>
      <w:r>
        <w:rPr>
          <w:rFonts w:ascii="Times New Roman" w:hAnsi="Times New Roman" w:cs="Times New Roman"/>
          <w:noProof/>
          <w:sz w:val="20"/>
          <w:szCs w:val="20"/>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43180</wp:posOffset>
            </wp:positionV>
            <wp:extent cx="2868930" cy="1668780"/>
            <wp:effectExtent l="19050" t="0" r="26670" b="7620"/>
            <wp:wrapSquare wrapText="bothSides"/>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B645D" w:rsidRDefault="006B645D" w:rsidP="00560E96">
      <w:pPr>
        <w:jc w:val="both"/>
        <w:rPr>
          <w:rFonts w:ascii="Times New Roman" w:hAnsi="Times New Roman" w:cs="Times New Roman"/>
          <w:b/>
          <w:sz w:val="18"/>
          <w:szCs w:val="18"/>
        </w:rPr>
      </w:pPr>
    </w:p>
    <w:p w:rsidR="006B645D" w:rsidRDefault="006B645D" w:rsidP="00560E96">
      <w:pPr>
        <w:jc w:val="both"/>
        <w:rPr>
          <w:rFonts w:ascii="Times New Roman" w:hAnsi="Times New Roman" w:cs="Times New Roman"/>
          <w:b/>
          <w:sz w:val="18"/>
          <w:szCs w:val="18"/>
        </w:rPr>
      </w:pPr>
    </w:p>
    <w:p w:rsidR="009D5F0C" w:rsidRDefault="009D5F0C" w:rsidP="00560E96">
      <w:pPr>
        <w:jc w:val="both"/>
        <w:rPr>
          <w:rFonts w:ascii="Times New Roman" w:hAnsi="Times New Roman" w:cs="Times New Roman"/>
          <w:b/>
          <w:sz w:val="18"/>
          <w:szCs w:val="18"/>
        </w:rPr>
      </w:pPr>
    </w:p>
    <w:p w:rsidR="009D5F0C" w:rsidRDefault="009D5F0C" w:rsidP="00560E96">
      <w:pPr>
        <w:jc w:val="both"/>
        <w:rPr>
          <w:rFonts w:ascii="Times New Roman" w:hAnsi="Times New Roman" w:cs="Times New Roman"/>
          <w:b/>
          <w:sz w:val="18"/>
          <w:szCs w:val="18"/>
        </w:rPr>
      </w:pPr>
    </w:p>
    <w:p w:rsidR="00DE12C0" w:rsidRDefault="00DE12C0" w:rsidP="00560E96">
      <w:pPr>
        <w:jc w:val="both"/>
        <w:rPr>
          <w:rFonts w:ascii="Times New Roman" w:hAnsi="Times New Roman" w:cs="Times New Roman"/>
          <w:b/>
          <w:sz w:val="18"/>
          <w:szCs w:val="18"/>
        </w:rPr>
      </w:pPr>
    </w:p>
    <w:p w:rsidR="00DE12C0" w:rsidRDefault="00DE12C0" w:rsidP="00560E96">
      <w:pPr>
        <w:jc w:val="both"/>
        <w:rPr>
          <w:rFonts w:ascii="Times New Roman" w:hAnsi="Times New Roman" w:cs="Times New Roman"/>
          <w:b/>
          <w:sz w:val="18"/>
          <w:szCs w:val="18"/>
        </w:rPr>
      </w:pPr>
    </w:p>
    <w:p w:rsidR="00DE12C0" w:rsidRDefault="00DE12C0" w:rsidP="00560E96">
      <w:pPr>
        <w:jc w:val="both"/>
        <w:rPr>
          <w:rFonts w:ascii="Times New Roman" w:hAnsi="Times New Roman" w:cs="Times New Roman"/>
          <w:b/>
          <w:sz w:val="18"/>
          <w:szCs w:val="18"/>
        </w:rPr>
      </w:pPr>
    </w:p>
    <w:p w:rsidR="009D5F0C" w:rsidRDefault="009D5F0C" w:rsidP="009D5F0C">
      <w:pPr>
        <w:spacing w:after="0"/>
        <w:jc w:val="right"/>
        <w:rPr>
          <w:rFonts w:ascii="Times New Roman" w:hAnsi="Times New Roman" w:cs="Times New Roman"/>
          <w:b/>
          <w:sz w:val="20"/>
          <w:szCs w:val="20"/>
        </w:rPr>
      </w:pPr>
    </w:p>
    <w:p w:rsidR="009D5F0C" w:rsidRPr="009D5F0C" w:rsidRDefault="009D5F0C" w:rsidP="009D5F0C">
      <w:pPr>
        <w:spacing w:after="0"/>
        <w:jc w:val="right"/>
        <w:rPr>
          <w:rFonts w:ascii="Times New Roman" w:hAnsi="Times New Roman" w:cs="Times New Roman"/>
          <w:sz w:val="20"/>
          <w:szCs w:val="20"/>
        </w:rPr>
      </w:pPr>
      <w:r w:rsidRPr="009D5F0C">
        <w:rPr>
          <w:rFonts w:ascii="Times New Roman" w:hAnsi="Times New Roman" w:cs="Times New Roman"/>
          <w:sz w:val="20"/>
          <w:szCs w:val="20"/>
        </w:rPr>
        <w:lastRenderedPageBreak/>
        <w:t>Study of Violent Asphyxial Deaths</w:t>
      </w:r>
    </w:p>
    <w:p w:rsidR="009D5F0C" w:rsidRDefault="009D5F0C" w:rsidP="009D5F0C">
      <w:pPr>
        <w:spacing w:after="0"/>
        <w:jc w:val="right"/>
        <w:rPr>
          <w:rFonts w:ascii="Times New Roman" w:hAnsi="Times New Roman" w:cs="Times New Roman"/>
          <w:b/>
          <w:sz w:val="20"/>
          <w:szCs w:val="20"/>
        </w:rPr>
      </w:pPr>
    </w:p>
    <w:p w:rsidR="0000079B" w:rsidRPr="0000079B" w:rsidRDefault="00DB7771" w:rsidP="00DE12C0">
      <w:pPr>
        <w:spacing w:after="0"/>
        <w:jc w:val="both"/>
        <w:rPr>
          <w:rFonts w:ascii="Times New Roman" w:hAnsi="Times New Roman" w:cs="Times New Roman"/>
          <w:b/>
          <w:sz w:val="18"/>
          <w:szCs w:val="18"/>
        </w:rPr>
      </w:pPr>
      <w:r>
        <w:rPr>
          <w:rFonts w:ascii="Times New Roman" w:hAnsi="Times New Roman" w:cs="Times New Roman"/>
          <w:b/>
          <w:sz w:val="18"/>
          <w:szCs w:val="18"/>
        </w:rPr>
        <w:t>Fig 2</w:t>
      </w:r>
      <w:r w:rsidR="0000079B" w:rsidRPr="0000079B">
        <w:rPr>
          <w:rFonts w:ascii="Times New Roman" w:hAnsi="Times New Roman" w:cs="Times New Roman"/>
          <w:b/>
          <w:sz w:val="18"/>
          <w:szCs w:val="18"/>
        </w:rPr>
        <w:t>: Distribution of cases base on marital status</w:t>
      </w:r>
    </w:p>
    <w:p w:rsidR="00560E96" w:rsidRDefault="00560E96" w:rsidP="00DE12C0">
      <w:pPr>
        <w:spacing w:after="0"/>
        <w:jc w:val="both"/>
        <w:rPr>
          <w:rFonts w:ascii="Times New Roman" w:hAnsi="Times New Roman" w:cs="Times New Roman"/>
          <w:sz w:val="20"/>
          <w:szCs w:val="20"/>
        </w:rPr>
      </w:pPr>
      <w:r w:rsidRPr="00943CF9">
        <w:rPr>
          <w:rFonts w:ascii="Times New Roman" w:hAnsi="Times New Roman" w:cs="Times New Roman"/>
          <w:noProof/>
          <w:sz w:val="20"/>
          <w:szCs w:val="20"/>
          <w:lang w:val="en-US"/>
        </w:rPr>
        <w:drawing>
          <wp:inline distT="0" distB="0" distL="0" distR="0">
            <wp:extent cx="2929890" cy="1973580"/>
            <wp:effectExtent l="19050" t="0" r="22860" b="762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0"/>
          <w:szCs w:val="20"/>
        </w:rPr>
        <w:br w:type="textWrapping" w:clear="all"/>
      </w:r>
      <w:r>
        <w:rPr>
          <w:rFonts w:ascii="Times New Roman" w:hAnsi="Times New Roman" w:cs="Times New Roman"/>
          <w:b/>
          <w:sz w:val="20"/>
          <w:szCs w:val="20"/>
        </w:rPr>
        <w:t xml:space="preserve">    </w:t>
      </w:r>
    </w:p>
    <w:p w:rsidR="00761B9D" w:rsidRDefault="00761B9D" w:rsidP="006249E5">
      <w:pPr>
        <w:jc w:val="both"/>
        <w:rPr>
          <w:rFonts w:ascii="Times New Roman" w:hAnsi="Times New Roman" w:cs="Times New Roman"/>
          <w:b/>
          <w:sz w:val="20"/>
          <w:szCs w:val="20"/>
        </w:rPr>
      </w:pPr>
    </w:p>
    <w:p w:rsidR="00761B9D" w:rsidRPr="00761B9D" w:rsidRDefault="00761B9D" w:rsidP="00DE12C0">
      <w:pPr>
        <w:spacing w:after="0"/>
        <w:jc w:val="both"/>
        <w:rPr>
          <w:rFonts w:ascii="Times New Roman" w:hAnsi="Times New Roman" w:cs="Times New Roman"/>
          <w:b/>
          <w:sz w:val="18"/>
          <w:szCs w:val="18"/>
        </w:rPr>
      </w:pPr>
      <w:r w:rsidRPr="00761B9D">
        <w:rPr>
          <w:rFonts w:ascii="Times New Roman" w:hAnsi="Times New Roman" w:cs="Times New Roman"/>
          <w:b/>
          <w:sz w:val="18"/>
          <w:szCs w:val="18"/>
        </w:rPr>
        <w:t xml:space="preserve">Table </w:t>
      </w:r>
      <w:r w:rsidR="00DB7771">
        <w:rPr>
          <w:rFonts w:ascii="Times New Roman" w:hAnsi="Times New Roman" w:cs="Times New Roman"/>
          <w:b/>
          <w:sz w:val="18"/>
          <w:szCs w:val="18"/>
        </w:rPr>
        <w:t>5</w:t>
      </w:r>
      <w:r w:rsidRPr="00761B9D">
        <w:rPr>
          <w:rFonts w:ascii="Times New Roman" w:hAnsi="Times New Roman" w:cs="Times New Roman"/>
          <w:b/>
          <w:sz w:val="18"/>
          <w:szCs w:val="18"/>
        </w:rPr>
        <w:t xml:space="preserve">: Distribution of manner of death base on occupation of victims </w:t>
      </w:r>
    </w:p>
    <w:tbl>
      <w:tblPr>
        <w:tblW w:w="6678" w:type="dxa"/>
        <w:tblInd w:w="93" w:type="dxa"/>
        <w:tblLook w:val="04A0"/>
      </w:tblPr>
      <w:tblGrid>
        <w:gridCol w:w="724"/>
        <w:gridCol w:w="1276"/>
        <w:gridCol w:w="850"/>
        <w:gridCol w:w="1134"/>
        <w:gridCol w:w="1016"/>
        <w:gridCol w:w="685"/>
        <w:gridCol w:w="1066"/>
      </w:tblGrid>
      <w:tr w:rsidR="00560E96" w:rsidRPr="00761B9D" w:rsidTr="00DE12C0">
        <w:trPr>
          <w:trHeight w:val="589"/>
        </w:trPr>
        <w:tc>
          <w:tcPr>
            <w:tcW w:w="724"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DE12C0">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Sl No.</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Occupational Status</w:t>
            </w:r>
          </w:p>
        </w:tc>
        <w:tc>
          <w:tcPr>
            <w:tcW w:w="3000"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Manner of Death</w:t>
            </w:r>
          </w:p>
        </w:tc>
        <w:tc>
          <w:tcPr>
            <w:tcW w:w="68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Total</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Percentage</w:t>
            </w:r>
          </w:p>
        </w:tc>
      </w:tr>
      <w:tr w:rsidR="00560E96" w:rsidRPr="00761B9D" w:rsidTr="00DE12C0">
        <w:trPr>
          <w:trHeight w:val="430"/>
        </w:trPr>
        <w:tc>
          <w:tcPr>
            <w:tcW w:w="724" w:type="dxa"/>
            <w:vMerge/>
            <w:tcBorders>
              <w:top w:val="single" w:sz="12" w:space="0" w:color="auto"/>
              <w:left w:val="single" w:sz="12" w:space="0" w:color="auto"/>
              <w:bottom w:val="single" w:sz="12" w:space="0" w:color="auto"/>
              <w:right w:val="single" w:sz="12" w:space="0" w:color="auto"/>
            </w:tcBorders>
            <w:vAlign w:val="center"/>
            <w:hideMark/>
          </w:tcPr>
          <w:p w:rsidR="00560E96" w:rsidRPr="00761B9D" w:rsidRDefault="00560E96" w:rsidP="00906ED2">
            <w:pPr>
              <w:spacing w:after="0" w:line="240" w:lineRule="auto"/>
              <w:rPr>
                <w:rFonts w:ascii="Times New Roman" w:eastAsia="Times New Roman" w:hAnsi="Times New Roman" w:cs="Times New Roman"/>
                <w:b/>
                <w:bCs/>
                <w:color w:val="000000"/>
                <w:sz w:val="18"/>
                <w:szCs w:val="18"/>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560E96" w:rsidRPr="00761B9D" w:rsidRDefault="00560E96" w:rsidP="00906ED2">
            <w:pPr>
              <w:spacing w:after="0" w:line="240" w:lineRule="auto"/>
              <w:rPr>
                <w:rFonts w:ascii="Times New Roman" w:eastAsia="Times New Roman" w:hAnsi="Times New Roman" w:cs="Times New Roman"/>
                <w:b/>
                <w:bCs/>
                <w:color w:val="000000"/>
                <w:sz w:val="18"/>
                <w:szCs w:val="18"/>
              </w:rPr>
            </w:pPr>
          </w:p>
        </w:tc>
        <w:tc>
          <w:tcPr>
            <w:tcW w:w="850"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Suicidal</w:t>
            </w:r>
          </w:p>
        </w:tc>
        <w:tc>
          <w:tcPr>
            <w:tcW w:w="1134"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Accidental</w:t>
            </w:r>
          </w:p>
        </w:tc>
        <w:tc>
          <w:tcPr>
            <w:tcW w:w="101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Homicidal</w:t>
            </w:r>
          </w:p>
        </w:tc>
        <w:tc>
          <w:tcPr>
            <w:tcW w:w="685" w:type="dxa"/>
            <w:vMerge/>
            <w:tcBorders>
              <w:top w:val="single" w:sz="12" w:space="0" w:color="auto"/>
              <w:left w:val="single" w:sz="12" w:space="0" w:color="auto"/>
              <w:bottom w:val="single" w:sz="12" w:space="0" w:color="auto"/>
              <w:right w:val="single" w:sz="12" w:space="0" w:color="auto"/>
            </w:tcBorders>
            <w:vAlign w:val="center"/>
            <w:hideMark/>
          </w:tcPr>
          <w:p w:rsidR="00560E96" w:rsidRPr="00761B9D" w:rsidRDefault="00560E96" w:rsidP="00906ED2">
            <w:pPr>
              <w:spacing w:after="0" w:line="240" w:lineRule="auto"/>
              <w:rPr>
                <w:rFonts w:ascii="Times New Roman" w:eastAsia="Times New Roman" w:hAnsi="Times New Roman" w:cs="Times New Roman"/>
                <w:b/>
                <w:bCs/>
                <w:color w:val="000000"/>
                <w:sz w:val="18"/>
                <w:szCs w:val="18"/>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rsidR="00560E96" w:rsidRPr="00761B9D" w:rsidRDefault="00560E96" w:rsidP="00906ED2">
            <w:pPr>
              <w:spacing w:after="0" w:line="240" w:lineRule="auto"/>
              <w:rPr>
                <w:rFonts w:ascii="Times New Roman" w:eastAsia="Times New Roman" w:hAnsi="Times New Roman" w:cs="Times New Roman"/>
                <w:b/>
                <w:bCs/>
                <w:color w:val="000000"/>
                <w:sz w:val="18"/>
                <w:szCs w:val="18"/>
              </w:rPr>
            </w:pPr>
          </w:p>
        </w:tc>
      </w:tr>
      <w:tr w:rsidR="00560E96" w:rsidRPr="00761B9D" w:rsidTr="00DE12C0">
        <w:trPr>
          <w:trHeight w:val="40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1</w:t>
            </w:r>
          </w:p>
        </w:tc>
        <w:tc>
          <w:tcPr>
            <w:tcW w:w="127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Student</w:t>
            </w:r>
          </w:p>
        </w:tc>
        <w:tc>
          <w:tcPr>
            <w:tcW w:w="850"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15</w:t>
            </w:r>
          </w:p>
        </w:tc>
        <w:tc>
          <w:tcPr>
            <w:tcW w:w="1134"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10</w:t>
            </w:r>
          </w:p>
        </w:tc>
        <w:tc>
          <w:tcPr>
            <w:tcW w:w="101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6</w:t>
            </w:r>
          </w:p>
        </w:tc>
        <w:tc>
          <w:tcPr>
            <w:tcW w:w="685"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31</w:t>
            </w:r>
          </w:p>
        </w:tc>
        <w:tc>
          <w:tcPr>
            <w:tcW w:w="993"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26.72%</w:t>
            </w:r>
          </w:p>
        </w:tc>
      </w:tr>
      <w:tr w:rsidR="00560E96" w:rsidRPr="00761B9D" w:rsidTr="00DE12C0">
        <w:trPr>
          <w:trHeight w:val="430"/>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2</w:t>
            </w:r>
          </w:p>
        </w:tc>
        <w:tc>
          <w:tcPr>
            <w:tcW w:w="127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Employed</w:t>
            </w:r>
          </w:p>
        </w:tc>
        <w:tc>
          <w:tcPr>
            <w:tcW w:w="850"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9</w:t>
            </w:r>
          </w:p>
        </w:tc>
        <w:tc>
          <w:tcPr>
            <w:tcW w:w="1134"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16</w:t>
            </w:r>
          </w:p>
        </w:tc>
        <w:tc>
          <w:tcPr>
            <w:tcW w:w="101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3</w:t>
            </w:r>
          </w:p>
        </w:tc>
        <w:tc>
          <w:tcPr>
            <w:tcW w:w="685"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28</w:t>
            </w:r>
          </w:p>
        </w:tc>
        <w:tc>
          <w:tcPr>
            <w:tcW w:w="993"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24.14%</w:t>
            </w:r>
          </w:p>
        </w:tc>
      </w:tr>
      <w:tr w:rsidR="00560E96" w:rsidRPr="00761B9D" w:rsidTr="00DE12C0">
        <w:trPr>
          <w:trHeight w:val="417"/>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3</w:t>
            </w:r>
          </w:p>
        </w:tc>
        <w:tc>
          <w:tcPr>
            <w:tcW w:w="1276" w:type="dxa"/>
            <w:tcBorders>
              <w:top w:val="nil"/>
              <w:left w:val="nil"/>
              <w:bottom w:val="single" w:sz="12" w:space="0" w:color="auto"/>
              <w:right w:val="single" w:sz="12" w:space="0" w:color="auto"/>
            </w:tcBorders>
            <w:shd w:val="clear" w:color="auto" w:fill="auto"/>
            <w:noWrap/>
            <w:vAlign w:val="center"/>
            <w:hideMark/>
          </w:tcPr>
          <w:p w:rsidR="00560E96" w:rsidRPr="00761B9D" w:rsidRDefault="00E95F1B" w:rsidP="00906ED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U</w:t>
            </w:r>
            <w:r w:rsidR="00560E96" w:rsidRPr="00761B9D">
              <w:rPr>
                <w:rFonts w:ascii="Times New Roman" w:eastAsia="Times New Roman" w:hAnsi="Times New Roman" w:cs="Times New Roman"/>
                <w:color w:val="000000"/>
                <w:sz w:val="18"/>
                <w:szCs w:val="18"/>
              </w:rPr>
              <w:t>n-Employed</w:t>
            </w:r>
          </w:p>
        </w:tc>
        <w:tc>
          <w:tcPr>
            <w:tcW w:w="850"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35</w:t>
            </w:r>
          </w:p>
        </w:tc>
        <w:tc>
          <w:tcPr>
            <w:tcW w:w="1134"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15</w:t>
            </w:r>
          </w:p>
        </w:tc>
        <w:tc>
          <w:tcPr>
            <w:tcW w:w="101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7</w:t>
            </w:r>
          </w:p>
        </w:tc>
        <w:tc>
          <w:tcPr>
            <w:tcW w:w="685"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57</w:t>
            </w:r>
          </w:p>
        </w:tc>
        <w:tc>
          <w:tcPr>
            <w:tcW w:w="993"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color w:val="000000"/>
                <w:sz w:val="18"/>
                <w:szCs w:val="18"/>
              </w:rPr>
            </w:pPr>
            <w:r w:rsidRPr="00761B9D">
              <w:rPr>
                <w:rFonts w:ascii="Times New Roman" w:eastAsia="Times New Roman" w:hAnsi="Times New Roman" w:cs="Times New Roman"/>
                <w:color w:val="000000"/>
                <w:sz w:val="18"/>
                <w:szCs w:val="18"/>
              </w:rPr>
              <w:t>49.14%</w:t>
            </w:r>
          </w:p>
        </w:tc>
      </w:tr>
      <w:tr w:rsidR="00560E96" w:rsidRPr="00761B9D" w:rsidTr="00DE12C0">
        <w:trPr>
          <w:trHeight w:val="491"/>
        </w:trPr>
        <w:tc>
          <w:tcPr>
            <w:tcW w:w="200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Total</w:t>
            </w:r>
          </w:p>
        </w:tc>
        <w:tc>
          <w:tcPr>
            <w:tcW w:w="850"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59</w:t>
            </w:r>
          </w:p>
        </w:tc>
        <w:tc>
          <w:tcPr>
            <w:tcW w:w="1134"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41</w:t>
            </w:r>
          </w:p>
        </w:tc>
        <w:tc>
          <w:tcPr>
            <w:tcW w:w="1016"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16</w:t>
            </w:r>
          </w:p>
        </w:tc>
        <w:tc>
          <w:tcPr>
            <w:tcW w:w="685"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116</w:t>
            </w:r>
          </w:p>
        </w:tc>
        <w:tc>
          <w:tcPr>
            <w:tcW w:w="993" w:type="dxa"/>
            <w:tcBorders>
              <w:top w:val="nil"/>
              <w:left w:val="nil"/>
              <w:bottom w:val="single" w:sz="12" w:space="0" w:color="auto"/>
              <w:right w:val="single" w:sz="12" w:space="0" w:color="auto"/>
            </w:tcBorders>
            <w:shd w:val="clear" w:color="auto" w:fill="auto"/>
            <w:noWrap/>
            <w:vAlign w:val="center"/>
            <w:hideMark/>
          </w:tcPr>
          <w:p w:rsidR="00560E96" w:rsidRPr="00761B9D" w:rsidRDefault="00560E96" w:rsidP="00906ED2">
            <w:pPr>
              <w:spacing w:after="0" w:line="240" w:lineRule="auto"/>
              <w:jc w:val="center"/>
              <w:rPr>
                <w:rFonts w:ascii="Times New Roman" w:eastAsia="Times New Roman" w:hAnsi="Times New Roman" w:cs="Times New Roman"/>
                <w:b/>
                <w:bCs/>
                <w:color w:val="000000"/>
                <w:sz w:val="18"/>
                <w:szCs w:val="18"/>
              </w:rPr>
            </w:pPr>
            <w:r w:rsidRPr="00761B9D">
              <w:rPr>
                <w:rFonts w:ascii="Times New Roman" w:eastAsia="Times New Roman" w:hAnsi="Times New Roman" w:cs="Times New Roman"/>
                <w:b/>
                <w:bCs/>
                <w:color w:val="000000"/>
                <w:sz w:val="18"/>
                <w:szCs w:val="18"/>
              </w:rPr>
              <w:t>100.00%</w:t>
            </w:r>
          </w:p>
        </w:tc>
      </w:tr>
    </w:tbl>
    <w:p w:rsidR="00560E96" w:rsidRDefault="00560E96" w:rsidP="00761B9D">
      <w:pPr>
        <w:rPr>
          <w:rFonts w:ascii="Times New Roman" w:hAnsi="Times New Roman" w:cs="Times New Roman"/>
          <w:b/>
          <w:sz w:val="20"/>
          <w:szCs w:val="20"/>
        </w:rPr>
      </w:pPr>
    </w:p>
    <w:p w:rsidR="00761B9D" w:rsidRPr="00DB7771" w:rsidRDefault="00DB7771" w:rsidP="00DE12C0">
      <w:pPr>
        <w:spacing w:after="0"/>
        <w:rPr>
          <w:rFonts w:ascii="Times New Roman" w:hAnsi="Times New Roman" w:cs="Times New Roman"/>
          <w:b/>
          <w:sz w:val="20"/>
          <w:szCs w:val="18"/>
        </w:rPr>
      </w:pPr>
      <w:r w:rsidRPr="00DB7771">
        <w:rPr>
          <w:rFonts w:ascii="Times New Roman" w:hAnsi="Times New Roman" w:cs="Times New Roman"/>
          <w:b/>
          <w:sz w:val="20"/>
          <w:szCs w:val="18"/>
        </w:rPr>
        <w:t>Table 6</w:t>
      </w:r>
      <w:r w:rsidR="00761B9D" w:rsidRPr="00DB7771">
        <w:rPr>
          <w:rFonts w:ascii="Times New Roman" w:hAnsi="Times New Roman" w:cs="Times New Roman"/>
          <w:b/>
          <w:sz w:val="20"/>
          <w:szCs w:val="18"/>
        </w:rPr>
        <w:t>: Season wise distribution of cases</w:t>
      </w:r>
    </w:p>
    <w:tbl>
      <w:tblPr>
        <w:tblpPr w:leftFromText="180" w:rightFromText="180" w:vertAnchor="text" w:tblpY="1"/>
        <w:tblOverlap w:val="never"/>
        <w:tblW w:w="4537" w:type="dxa"/>
        <w:tblInd w:w="93" w:type="dxa"/>
        <w:tblLook w:val="04A0"/>
      </w:tblPr>
      <w:tblGrid>
        <w:gridCol w:w="683"/>
        <w:gridCol w:w="1470"/>
        <w:gridCol w:w="1149"/>
        <w:gridCol w:w="1235"/>
      </w:tblGrid>
      <w:tr w:rsidR="00E95F1B" w:rsidRPr="008751C7" w:rsidTr="00EC0B81">
        <w:trPr>
          <w:trHeight w:val="456"/>
        </w:trPr>
        <w:tc>
          <w:tcPr>
            <w:tcW w:w="683" w:type="dxa"/>
            <w:tcBorders>
              <w:top w:val="single" w:sz="12" w:space="0" w:color="000000"/>
              <w:left w:val="single" w:sz="12" w:space="0" w:color="000000"/>
              <w:bottom w:val="single" w:sz="12" w:space="0" w:color="000000"/>
              <w:right w:val="single" w:sz="12" w:space="0" w:color="000000"/>
            </w:tcBorders>
            <w:shd w:val="clear" w:color="auto" w:fill="auto"/>
            <w:noWrap/>
            <w:vAlign w:val="center"/>
            <w:hideMark/>
          </w:tcPr>
          <w:p w:rsidR="00E95F1B" w:rsidRPr="008751C7" w:rsidRDefault="00E95F1B" w:rsidP="00DE12C0">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Sl. No.</w:t>
            </w:r>
          </w:p>
        </w:tc>
        <w:tc>
          <w:tcPr>
            <w:tcW w:w="1470" w:type="dxa"/>
            <w:tcBorders>
              <w:top w:val="single" w:sz="12" w:space="0" w:color="000000"/>
              <w:left w:val="nil"/>
              <w:bottom w:val="single" w:sz="12" w:space="0" w:color="000000"/>
              <w:right w:val="single" w:sz="12" w:space="0" w:color="000000"/>
            </w:tcBorders>
            <w:shd w:val="clear" w:color="auto" w:fill="auto"/>
            <w:noWrap/>
            <w:vAlign w:val="center"/>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Season</w:t>
            </w:r>
          </w:p>
        </w:tc>
        <w:tc>
          <w:tcPr>
            <w:tcW w:w="1149" w:type="dxa"/>
            <w:tcBorders>
              <w:top w:val="single" w:sz="12" w:space="0" w:color="000000"/>
              <w:left w:val="nil"/>
              <w:bottom w:val="single" w:sz="12" w:space="0" w:color="000000"/>
              <w:right w:val="single" w:sz="12" w:space="0" w:color="000000"/>
            </w:tcBorders>
            <w:shd w:val="clear" w:color="auto" w:fill="auto"/>
            <w:noWrap/>
            <w:vAlign w:val="center"/>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Frequency</w:t>
            </w:r>
          </w:p>
        </w:tc>
        <w:tc>
          <w:tcPr>
            <w:tcW w:w="1235" w:type="dxa"/>
            <w:tcBorders>
              <w:top w:val="single" w:sz="12" w:space="0" w:color="000000"/>
              <w:left w:val="nil"/>
              <w:bottom w:val="single" w:sz="12" w:space="0" w:color="000000"/>
              <w:right w:val="single" w:sz="12" w:space="0" w:color="000000"/>
            </w:tcBorders>
            <w:shd w:val="clear" w:color="auto" w:fill="auto"/>
            <w:noWrap/>
            <w:vAlign w:val="center"/>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Percentage</w:t>
            </w:r>
          </w:p>
        </w:tc>
      </w:tr>
      <w:tr w:rsidR="00E95F1B" w:rsidRPr="008751C7" w:rsidTr="00EC0B81">
        <w:trPr>
          <w:trHeight w:val="329"/>
        </w:trPr>
        <w:tc>
          <w:tcPr>
            <w:tcW w:w="683" w:type="dxa"/>
            <w:tcBorders>
              <w:top w:val="nil"/>
              <w:left w:val="single" w:sz="12" w:space="0" w:color="000000"/>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1</w:t>
            </w:r>
          </w:p>
        </w:tc>
        <w:tc>
          <w:tcPr>
            <w:tcW w:w="1470"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Spring</w:t>
            </w:r>
          </w:p>
        </w:tc>
        <w:tc>
          <w:tcPr>
            <w:tcW w:w="1149"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28</w:t>
            </w:r>
          </w:p>
        </w:tc>
        <w:tc>
          <w:tcPr>
            <w:tcW w:w="1235"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24.14%</w:t>
            </w:r>
          </w:p>
        </w:tc>
      </w:tr>
      <w:tr w:rsidR="00E95F1B" w:rsidRPr="008751C7" w:rsidTr="00EC0B81">
        <w:trPr>
          <w:trHeight w:val="329"/>
        </w:trPr>
        <w:tc>
          <w:tcPr>
            <w:tcW w:w="683" w:type="dxa"/>
            <w:tcBorders>
              <w:top w:val="nil"/>
              <w:left w:val="single" w:sz="12" w:space="0" w:color="000000"/>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751C7">
              <w:rPr>
                <w:rFonts w:ascii="Times New Roman" w:eastAsia="Times New Roman" w:hAnsi="Times New Roman" w:cs="Times New Roman"/>
                <w:color w:val="000000"/>
                <w:sz w:val="20"/>
                <w:szCs w:val="20"/>
              </w:rPr>
              <w:t>2</w:t>
            </w:r>
          </w:p>
        </w:tc>
        <w:tc>
          <w:tcPr>
            <w:tcW w:w="1470"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Summer</w:t>
            </w:r>
          </w:p>
        </w:tc>
        <w:tc>
          <w:tcPr>
            <w:tcW w:w="1149"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36</w:t>
            </w:r>
          </w:p>
        </w:tc>
        <w:tc>
          <w:tcPr>
            <w:tcW w:w="1235"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31.03%</w:t>
            </w:r>
          </w:p>
        </w:tc>
      </w:tr>
      <w:tr w:rsidR="00E95F1B" w:rsidRPr="008751C7" w:rsidTr="00EC0B81">
        <w:trPr>
          <w:trHeight w:val="329"/>
        </w:trPr>
        <w:tc>
          <w:tcPr>
            <w:tcW w:w="683" w:type="dxa"/>
            <w:tcBorders>
              <w:top w:val="nil"/>
              <w:left w:val="single" w:sz="12" w:space="0" w:color="000000"/>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3</w:t>
            </w:r>
          </w:p>
        </w:tc>
        <w:tc>
          <w:tcPr>
            <w:tcW w:w="1470"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Autum</w:t>
            </w:r>
            <w:r w:rsidR="00221D38">
              <w:rPr>
                <w:rFonts w:ascii="Times New Roman" w:eastAsia="Times New Roman" w:hAnsi="Times New Roman" w:cs="Times New Roman"/>
                <w:color w:val="000000"/>
                <w:sz w:val="20"/>
                <w:szCs w:val="20"/>
              </w:rPr>
              <w:t>n</w:t>
            </w:r>
          </w:p>
        </w:tc>
        <w:tc>
          <w:tcPr>
            <w:tcW w:w="1149"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28</w:t>
            </w:r>
          </w:p>
        </w:tc>
        <w:tc>
          <w:tcPr>
            <w:tcW w:w="1235" w:type="dxa"/>
            <w:tcBorders>
              <w:top w:val="nil"/>
              <w:left w:val="nil"/>
              <w:bottom w:val="single" w:sz="12" w:space="0" w:color="000000"/>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24.14%</w:t>
            </w:r>
          </w:p>
        </w:tc>
      </w:tr>
      <w:tr w:rsidR="00E95F1B" w:rsidRPr="008751C7" w:rsidTr="00EC0B81">
        <w:trPr>
          <w:trHeight w:val="329"/>
        </w:trPr>
        <w:tc>
          <w:tcPr>
            <w:tcW w:w="683" w:type="dxa"/>
            <w:tcBorders>
              <w:top w:val="nil"/>
              <w:left w:val="single" w:sz="12" w:space="0" w:color="000000"/>
              <w:bottom w:val="single" w:sz="12" w:space="0" w:color="auto"/>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4</w:t>
            </w:r>
          </w:p>
        </w:tc>
        <w:tc>
          <w:tcPr>
            <w:tcW w:w="1470" w:type="dxa"/>
            <w:tcBorders>
              <w:top w:val="nil"/>
              <w:left w:val="nil"/>
              <w:bottom w:val="single" w:sz="12" w:space="0" w:color="auto"/>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Winter</w:t>
            </w:r>
          </w:p>
        </w:tc>
        <w:tc>
          <w:tcPr>
            <w:tcW w:w="1149" w:type="dxa"/>
            <w:tcBorders>
              <w:top w:val="nil"/>
              <w:left w:val="nil"/>
              <w:bottom w:val="single" w:sz="12" w:space="0" w:color="auto"/>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24</w:t>
            </w:r>
          </w:p>
        </w:tc>
        <w:tc>
          <w:tcPr>
            <w:tcW w:w="1235" w:type="dxa"/>
            <w:tcBorders>
              <w:top w:val="nil"/>
              <w:left w:val="nil"/>
              <w:bottom w:val="single" w:sz="12" w:space="0" w:color="auto"/>
              <w:right w:val="single" w:sz="12" w:space="0" w:color="000000"/>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color w:val="000000"/>
                <w:sz w:val="20"/>
                <w:szCs w:val="20"/>
              </w:rPr>
            </w:pPr>
            <w:r w:rsidRPr="008751C7">
              <w:rPr>
                <w:rFonts w:ascii="Times New Roman" w:eastAsia="Times New Roman" w:hAnsi="Times New Roman" w:cs="Times New Roman"/>
                <w:color w:val="000000"/>
                <w:sz w:val="20"/>
                <w:szCs w:val="20"/>
              </w:rPr>
              <w:t>20.69%</w:t>
            </w:r>
          </w:p>
        </w:tc>
      </w:tr>
      <w:tr w:rsidR="00E95F1B" w:rsidRPr="008751C7" w:rsidTr="00EC0B81">
        <w:trPr>
          <w:trHeight w:val="482"/>
        </w:trPr>
        <w:tc>
          <w:tcPr>
            <w:tcW w:w="6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147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TOTAL</w:t>
            </w:r>
          </w:p>
        </w:tc>
        <w:tc>
          <w:tcPr>
            <w:tcW w:w="114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116</w:t>
            </w:r>
          </w:p>
        </w:tc>
        <w:tc>
          <w:tcPr>
            <w:tcW w:w="123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95F1B" w:rsidRPr="008751C7" w:rsidRDefault="00E95F1B" w:rsidP="00747C7A">
            <w:pPr>
              <w:spacing w:after="0" w:line="240" w:lineRule="auto"/>
              <w:jc w:val="center"/>
              <w:rPr>
                <w:rFonts w:ascii="Times New Roman" w:eastAsia="Times New Roman" w:hAnsi="Times New Roman" w:cs="Times New Roman"/>
                <w:b/>
                <w:bCs/>
                <w:color w:val="000000"/>
                <w:sz w:val="20"/>
                <w:szCs w:val="20"/>
              </w:rPr>
            </w:pPr>
            <w:r w:rsidRPr="008751C7">
              <w:rPr>
                <w:rFonts w:ascii="Times New Roman" w:eastAsia="Times New Roman" w:hAnsi="Times New Roman" w:cs="Times New Roman"/>
                <w:b/>
                <w:bCs/>
                <w:color w:val="000000"/>
                <w:sz w:val="20"/>
                <w:szCs w:val="20"/>
              </w:rPr>
              <w:t>100.00%</w:t>
            </w:r>
          </w:p>
        </w:tc>
      </w:tr>
    </w:tbl>
    <w:p w:rsidR="006249E5" w:rsidRDefault="006249E5" w:rsidP="00355DB5">
      <w:pPr>
        <w:jc w:val="both"/>
        <w:rPr>
          <w:rFonts w:ascii="Times New Roman" w:hAnsi="Times New Roman" w:cs="Times New Roman"/>
          <w:b/>
          <w:sz w:val="20"/>
          <w:szCs w:val="20"/>
        </w:rPr>
      </w:pPr>
    </w:p>
    <w:p w:rsidR="00E95F1B" w:rsidRDefault="00E95F1B" w:rsidP="00355DB5">
      <w:pPr>
        <w:jc w:val="both"/>
        <w:rPr>
          <w:rFonts w:ascii="Times New Roman" w:hAnsi="Times New Roman" w:cs="Times New Roman"/>
          <w:b/>
          <w:sz w:val="20"/>
          <w:szCs w:val="20"/>
        </w:rPr>
      </w:pPr>
    </w:p>
    <w:p w:rsidR="00E95F1B" w:rsidRDefault="00E95F1B" w:rsidP="00355DB5">
      <w:pPr>
        <w:jc w:val="both"/>
        <w:rPr>
          <w:rFonts w:ascii="Times New Roman" w:hAnsi="Times New Roman" w:cs="Times New Roman"/>
          <w:b/>
          <w:sz w:val="20"/>
          <w:szCs w:val="20"/>
        </w:rPr>
      </w:pPr>
    </w:p>
    <w:p w:rsidR="00E95F1B" w:rsidRDefault="00E95F1B" w:rsidP="00355DB5">
      <w:pPr>
        <w:jc w:val="both"/>
        <w:rPr>
          <w:rFonts w:ascii="Times New Roman" w:hAnsi="Times New Roman" w:cs="Times New Roman"/>
          <w:b/>
          <w:sz w:val="20"/>
          <w:szCs w:val="20"/>
        </w:rPr>
      </w:pPr>
    </w:p>
    <w:p w:rsidR="00E95F1B" w:rsidRDefault="00E95F1B" w:rsidP="00355DB5">
      <w:pPr>
        <w:jc w:val="both"/>
        <w:rPr>
          <w:rFonts w:ascii="Times New Roman" w:hAnsi="Times New Roman" w:cs="Times New Roman"/>
          <w:b/>
          <w:sz w:val="20"/>
          <w:szCs w:val="20"/>
        </w:rPr>
      </w:pPr>
    </w:p>
    <w:p w:rsidR="00E95F1B" w:rsidRDefault="00E95F1B" w:rsidP="00355DB5">
      <w:pPr>
        <w:jc w:val="both"/>
        <w:rPr>
          <w:rFonts w:ascii="Times New Roman" w:hAnsi="Times New Roman" w:cs="Times New Roman"/>
          <w:sz w:val="20"/>
          <w:szCs w:val="20"/>
        </w:rPr>
      </w:pPr>
    </w:p>
    <w:p w:rsidR="00895567" w:rsidRDefault="00895567" w:rsidP="00355DB5">
      <w:pPr>
        <w:jc w:val="both"/>
        <w:rPr>
          <w:rFonts w:ascii="Times New Roman" w:hAnsi="Times New Roman" w:cs="Times New Roman"/>
          <w:sz w:val="20"/>
          <w:szCs w:val="20"/>
        </w:rPr>
      </w:pPr>
    </w:p>
    <w:p w:rsidR="00895567" w:rsidRDefault="00895567" w:rsidP="00355DB5">
      <w:pPr>
        <w:jc w:val="both"/>
        <w:rPr>
          <w:rFonts w:ascii="Times New Roman" w:hAnsi="Times New Roman" w:cs="Times New Roman"/>
          <w:sz w:val="20"/>
          <w:szCs w:val="20"/>
        </w:rPr>
      </w:pPr>
    </w:p>
    <w:p w:rsidR="00895567" w:rsidRDefault="00895567" w:rsidP="00355DB5">
      <w:pPr>
        <w:jc w:val="both"/>
        <w:rPr>
          <w:rFonts w:ascii="Times New Roman" w:hAnsi="Times New Roman" w:cs="Times New Roman"/>
          <w:sz w:val="20"/>
          <w:szCs w:val="20"/>
        </w:rPr>
      </w:pPr>
    </w:p>
    <w:p w:rsidR="00DE12C0" w:rsidRDefault="00DE12C0" w:rsidP="00355DB5">
      <w:pPr>
        <w:jc w:val="both"/>
        <w:rPr>
          <w:rFonts w:ascii="Times New Roman" w:hAnsi="Times New Roman" w:cs="Times New Roman"/>
          <w:sz w:val="20"/>
          <w:szCs w:val="20"/>
        </w:rPr>
      </w:pPr>
    </w:p>
    <w:p w:rsidR="00DE12C0" w:rsidRDefault="00DE12C0" w:rsidP="00355DB5">
      <w:pPr>
        <w:jc w:val="both"/>
        <w:rPr>
          <w:rFonts w:ascii="Times New Roman" w:hAnsi="Times New Roman" w:cs="Times New Roman"/>
          <w:sz w:val="20"/>
          <w:szCs w:val="20"/>
        </w:rPr>
      </w:pPr>
    </w:p>
    <w:p w:rsidR="00EC0B81" w:rsidRDefault="00EC0B81" w:rsidP="00355DB5">
      <w:pPr>
        <w:jc w:val="both"/>
        <w:rPr>
          <w:rFonts w:ascii="Times New Roman" w:hAnsi="Times New Roman" w:cs="Times New Roman"/>
          <w:sz w:val="20"/>
          <w:szCs w:val="20"/>
        </w:rPr>
      </w:pPr>
    </w:p>
    <w:p w:rsidR="00BE41EF" w:rsidRPr="00895567" w:rsidRDefault="00BE41EF" w:rsidP="00895567">
      <w:pPr>
        <w:spacing w:after="0"/>
        <w:jc w:val="right"/>
        <w:rPr>
          <w:rFonts w:ascii="Times New Roman" w:hAnsi="Times New Roman" w:cs="Times New Roman"/>
          <w:sz w:val="20"/>
          <w:szCs w:val="20"/>
        </w:rPr>
      </w:pPr>
      <w:r w:rsidRPr="00895567">
        <w:rPr>
          <w:rFonts w:ascii="Times New Roman" w:hAnsi="Times New Roman" w:cs="Times New Roman"/>
          <w:sz w:val="20"/>
          <w:szCs w:val="20"/>
        </w:rPr>
        <w:lastRenderedPageBreak/>
        <w:t>Study of Violent Asphyxial Deaths</w:t>
      </w:r>
    </w:p>
    <w:p w:rsidR="00EC0B81" w:rsidRDefault="00EC0B81" w:rsidP="00895567">
      <w:pPr>
        <w:spacing w:after="0"/>
        <w:jc w:val="both"/>
        <w:rPr>
          <w:rFonts w:ascii="Times New Roman" w:hAnsi="Times New Roman" w:cs="Times New Roman"/>
          <w:sz w:val="20"/>
          <w:szCs w:val="20"/>
        </w:rPr>
      </w:pPr>
    </w:p>
    <w:p w:rsidR="006249E5" w:rsidRPr="008B6669" w:rsidRDefault="00DB7771" w:rsidP="006249E5">
      <w:pPr>
        <w:jc w:val="both"/>
        <w:rPr>
          <w:rFonts w:ascii="Times New Roman" w:hAnsi="Times New Roman" w:cs="Times New Roman"/>
          <w:b/>
          <w:sz w:val="20"/>
          <w:szCs w:val="18"/>
        </w:rPr>
      </w:pPr>
      <w:r w:rsidRPr="008B6669">
        <w:rPr>
          <w:rFonts w:ascii="Times New Roman" w:hAnsi="Times New Roman" w:cs="Times New Roman"/>
          <w:b/>
          <w:sz w:val="20"/>
          <w:szCs w:val="18"/>
        </w:rPr>
        <w:t>Table 7</w:t>
      </w:r>
      <w:r w:rsidR="00761B9D" w:rsidRPr="008B6669">
        <w:rPr>
          <w:rFonts w:ascii="Times New Roman" w:hAnsi="Times New Roman" w:cs="Times New Roman"/>
          <w:b/>
          <w:sz w:val="20"/>
          <w:szCs w:val="18"/>
        </w:rPr>
        <w:t xml:space="preserve">: Distribution of manner of death base on type of asphyxial death </w:t>
      </w:r>
    </w:p>
    <w:tbl>
      <w:tblPr>
        <w:tblW w:w="7028" w:type="dxa"/>
        <w:tblInd w:w="93" w:type="dxa"/>
        <w:tblLook w:val="04A0"/>
      </w:tblPr>
      <w:tblGrid>
        <w:gridCol w:w="582"/>
        <w:gridCol w:w="1186"/>
        <w:gridCol w:w="1224"/>
        <w:gridCol w:w="709"/>
        <w:gridCol w:w="776"/>
        <w:gridCol w:w="783"/>
        <w:gridCol w:w="694"/>
        <w:gridCol w:w="1074"/>
      </w:tblGrid>
      <w:tr w:rsidR="00CB7012" w:rsidRPr="00641ABF" w:rsidTr="00895567">
        <w:trPr>
          <w:trHeight w:val="600"/>
        </w:trPr>
        <w:tc>
          <w:tcPr>
            <w:tcW w:w="5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Sl.</w:t>
            </w:r>
            <w:r w:rsidR="00895567">
              <w:rPr>
                <w:rFonts w:ascii="Times New Roman" w:eastAsia="Times New Roman" w:hAnsi="Times New Roman" w:cs="Times New Roman"/>
                <w:b/>
                <w:bCs/>
                <w:color w:val="000000"/>
                <w:sz w:val="18"/>
                <w:szCs w:val="18"/>
              </w:rPr>
              <w:t xml:space="preserve"> </w:t>
            </w:r>
            <w:r w:rsidRPr="00B13789">
              <w:rPr>
                <w:rFonts w:ascii="Times New Roman" w:eastAsia="Times New Roman" w:hAnsi="Times New Roman" w:cs="Times New Roman"/>
                <w:b/>
                <w:bCs/>
                <w:color w:val="000000"/>
                <w:sz w:val="18"/>
                <w:szCs w:val="18"/>
              </w:rPr>
              <w:t>No</w:t>
            </w:r>
          </w:p>
        </w:tc>
        <w:tc>
          <w:tcPr>
            <w:tcW w:w="1186" w:type="dxa"/>
            <w:tcBorders>
              <w:top w:val="single" w:sz="12" w:space="0" w:color="auto"/>
              <w:left w:val="nil"/>
              <w:bottom w:val="single" w:sz="12" w:space="0" w:color="auto"/>
              <w:right w:val="single" w:sz="12" w:space="0" w:color="auto"/>
            </w:tcBorders>
            <w:shd w:val="clear" w:color="auto" w:fill="auto"/>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 xml:space="preserve">Type of </w:t>
            </w:r>
            <w:r w:rsidR="00761B9D" w:rsidRPr="00B13789">
              <w:rPr>
                <w:rFonts w:ascii="Times New Roman" w:eastAsia="Times New Roman" w:hAnsi="Times New Roman" w:cs="Times New Roman"/>
                <w:b/>
                <w:bCs/>
                <w:color w:val="000000"/>
                <w:sz w:val="18"/>
                <w:szCs w:val="18"/>
              </w:rPr>
              <w:t xml:space="preserve">Asphyxial </w:t>
            </w:r>
            <w:r w:rsidRPr="00B13789">
              <w:rPr>
                <w:rFonts w:ascii="Times New Roman" w:eastAsia="Times New Roman" w:hAnsi="Times New Roman" w:cs="Times New Roman"/>
                <w:b/>
                <w:bCs/>
                <w:color w:val="000000"/>
                <w:sz w:val="18"/>
                <w:szCs w:val="18"/>
              </w:rPr>
              <w:t>Death</w:t>
            </w:r>
          </w:p>
        </w:tc>
        <w:tc>
          <w:tcPr>
            <w:tcW w:w="1224" w:type="dxa"/>
            <w:tcBorders>
              <w:top w:val="single" w:sz="12" w:space="0" w:color="auto"/>
              <w:left w:val="nil"/>
              <w:bottom w:val="single" w:sz="12" w:space="0" w:color="auto"/>
              <w:right w:val="single" w:sz="12" w:space="0" w:color="auto"/>
            </w:tcBorders>
            <w:shd w:val="clear" w:color="auto" w:fill="auto"/>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Manner of Death</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Male</w:t>
            </w:r>
          </w:p>
        </w:tc>
        <w:tc>
          <w:tcPr>
            <w:tcW w:w="776" w:type="dxa"/>
            <w:tcBorders>
              <w:top w:val="single" w:sz="12" w:space="0" w:color="auto"/>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Female</w:t>
            </w:r>
          </w:p>
        </w:tc>
        <w:tc>
          <w:tcPr>
            <w:tcW w:w="783" w:type="dxa"/>
            <w:tcBorders>
              <w:top w:val="single" w:sz="12" w:space="0" w:color="auto"/>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Total</w:t>
            </w:r>
          </w:p>
        </w:tc>
        <w:tc>
          <w:tcPr>
            <w:tcW w:w="694" w:type="dxa"/>
            <w:tcBorders>
              <w:top w:val="single" w:sz="12" w:space="0" w:color="auto"/>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Total</w:t>
            </w:r>
          </w:p>
        </w:tc>
        <w:tc>
          <w:tcPr>
            <w:tcW w:w="1074" w:type="dxa"/>
            <w:tcBorders>
              <w:top w:val="single" w:sz="12" w:space="0" w:color="auto"/>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Percentage</w:t>
            </w:r>
          </w:p>
        </w:tc>
      </w:tr>
      <w:tr w:rsidR="00CB7012" w:rsidRPr="00B13789" w:rsidTr="00895567">
        <w:trPr>
          <w:trHeight w:val="312"/>
        </w:trPr>
        <w:tc>
          <w:tcPr>
            <w:tcW w:w="582"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1</w:t>
            </w:r>
          </w:p>
        </w:tc>
        <w:tc>
          <w:tcPr>
            <w:tcW w:w="1186"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Hanging</w:t>
            </w: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Suicidal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32</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27</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59</w:t>
            </w:r>
          </w:p>
        </w:tc>
        <w:tc>
          <w:tcPr>
            <w:tcW w:w="69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59</w:t>
            </w:r>
          </w:p>
        </w:tc>
        <w:tc>
          <w:tcPr>
            <w:tcW w:w="107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7255F0" w:rsidP="00D91BF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50.9</w:t>
            </w:r>
            <w:r w:rsidR="00CB7012" w:rsidRPr="00B13789">
              <w:rPr>
                <w:rFonts w:ascii="Times New Roman" w:eastAsia="Times New Roman" w:hAnsi="Times New Roman" w:cs="Times New Roman"/>
                <w:b/>
                <w:bCs/>
                <w:color w:val="000000"/>
                <w:sz w:val="18"/>
                <w:szCs w:val="18"/>
              </w:rPr>
              <w:t>%</w:t>
            </w: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Accidental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Homicidal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2</w:t>
            </w:r>
          </w:p>
        </w:tc>
        <w:tc>
          <w:tcPr>
            <w:tcW w:w="1186"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Drowning</w:t>
            </w: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Suicidal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43</w:t>
            </w:r>
          </w:p>
        </w:tc>
        <w:tc>
          <w:tcPr>
            <w:tcW w:w="107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7255F0" w:rsidP="00D91BF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37.1</w:t>
            </w:r>
            <w:r w:rsidR="00CB7012" w:rsidRPr="00B13789">
              <w:rPr>
                <w:rFonts w:ascii="Times New Roman" w:eastAsia="Times New Roman" w:hAnsi="Times New Roman" w:cs="Times New Roman"/>
                <w:b/>
                <w:bCs/>
                <w:color w:val="000000"/>
                <w:sz w:val="18"/>
                <w:szCs w:val="18"/>
              </w:rPr>
              <w:t>%</w:t>
            </w: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Accidental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32</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9</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4</w:t>
            </w:r>
            <w:r w:rsidR="00B72BAD">
              <w:rPr>
                <w:rFonts w:ascii="Times New Roman" w:eastAsia="Times New Roman" w:hAnsi="Times New Roman" w:cs="Times New Roman"/>
                <w:color w:val="000000"/>
                <w:sz w:val="18"/>
                <w:szCs w:val="18"/>
              </w:rPr>
              <w:t>2</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Homicidal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B72BAD" w:rsidP="00D91BF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64D85" w:rsidP="00D91BF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3</w:t>
            </w:r>
          </w:p>
        </w:tc>
        <w:tc>
          <w:tcPr>
            <w:tcW w:w="1186"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Strangulation</w:t>
            </w: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Suicidal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12</w:t>
            </w:r>
          </w:p>
        </w:tc>
        <w:tc>
          <w:tcPr>
            <w:tcW w:w="107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7255F0" w:rsidP="00D91BF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10.3</w:t>
            </w:r>
            <w:r w:rsidR="00CB7012" w:rsidRPr="00B13789">
              <w:rPr>
                <w:rFonts w:ascii="Times New Roman" w:eastAsia="Times New Roman" w:hAnsi="Times New Roman" w:cs="Times New Roman"/>
                <w:b/>
                <w:bCs/>
                <w:color w:val="000000"/>
                <w:sz w:val="18"/>
                <w:szCs w:val="18"/>
              </w:rPr>
              <w:t>%</w:t>
            </w: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Accidental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Homicidal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4</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8</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12</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4</w:t>
            </w:r>
          </w:p>
        </w:tc>
        <w:tc>
          <w:tcPr>
            <w:tcW w:w="1186"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Smothering</w:t>
            </w: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Suicidal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2</w:t>
            </w:r>
          </w:p>
        </w:tc>
        <w:tc>
          <w:tcPr>
            <w:tcW w:w="1074"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CB7012" w:rsidRPr="00B13789" w:rsidRDefault="007255F0" w:rsidP="00D91BF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1.7</w:t>
            </w:r>
            <w:r w:rsidR="00CB7012" w:rsidRPr="00B13789">
              <w:rPr>
                <w:rFonts w:ascii="Times New Roman" w:eastAsia="Times New Roman" w:hAnsi="Times New Roman" w:cs="Times New Roman"/>
                <w:b/>
                <w:bCs/>
                <w:color w:val="000000"/>
                <w:sz w:val="18"/>
                <w:szCs w:val="18"/>
              </w:rPr>
              <w:t>%</w:t>
            </w: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Accidental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312"/>
        </w:trPr>
        <w:tc>
          <w:tcPr>
            <w:tcW w:w="582"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186"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color w:val="000000"/>
                <w:sz w:val="18"/>
                <w:szCs w:val="18"/>
              </w:rPr>
            </w:pPr>
          </w:p>
        </w:tc>
        <w:tc>
          <w:tcPr>
            <w:tcW w:w="122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Homicidal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0</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2</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color w:val="000000"/>
                <w:sz w:val="18"/>
                <w:szCs w:val="18"/>
              </w:rPr>
            </w:pPr>
            <w:r w:rsidRPr="00B13789">
              <w:rPr>
                <w:rFonts w:ascii="Times New Roman" w:eastAsia="Times New Roman" w:hAnsi="Times New Roman" w:cs="Times New Roman"/>
                <w:color w:val="000000"/>
                <w:sz w:val="18"/>
                <w:szCs w:val="18"/>
              </w:rPr>
              <w:t>2</w:t>
            </w:r>
          </w:p>
        </w:tc>
        <w:tc>
          <w:tcPr>
            <w:tcW w:w="69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c>
          <w:tcPr>
            <w:tcW w:w="1074" w:type="dxa"/>
            <w:vMerge/>
            <w:tcBorders>
              <w:top w:val="nil"/>
              <w:left w:val="single" w:sz="12" w:space="0" w:color="auto"/>
              <w:bottom w:val="single" w:sz="12" w:space="0" w:color="auto"/>
              <w:right w:val="single" w:sz="12" w:space="0" w:color="auto"/>
            </w:tcBorders>
            <w:vAlign w:val="center"/>
            <w:hideMark/>
          </w:tcPr>
          <w:p w:rsidR="00CB7012" w:rsidRPr="00B13789" w:rsidRDefault="00CB7012" w:rsidP="00D91BFF">
            <w:pPr>
              <w:spacing w:after="0" w:line="240" w:lineRule="auto"/>
              <w:rPr>
                <w:rFonts w:ascii="Times New Roman" w:eastAsia="Times New Roman" w:hAnsi="Times New Roman" w:cs="Times New Roman"/>
                <w:b/>
                <w:bCs/>
                <w:color w:val="000000"/>
                <w:sz w:val="18"/>
                <w:szCs w:val="18"/>
              </w:rPr>
            </w:pPr>
          </w:p>
        </w:tc>
      </w:tr>
      <w:tr w:rsidR="00CB7012" w:rsidRPr="00B13789" w:rsidTr="00895567">
        <w:trPr>
          <w:trHeight w:val="432"/>
        </w:trPr>
        <w:tc>
          <w:tcPr>
            <w:tcW w:w="2992"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TOTAL</w:t>
            </w:r>
          </w:p>
        </w:tc>
        <w:tc>
          <w:tcPr>
            <w:tcW w:w="709"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68</w:t>
            </w:r>
          </w:p>
        </w:tc>
        <w:tc>
          <w:tcPr>
            <w:tcW w:w="776"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48</w:t>
            </w:r>
          </w:p>
        </w:tc>
        <w:tc>
          <w:tcPr>
            <w:tcW w:w="783"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116</w:t>
            </w:r>
          </w:p>
        </w:tc>
        <w:tc>
          <w:tcPr>
            <w:tcW w:w="69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116</w:t>
            </w:r>
          </w:p>
        </w:tc>
        <w:tc>
          <w:tcPr>
            <w:tcW w:w="1074" w:type="dxa"/>
            <w:tcBorders>
              <w:top w:val="nil"/>
              <w:left w:val="nil"/>
              <w:bottom w:val="single" w:sz="12" w:space="0" w:color="auto"/>
              <w:right w:val="single" w:sz="12" w:space="0" w:color="auto"/>
            </w:tcBorders>
            <w:shd w:val="clear" w:color="auto" w:fill="auto"/>
            <w:noWrap/>
            <w:vAlign w:val="center"/>
            <w:hideMark/>
          </w:tcPr>
          <w:p w:rsidR="00CB7012" w:rsidRPr="00B13789" w:rsidRDefault="00CB7012" w:rsidP="00D91BFF">
            <w:pPr>
              <w:spacing w:after="0" w:line="240" w:lineRule="auto"/>
              <w:jc w:val="center"/>
              <w:rPr>
                <w:rFonts w:ascii="Times New Roman" w:eastAsia="Times New Roman" w:hAnsi="Times New Roman" w:cs="Times New Roman"/>
                <w:b/>
                <w:bCs/>
                <w:color w:val="000000"/>
                <w:sz w:val="18"/>
                <w:szCs w:val="18"/>
              </w:rPr>
            </w:pPr>
            <w:r w:rsidRPr="00B13789">
              <w:rPr>
                <w:rFonts w:ascii="Times New Roman" w:eastAsia="Times New Roman" w:hAnsi="Times New Roman" w:cs="Times New Roman"/>
                <w:b/>
                <w:bCs/>
                <w:color w:val="000000"/>
                <w:sz w:val="18"/>
                <w:szCs w:val="18"/>
              </w:rPr>
              <w:t>100.00%</w:t>
            </w:r>
          </w:p>
        </w:tc>
      </w:tr>
    </w:tbl>
    <w:p w:rsidR="00B13789" w:rsidRDefault="00B13789" w:rsidP="00895567">
      <w:pPr>
        <w:spacing w:after="0"/>
        <w:jc w:val="both"/>
        <w:rPr>
          <w:rFonts w:ascii="Times New Roman" w:hAnsi="Times New Roman" w:cs="Times New Roman"/>
          <w:b/>
          <w:sz w:val="18"/>
          <w:szCs w:val="18"/>
        </w:rPr>
      </w:pPr>
    </w:p>
    <w:p w:rsidR="008968DD" w:rsidRDefault="008968DD" w:rsidP="00895567">
      <w:pPr>
        <w:spacing w:after="0"/>
        <w:jc w:val="both"/>
        <w:rPr>
          <w:rFonts w:ascii="Times New Roman" w:hAnsi="Times New Roman" w:cs="Times New Roman"/>
          <w:b/>
          <w:sz w:val="18"/>
          <w:szCs w:val="18"/>
        </w:rPr>
      </w:pPr>
    </w:p>
    <w:p w:rsidR="00355DB5" w:rsidRPr="008B6669" w:rsidRDefault="008B6669" w:rsidP="00895567">
      <w:pPr>
        <w:spacing w:after="0"/>
        <w:jc w:val="both"/>
        <w:rPr>
          <w:rFonts w:ascii="Times New Roman" w:hAnsi="Times New Roman" w:cs="Times New Roman"/>
          <w:b/>
          <w:sz w:val="20"/>
          <w:szCs w:val="18"/>
        </w:rPr>
      </w:pPr>
      <w:r w:rsidRPr="008B6669">
        <w:rPr>
          <w:rFonts w:ascii="Times New Roman" w:hAnsi="Times New Roman" w:cs="Times New Roman"/>
          <w:b/>
          <w:sz w:val="20"/>
          <w:szCs w:val="18"/>
        </w:rPr>
        <w:t>Table 8</w:t>
      </w:r>
      <w:r w:rsidR="00B13789" w:rsidRPr="008B6669">
        <w:rPr>
          <w:rFonts w:ascii="Times New Roman" w:hAnsi="Times New Roman" w:cs="Times New Roman"/>
          <w:b/>
          <w:sz w:val="20"/>
          <w:szCs w:val="18"/>
        </w:rPr>
        <w:t>: Distribution of cases base on time of incident</w:t>
      </w:r>
    </w:p>
    <w:tbl>
      <w:tblPr>
        <w:tblpPr w:leftFromText="180" w:rightFromText="180" w:vertAnchor="text" w:tblpY="1"/>
        <w:tblOverlap w:val="never"/>
        <w:tblW w:w="4551" w:type="dxa"/>
        <w:tblInd w:w="93" w:type="dxa"/>
        <w:tblLook w:val="04A0"/>
      </w:tblPr>
      <w:tblGrid>
        <w:gridCol w:w="582"/>
        <w:gridCol w:w="1418"/>
        <w:gridCol w:w="1134"/>
        <w:gridCol w:w="1417"/>
      </w:tblGrid>
      <w:tr w:rsidR="00EC0B81" w:rsidRPr="00AC1731" w:rsidTr="00895567">
        <w:trPr>
          <w:trHeight w:val="648"/>
        </w:trPr>
        <w:tc>
          <w:tcPr>
            <w:tcW w:w="582" w:type="dxa"/>
            <w:tcBorders>
              <w:top w:val="single" w:sz="12" w:space="0" w:color="000000"/>
              <w:left w:val="single" w:sz="12" w:space="0" w:color="000000"/>
              <w:bottom w:val="single" w:sz="12" w:space="0" w:color="000000"/>
              <w:right w:val="single" w:sz="12" w:space="0" w:color="000000"/>
            </w:tcBorders>
            <w:shd w:val="clear" w:color="auto" w:fill="auto"/>
            <w:noWrap/>
            <w:vAlign w:val="center"/>
            <w:hideMark/>
          </w:tcPr>
          <w:p w:rsidR="00EC0B81" w:rsidRPr="00943CF9" w:rsidRDefault="00EC0B81" w:rsidP="00747C7A">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Sl. No.</w:t>
            </w:r>
          </w:p>
        </w:tc>
        <w:tc>
          <w:tcPr>
            <w:tcW w:w="1418" w:type="dxa"/>
            <w:tcBorders>
              <w:top w:val="single" w:sz="12" w:space="0" w:color="000000"/>
              <w:left w:val="nil"/>
              <w:bottom w:val="single" w:sz="12" w:space="0" w:color="000000"/>
              <w:right w:val="single" w:sz="12" w:space="0" w:color="000000"/>
            </w:tcBorders>
            <w:shd w:val="clear" w:color="auto" w:fill="auto"/>
            <w:vAlign w:val="center"/>
            <w:hideMark/>
          </w:tcPr>
          <w:p w:rsidR="00EC0B81" w:rsidRPr="00943CF9" w:rsidRDefault="00EC0B81" w:rsidP="00747C7A">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Time of Incidence</w:t>
            </w:r>
          </w:p>
        </w:tc>
        <w:tc>
          <w:tcPr>
            <w:tcW w:w="1134" w:type="dxa"/>
            <w:tcBorders>
              <w:top w:val="single" w:sz="12" w:space="0" w:color="000000"/>
              <w:left w:val="nil"/>
              <w:bottom w:val="single" w:sz="12" w:space="0" w:color="000000"/>
              <w:right w:val="single" w:sz="12" w:space="0" w:color="000000"/>
            </w:tcBorders>
            <w:shd w:val="clear" w:color="auto" w:fill="auto"/>
            <w:noWrap/>
            <w:vAlign w:val="center"/>
            <w:hideMark/>
          </w:tcPr>
          <w:p w:rsidR="00EC0B81" w:rsidRPr="00943CF9" w:rsidRDefault="00EC0B81" w:rsidP="00747C7A">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Frequency</w:t>
            </w:r>
          </w:p>
        </w:tc>
        <w:tc>
          <w:tcPr>
            <w:tcW w:w="1417" w:type="dxa"/>
            <w:tcBorders>
              <w:top w:val="single" w:sz="12" w:space="0" w:color="000000"/>
              <w:left w:val="nil"/>
              <w:bottom w:val="single" w:sz="12" w:space="0" w:color="000000"/>
              <w:right w:val="single" w:sz="12" w:space="0" w:color="000000"/>
            </w:tcBorders>
            <w:shd w:val="clear" w:color="auto" w:fill="auto"/>
            <w:noWrap/>
            <w:vAlign w:val="center"/>
            <w:hideMark/>
          </w:tcPr>
          <w:p w:rsidR="00EC0B81" w:rsidRPr="00943CF9" w:rsidRDefault="00EC0B81" w:rsidP="00747C7A">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Percentage</w:t>
            </w:r>
          </w:p>
        </w:tc>
      </w:tr>
      <w:tr w:rsidR="00EC0B81" w:rsidRPr="00AC1731" w:rsidTr="00895567">
        <w:trPr>
          <w:trHeight w:val="312"/>
        </w:trPr>
        <w:tc>
          <w:tcPr>
            <w:tcW w:w="582" w:type="dxa"/>
            <w:tcBorders>
              <w:top w:val="nil"/>
              <w:left w:val="single" w:sz="12" w:space="0" w:color="000000"/>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1</w:t>
            </w:r>
          </w:p>
        </w:tc>
        <w:tc>
          <w:tcPr>
            <w:tcW w:w="1418"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00- 6am</w:t>
            </w:r>
          </w:p>
        </w:tc>
        <w:tc>
          <w:tcPr>
            <w:tcW w:w="1134"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19</w:t>
            </w:r>
          </w:p>
        </w:tc>
        <w:tc>
          <w:tcPr>
            <w:tcW w:w="1417" w:type="dxa"/>
            <w:tcBorders>
              <w:top w:val="nil"/>
              <w:left w:val="nil"/>
              <w:bottom w:val="single" w:sz="12" w:space="0" w:color="000000"/>
              <w:right w:val="single" w:sz="12" w:space="0" w:color="000000"/>
            </w:tcBorders>
            <w:shd w:val="clear" w:color="auto" w:fill="auto"/>
            <w:noWrap/>
            <w:vAlign w:val="bottom"/>
            <w:hideMark/>
          </w:tcPr>
          <w:p w:rsidR="00EC0B81" w:rsidRPr="00943CF9" w:rsidRDefault="00DE340C" w:rsidP="00747C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r w:rsidR="00EC0B81" w:rsidRPr="00943CF9">
              <w:rPr>
                <w:rFonts w:ascii="Times New Roman" w:eastAsia="Times New Roman" w:hAnsi="Times New Roman" w:cs="Times New Roman"/>
                <w:color w:val="000000"/>
                <w:sz w:val="20"/>
                <w:szCs w:val="20"/>
              </w:rPr>
              <w:t>%</w:t>
            </w:r>
          </w:p>
        </w:tc>
      </w:tr>
      <w:tr w:rsidR="00EC0B81" w:rsidRPr="00AC1731" w:rsidTr="00895567">
        <w:trPr>
          <w:trHeight w:val="312"/>
        </w:trPr>
        <w:tc>
          <w:tcPr>
            <w:tcW w:w="582" w:type="dxa"/>
            <w:tcBorders>
              <w:top w:val="nil"/>
              <w:left w:val="single" w:sz="12" w:space="0" w:color="000000"/>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2</w:t>
            </w:r>
          </w:p>
        </w:tc>
        <w:tc>
          <w:tcPr>
            <w:tcW w:w="1418"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6am - 12noon</w:t>
            </w:r>
          </w:p>
        </w:tc>
        <w:tc>
          <w:tcPr>
            <w:tcW w:w="1134"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50</w:t>
            </w:r>
          </w:p>
        </w:tc>
        <w:tc>
          <w:tcPr>
            <w:tcW w:w="1417" w:type="dxa"/>
            <w:tcBorders>
              <w:top w:val="nil"/>
              <w:left w:val="nil"/>
              <w:bottom w:val="single" w:sz="12" w:space="0" w:color="000000"/>
              <w:right w:val="single" w:sz="12" w:space="0" w:color="000000"/>
            </w:tcBorders>
            <w:shd w:val="clear" w:color="auto" w:fill="auto"/>
            <w:noWrap/>
            <w:vAlign w:val="bottom"/>
            <w:hideMark/>
          </w:tcPr>
          <w:p w:rsidR="00EC0B81" w:rsidRPr="00943CF9" w:rsidRDefault="00DE340C" w:rsidP="00747C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r w:rsidR="00EC0B81" w:rsidRPr="00943CF9">
              <w:rPr>
                <w:rFonts w:ascii="Times New Roman" w:eastAsia="Times New Roman" w:hAnsi="Times New Roman" w:cs="Times New Roman"/>
                <w:color w:val="000000"/>
                <w:sz w:val="20"/>
                <w:szCs w:val="20"/>
              </w:rPr>
              <w:t>%</w:t>
            </w:r>
          </w:p>
        </w:tc>
      </w:tr>
      <w:tr w:rsidR="00EC0B81" w:rsidRPr="00AC1731" w:rsidTr="00895567">
        <w:trPr>
          <w:trHeight w:val="312"/>
        </w:trPr>
        <w:tc>
          <w:tcPr>
            <w:tcW w:w="582" w:type="dxa"/>
            <w:tcBorders>
              <w:top w:val="nil"/>
              <w:left w:val="single" w:sz="12" w:space="0" w:color="000000"/>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3</w:t>
            </w:r>
          </w:p>
        </w:tc>
        <w:tc>
          <w:tcPr>
            <w:tcW w:w="1418"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12noon-6pm</w:t>
            </w:r>
          </w:p>
        </w:tc>
        <w:tc>
          <w:tcPr>
            <w:tcW w:w="1134"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36</w:t>
            </w:r>
          </w:p>
        </w:tc>
        <w:tc>
          <w:tcPr>
            <w:tcW w:w="1417" w:type="dxa"/>
            <w:tcBorders>
              <w:top w:val="nil"/>
              <w:left w:val="nil"/>
              <w:bottom w:val="single" w:sz="12" w:space="0" w:color="000000"/>
              <w:right w:val="single" w:sz="12" w:space="0" w:color="000000"/>
            </w:tcBorders>
            <w:shd w:val="clear" w:color="auto" w:fill="auto"/>
            <w:noWrap/>
            <w:vAlign w:val="bottom"/>
            <w:hideMark/>
          </w:tcPr>
          <w:p w:rsidR="00EC0B81" w:rsidRPr="00943CF9" w:rsidRDefault="00DE340C" w:rsidP="00747C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w:t>
            </w:r>
            <w:r w:rsidR="00EC0B81" w:rsidRPr="00943CF9">
              <w:rPr>
                <w:rFonts w:ascii="Times New Roman" w:eastAsia="Times New Roman" w:hAnsi="Times New Roman" w:cs="Times New Roman"/>
                <w:color w:val="000000"/>
                <w:sz w:val="20"/>
                <w:szCs w:val="20"/>
              </w:rPr>
              <w:t>%</w:t>
            </w:r>
          </w:p>
        </w:tc>
      </w:tr>
      <w:tr w:rsidR="00EC0B81" w:rsidRPr="00AC1731" w:rsidTr="00895567">
        <w:trPr>
          <w:trHeight w:val="312"/>
        </w:trPr>
        <w:tc>
          <w:tcPr>
            <w:tcW w:w="582" w:type="dxa"/>
            <w:tcBorders>
              <w:top w:val="nil"/>
              <w:left w:val="single" w:sz="12" w:space="0" w:color="000000"/>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4</w:t>
            </w:r>
          </w:p>
        </w:tc>
        <w:tc>
          <w:tcPr>
            <w:tcW w:w="1418"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6pm-00</w:t>
            </w:r>
          </w:p>
        </w:tc>
        <w:tc>
          <w:tcPr>
            <w:tcW w:w="1134" w:type="dxa"/>
            <w:tcBorders>
              <w:top w:val="nil"/>
              <w:left w:val="nil"/>
              <w:bottom w:val="single" w:sz="12" w:space="0" w:color="000000"/>
              <w:right w:val="single" w:sz="12" w:space="0" w:color="000000"/>
            </w:tcBorders>
            <w:shd w:val="clear" w:color="auto" w:fill="auto"/>
            <w:noWrap/>
            <w:vAlign w:val="bottom"/>
            <w:hideMark/>
          </w:tcPr>
          <w:p w:rsidR="00EC0B81" w:rsidRPr="00943CF9" w:rsidRDefault="00EC0B81" w:rsidP="00747C7A">
            <w:pPr>
              <w:spacing w:after="0" w:line="240" w:lineRule="auto"/>
              <w:jc w:val="center"/>
              <w:rPr>
                <w:rFonts w:ascii="Times New Roman" w:eastAsia="Times New Roman" w:hAnsi="Times New Roman" w:cs="Times New Roman"/>
                <w:color w:val="000000"/>
                <w:sz w:val="20"/>
                <w:szCs w:val="20"/>
              </w:rPr>
            </w:pPr>
            <w:r w:rsidRPr="00943CF9">
              <w:rPr>
                <w:rFonts w:ascii="Times New Roman" w:eastAsia="Times New Roman" w:hAnsi="Times New Roman" w:cs="Times New Roman"/>
                <w:color w:val="000000"/>
                <w:sz w:val="20"/>
                <w:szCs w:val="20"/>
              </w:rPr>
              <w:t>11</w:t>
            </w:r>
          </w:p>
        </w:tc>
        <w:tc>
          <w:tcPr>
            <w:tcW w:w="1417" w:type="dxa"/>
            <w:tcBorders>
              <w:top w:val="nil"/>
              <w:left w:val="nil"/>
              <w:bottom w:val="single" w:sz="12" w:space="0" w:color="000000"/>
              <w:right w:val="single" w:sz="12" w:space="0" w:color="000000"/>
            </w:tcBorders>
            <w:shd w:val="clear" w:color="auto" w:fill="auto"/>
            <w:noWrap/>
            <w:vAlign w:val="bottom"/>
            <w:hideMark/>
          </w:tcPr>
          <w:p w:rsidR="00EC0B81" w:rsidRPr="00943CF9" w:rsidRDefault="00DE340C" w:rsidP="00747C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r w:rsidR="00EC0B81" w:rsidRPr="00943CF9">
              <w:rPr>
                <w:rFonts w:ascii="Times New Roman" w:eastAsia="Times New Roman" w:hAnsi="Times New Roman" w:cs="Times New Roman"/>
                <w:color w:val="000000"/>
                <w:sz w:val="20"/>
                <w:szCs w:val="20"/>
              </w:rPr>
              <w:t>%</w:t>
            </w:r>
          </w:p>
        </w:tc>
      </w:tr>
      <w:tr w:rsidR="00895567" w:rsidRPr="00AC1731" w:rsidTr="001836B4">
        <w:trPr>
          <w:trHeight w:val="312"/>
        </w:trPr>
        <w:tc>
          <w:tcPr>
            <w:tcW w:w="582" w:type="dxa"/>
            <w:tcBorders>
              <w:top w:val="nil"/>
              <w:left w:val="single" w:sz="12" w:space="0" w:color="000000"/>
              <w:bottom w:val="single" w:sz="12" w:space="0" w:color="000000"/>
              <w:right w:val="single" w:sz="12" w:space="0" w:color="000000"/>
            </w:tcBorders>
            <w:shd w:val="clear" w:color="auto" w:fill="auto"/>
            <w:noWrap/>
            <w:vAlign w:val="bottom"/>
            <w:hideMark/>
          </w:tcPr>
          <w:p w:rsidR="00895567" w:rsidRPr="00943CF9" w:rsidRDefault="00895567" w:rsidP="00895567">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12" w:space="0" w:color="000000"/>
              <w:right w:val="single" w:sz="12" w:space="0" w:color="000000"/>
            </w:tcBorders>
            <w:shd w:val="clear" w:color="auto" w:fill="auto"/>
            <w:noWrap/>
            <w:vAlign w:val="center"/>
            <w:hideMark/>
          </w:tcPr>
          <w:p w:rsidR="00895567" w:rsidRPr="00943CF9" w:rsidRDefault="00895567" w:rsidP="00895567">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TOTAL</w:t>
            </w:r>
          </w:p>
        </w:tc>
        <w:tc>
          <w:tcPr>
            <w:tcW w:w="1134" w:type="dxa"/>
            <w:tcBorders>
              <w:top w:val="nil"/>
              <w:left w:val="nil"/>
              <w:bottom w:val="single" w:sz="12" w:space="0" w:color="000000"/>
              <w:right w:val="single" w:sz="12" w:space="0" w:color="000000"/>
            </w:tcBorders>
            <w:shd w:val="clear" w:color="auto" w:fill="auto"/>
            <w:noWrap/>
            <w:vAlign w:val="center"/>
            <w:hideMark/>
          </w:tcPr>
          <w:p w:rsidR="00895567" w:rsidRPr="00943CF9" w:rsidRDefault="00895567" w:rsidP="00895567">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116</w:t>
            </w:r>
          </w:p>
        </w:tc>
        <w:tc>
          <w:tcPr>
            <w:tcW w:w="1417" w:type="dxa"/>
            <w:tcBorders>
              <w:top w:val="nil"/>
              <w:left w:val="nil"/>
              <w:bottom w:val="single" w:sz="12" w:space="0" w:color="000000"/>
              <w:right w:val="single" w:sz="12" w:space="0" w:color="000000"/>
            </w:tcBorders>
            <w:shd w:val="clear" w:color="auto" w:fill="auto"/>
            <w:noWrap/>
            <w:vAlign w:val="center"/>
            <w:hideMark/>
          </w:tcPr>
          <w:p w:rsidR="00895567" w:rsidRPr="00943CF9" w:rsidRDefault="00895567" w:rsidP="00895567">
            <w:pPr>
              <w:spacing w:after="0" w:line="240" w:lineRule="auto"/>
              <w:jc w:val="center"/>
              <w:rPr>
                <w:rFonts w:ascii="Times New Roman" w:eastAsia="Times New Roman" w:hAnsi="Times New Roman" w:cs="Times New Roman"/>
                <w:b/>
                <w:bCs/>
                <w:color w:val="000000"/>
                <w:sz w:val="20"/>
                <w:szCs w:val="20"/>
              </w:rPr>
            </w:pPr>
            <w:r w:rsidRPr="00943CF9">
              <w:rPr>
                <w:rFonts w:ascii="Times New Roman" w:eastAsia="Times New Roman" w:hAnsi="Times New Roman" w:cs="Times New Roman"/>
                <w:b/>
                <w:bCs/>
                <w:color w:val="000000"/>
                <w:sz w:val="20"/>
                <w:szCs w:val="20"/>
              </w:rPr>
              <w:t>100.00%</w:t>
            </w:r>
          </w:p>
        </w:tc>
      </w:tr>
    </w:tbl>
    <w:p w:rsidR="00B13789" w:rsidRDefault="00B13789" w:rsidP="002944F8">
      <w:pPr>
        <w:jc w:val="both"/>
        <w:rPr>
          <w:rFonts w:ascii="Times New Roman" w:hAnsi="Times New Roman" w:cs="Times New Roman"/>
          <w:b/>
          <w:sz w:val="20"/>
          <w:szCs w:val="20"/>
        </w:rPr>
      </w:pPr>
    </w:p>
    <w:p w:rsidR="00EC0B81" w:rsidRDefault="004017EF" w:rsidP="00895567">
      <w:pPr>
        <w:spacing w:after="0"/>
        <w:jc w:val="both"/>
        <w:rPr>
          <w:rFonts w:ascii="Times New Roman" w:hAnsi="Times New Roman" w:cs="Times New Roman"/>
          <w:b/>
          <w:sz w:val="20"/>
          <w:szCs w:val="20"/>
        </w:rPr>
      </w:pPr>
      <w:r>
        <w:rPr>
          <w:rFonts w:ascii="Times New Roman" w:hAnsi="Times New Roman" w:cs="Times New Roman"/>
          <w:sz w:val="20"/>
          <w:szCs w:val="20"/>
        </w:rPr>
        <w:br w:type="textWrapping" w:clear="all"/>
      </w:r>
    </w:p>
    <w:p w:rsidR="00933006" w:rsidRDefault="00933006" w:rsidP="00895567">
      <w:pPr>
        <w:spacing w:after="0"/>
        <w:jc w:val="both"/>
        <w:rPr>
          <w:rFonts w:ascii="Times New Roman" w:hAnsi="Times New Roman" w:cs="Times New Roman"/>
          <w:b/>
          <w:sz w:val="20"/>
          <w:szCs w:val="20"/>
        </w:rPr>
      </w:pPr>
    </w:p>
    <w:p w:rsidR="00BE41EF" w:rsidRDefault="00B13789" w:rsidP="00895567">
      <w:pPr>
        <w:spacing w:after="0"/>
        <w:jc w:val="both"/>
        <w:rPr>
          <w:rFonts w:ascii="Times New Roman" w:hAnsi="Times New Roman" w:cs="Times New Roman"/>
          <w:b/>
          <w:sz w:val="20"/>
          <w:szCs w:val="18"/>
        </w:rPr>
      </w:pPr>
      <w:r w:rsidRPr="008B6669">
        <w:rPr>
          <w:rFonts w:ascii="Times New Roman" w:hAnsi="Times New Roman" w:cs="Times New Roman"/>
          <w:b/>
          <w:szCs w:val="20"/>
        </w:rPr>
        <w:t xml:space="preserve"> </w:t>
      </w:r>
      <w:r w:rsidRPr="008B6669">
        <w:rPr>
          <w:rFonts w:ascii="Times New Roman" w:hAnsi="Times New Roman" w:cs="Times New Roman"/>
          <w:b/>
          <w:sz w:val="20"/>
          <w:szCs w:val="18"/>
        </w:rPr>
        <w:t xml:space="preserve">Fig </w:t>
      </w:r>
      <w:r w:rsidR="008B6669" w:rsidRPr="008B6669">
        <w:rPr>
          <w:rFonts w:ascii="Times New Roman" w:hAnsi="Times New Roman" w:cs="Times New Roman"/>
          <w:b/>
          <w:sz w:val="20"/>
          <w:szCs w:val="18"/>
        </w:rPr>
        <w:t>3</w:t>
      </w:r>
      <w:r w:rsidRPr="008B6669">
        <w:rPr>
          <w:rFonts w:ascii="Times New Roman" w:hAnsi="Times New Roman" w:cs="Times New Roman"/>
          <w:b/>
          <w:sz w:val="20"/>
          <w:szCs w:val="18"/>
        </w:rPr>
        <w:t>:</w:t>
      </w:r>
      <w:r w:rsidR="005154DC" w:rsidRPr="008B6669">
        <w:rPr>
          <w:rFonts w:ascii="Times New Roman" w:hAnsi="Times New Roman" w:cs="Times New Roman"/>
          <w:b/>
          <w:sz w:val="20"/>
          <w:szCs w:val="18"/>
        </w:rPr>
        <w:t xml:space="preserve"> </w:t>
      </w:r>
      <w:r w:rsidRPr="008B6669">
        <w:rPr>
          <w:rFonts w:ascii="Times New Roman" w:hAnsi="Times New Roman" w:cs="Times New Roman"/>
          <w:b/>
          <w:sz w:val="20"/>
          <w:szCs w:val="18"/>
        </w:rPr>
        <w:t>Frequency of place of occurrence</w:t>
      </w:r>
      <w:r w:rsidR="008760A5" w:rsidRPr="008B6669">
        <w:rPr>
          <w:rFonts w:ascii="Times New Roman" w:hAnsi="Times New Roman" w:cs="Times New Roman"/>
          <w:b/>
          <w:sz w:val="20"/>
          <w:szCs w:val="18"/>
        </w:rPr>
        <w:t xml:space="preserve"> </w:t>
      </w:r>
    </w:p>
    <w:p w:rsidR="004017EF" w:rsidRDefault="008760A5" w:rsidP="00B13789">
      <w:pPr>
        <w:jc w:val="both"/>
        <w:rPr>
          <w:rFonts w:ascii="Times New Roman" w:hAnsi="Times New Roman" w:cs="Times New Roman"/>
          <w:b/>
          <w:sz w:val="28"/>
          <w:szCs w:val="28"/>
        </w:rPr>
      </w:pPr>
      <w:r w:rsidRPr="008760A5">
        <w:rPr>
          <w:rFonts w:ascii="Times New Roman" w:hAnsi="Times New Roman" w:cs="Times New Roman"/>
          <w:b/>
          <w:noProof/>
          <w:sz w:val="28"/>
          <w:szCs w:val="28"/>
          <w:lang w:val="en-US"/>
        </w:rPr>
        <w:drawing>
          <wp:inline distT="0" distB="0" distL="0" distR="0">
            <wp:extent cx="2899410" cy="2171700"/>
            <wp:effectExtent l="19050" t="0" r="15240"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b/>
          <w:sz w:val="28"/>
          <w:szCs w:val="28"/>
        </w:rPr>
        <w:br w:type="textWrapping" w:clear="all"/>
      </w:r>
      <w:r>
        <w:rPr>
          <w:rFonts w:ascii="Times New Roman" w:hAnsi="Times New Roman" w:cs="Times New Roman"/>
          <w:b/>
          <w:sz w:val="24"/>
          <w:szCs w:val="28"/>
        </w:rPr>
        <w:t xml:space="preserve"> </w:t>
      </w:r>
    </w:p>
    <w:p w:rsidR="00A35836" w:rsidRPr="00A35836" w:rsidRDefault="00A35836" w:rsidP="00A35836">
      <w:pPr>
        <w:spacing w:after="0"/>
        <w:jc w:val="right"/>
        <w:rPr>
          <w:rFonts w:ascii="Times New Roman" w:hAnsi="Times New Roman" w:cs="Times New Roman"/>
          <w:sz w:val="20"/>
          <w:szCs w:val="18"/>
        </w:rPr>
      </w:pPr>
      <w:r w:rsidRPr="00A35836">
        <w:rPr>
          <w:rFonts w:ascii="Times New Roman" w:hAnsi="Times New Roman" w:cs="Times New Roman"/>
          <w:sz w:val="20"/>
          <w:szCs w:val="18"/>
        </w:rPr>
        <w:lastRenderedPageBreak/>
        <w:t xml:space="preserve">                 </w:t>
      </w:r>
      <w:r w:rsidRPr="00A35836">
        <w:rPr>
          <w:rFonts w:ascii="Times New Roman" w:hAnsi="Times New Roman" w:cs="Times New Roman"/>
          <w:sz w:val="20"/>
          <w:szCs w:val="20"/>
        </w:rPr>
        <w:t>Study of Violent Asphyxial Death</w:t>
      </w:r>
      <w:r w:rsidRPr="00A35836">
        <w:rPr>
          <w:rFonts w:ascii="Times New Roman" w:hAnsi="Times New Roman" w:cs="Times New Roman"/>
          <w:sz w:val="20"/>
          <w:szCs w:val="18"/>
        </w:rPr>
        <w:t xml:space="preserve"> </w:t>
      </w:r>
    </w:p>
    <w:p w:rsidR="004017EF" w:rsidRPr="00342B04" w:rsidRDefault="004017EF" w:rsidP="00A35836">
      <w:pPr>
        <w:spacing w:after="0"/>
        <w:jc w:val="both"/>
        <w:rPr>
          <w:rFonts w:ascii="Times New Roman" w:hAnsi="Times New Roman" w:cs="Times New Roman"/>
          <w:b/>
          <w:sz w:val="20"/>
          <w:szCs w:val="20"/>
        </w:rPr>
      </w:pPr>
    </w:p>
    <w:p w:rsidR="006056DB" w:rsidRPr="00943CF9" w:rsidRDefault="001F5221" w:rsidP="00DE12C0">
      <w:pPr>
        <w:spacing w:after="0"/>
        <w:jc w:val="both"/>
        <w:rPr>
          <w:rFonts w:ascii="Times New Roman" w:hAnsi="Times New Roman" w:cs="Times New Roman"/>
          <w:b/>
          <w:sz w:val="28"/>
          <w:szCs w:val="28"/>
        </w:rPr>
      </w:pPr>
      <w:r>
        <w:rPr>
          <w:rFonts w:ascii="Times New Roman" w:hAnsi="Times New Roman" w:cs="Times New Roman"/>
          <w:b/>
          <w:sz w:val="28"/>
          <w:szCs w:val="28"/>
        </w:rPr>
        <w:t>Discussion</w:t>
      </w:r>
      <w:r w:rsidR="006056DB" w:rsidRPr="00943CF9">
        <w:rPr>
          <w:rFonts w:ascii="Times New Roman" w:hAnsi="Times New Roman" w:cs="Times New Roman"/>
          <w:b/>
          <w:sz w:val="28"/>
          <w:szCs w:val="28"/>
        </w:rPr>
        <w:t>:</w:t>
      </w:r>
    </w:p>
    <w:p w:rsidR="00B35D2B" w:rsidRDefault="00D27238" w:rsidP="00DE12C0">
      <w:pPr>
        <w:spacing w:after="0"/>
        <w:jc w:val="both"/>
        <w:rPr>
          <w:rFonts w:ascii="Times New Roman" w:hAnsi="Times New Roman" w:cs="Times New Roman"/>
          <w:sz w:val="20"/>
          <w:szCs w:val="20"/>
        </w:rPr>
      </w:pPr>
      <w:r>
        <w:rPr>
          <w:rFonts w:ascii="Times New Roman" w:hAnsi="Times New Roman" w:cs="Times New Roman"/>
          <w:sz w:val="20"/>
          <w:szCs w:val="20"/>
        </w:rPr>
        <w:t>In the present study, it was</w:t>
      </w:r>
      <w:r w:rsidR="006056DB" w:rsidRPr="002944F8">
        <w:rPr>
          <w:rFonts w:ascii="Times New Roman" w:hAnsi="Times New Roman" w:cs="Times New Roman"/>
          <w:sz w:val="20"/>
          <w:szCs w:val="20"/>
        </w:rPr>
        <w:t xml:space="preserve"> found that the incidence of violent asphyxia</w:t>
      </w:r>
      <w:r w:rsidR="00A80497">
        <w:rPr>
          <w:rFonts w:ascii="Times New Roman" w:hAnsi="Times New Roman" w:cs="Times New Roman"/>
          <w:sz w:val="20"/>
          <w:szCs w:val="20"/>
        </w:rPr>
        <w:t>l</w:t>
      </w:r>
      <w:r w:rsidR="006056DB" w:rsidRPr="002944F8">
        <w:rPr>
          <w:rFonts w:ascii="Times New Roman" w:hAnsi="Times New Roman" w:cs="Times New Roman"/>
          <w:sz w:val="20"/>
          <w:szCs w:val="20"/>
        </w:rPr>
        <w:t xml:space="preserve"> deaths was 14.44%</w:t>
      </w:r>
      <w:r w:rsidR="002944F8">
        <w:rPr>
          <w:rFonts w:ascii="Times New Roman" w:hAnsi="Times New Roman" w:cs="Times New Roman"/>
          <w:sz w:val="20"/>
          <w:szCs w:val="20"/>
        </w:rPr>
        <w:t xml:space="preserve"> of the total autopsy cases b</w:t>
      </w:r>
      <w:r w:rsidR="00BE7050">
        <w:rPr>
          <w:rFonts w:ascii="Times New Roman" w:hAnsi="Times New Roman" w:cs="Times New Roman"/>
          <w:sz w:val="20"/>
          <w:szCs w:val="20"/>
        </w:rPr>
        <w:t>r</w:t>
      </w:r>
      <w:r w:rsidR="0067770E">
        <w:rPr>
          <w:rFonts w:ascii="Times New Roman" w:hAnsi="Times New Roman" w:cs="Times New Roman"/>
          <w:sz w:val="20"/>
          <w:szCs w:val="20"/>
        </w:rPr>
        <w:t>ought to JNIMS Mortuary</w:t>
      </w:r>
      <w:r w:rsidR="00295D12">
        <w:rPr>
          <w:rFonts w:ascii="Times New Roman" w:hAnsi="Times New Roman" w:cs="Times New Roman"/>
          <w:sz w:val="20"/>
          <w:szCs w:val="20"/>
        </w:rPr>
        <w:t>, Imphal</w:t>
      </w:r>
      <w:r w:rsidR="006056DB" w:rsidRPr="002944F8">
        <w:rPr>
          <w:rFonts w:ascii="Times New Roman" w:hAnsi="Times New Roman" w:cs="Times New Roman"/>
          <w:sz w:val="20"/>
          <w:szCs w:val="20"/>
        </w:rPr>
        <w:t xml:space="preserve">. This incidence rate closely resembles to the study done by </w:t>
      </w:r>
      <w:r w:rsidR="006C35AA">
        <w:rPr>
          <w:rFonts w:ascii="Times New Roman" w:hAnsi="Times New Roman" w:cs="Times New Roman"/>
          <w:sz w:val="20"/>
          <w:szCs w:val="20"/>
        </w:rPr>
        <w:t>Lalwani S et al</w:t>
      </w:r>
      <w:r w:rsidR="006C35AA">
        <w:rPr>
          <w:rFonts w:ascii="Times New Roman" w:hAnsi="Times New Roman" w:cs="Times New Roman"/>
          <w:sz w:val="20"/>
          <w:szCs w:val="20"/>
          <w:vertAlign w:val="superscript"/>
        </w:rPr>
        <w:t>5</w:t>
      </w:r>
      <w:r w:rsidR="001F5221">
        <w:rPr>
          <w:rFonts w:ascii="Times New Roman" w:hAnsi="Times New Roman" w:cs="Times New Roman"/>
          <w:sz w:val="20"/>
          <w:szCs w:val="20"/>
          <w:vertAlign w:val="superscript"/>
        </w:rPr>
        <w:t xml:space="preserve"> </w:t>
      </w:r>
      <w:r w:rsidR="006C35AA">
        <w:rPr>
          <w:rFonts w:ascii="Times New Roman" w:hAnsi="Times New Roman" w:cs="Times New Roman"/>
          <w:sz w:val="20"/>
          <w:szCs w:val="20"/>
        </w:rPr>
        <w:t xml:space="preserve">(11.21%), </w:t>
      </w:r>
      <w:r w:rsidR="00E84664">
        <w:rPr>
          <w:rFonts w:ascii="Times New Roman" w:hAnsi="Times New Roman" w:cs="Times New Roman"/>
          <w:sz w:val="20"/>
          <w:szCs w:val="20"/>
        </w:rPr>
        <w:t>Gupta V</w:t>
      </w:r>
      <w:r w:rsidR="005C739F">
        <w:rPr>
          <w:rFonts w:ascii="Times New Roman" w:hAnsi="Times New Roman" w:cs="Times New Roman"/>
          <w:sz w:val="20"/>
          <w:szCs w:val="20"/>
        </w:rPr>
        <w:t>ed P</w:t>
      </w:r>
      <w:r w:rsidR="00E84664">
        <w:rPr>
          <w:rFonts w:ascii="Times New Roman" w:hAnsi="Times New Roman" w:cs="Times New Roman"/>
          <w:sz w:val="20"/>
          <w:szCs w:val="20"/>
        </w:rPr>
        <w:t>rakash, Mahanta</w:t>
      </w:r>
      <w:r w:rsidR="00C460B9" w:rsidRPr="002944F8">
        <w:rPr>
          <w:rFonts w:ascii="Times New Roman" w:hAnsi="Times New Roman" w:cs="Times New Roman"/>
          <w:sz w:val="20"/>
          <w:szCs w:val="20"/>
          <w:vertAlign w:val="superscript"/>
        </w:rPr>
        <w:t>6</w:t>
      </w:r>
      <w:r w:rsidR="001F5221">
        <w:rPr>
          <w:rFonts w:ascii="Times New Roman" w:hAnsi="Times New Roman" w:cs="Times New Roman"/>
          <w:sz w:val="20"/>
          <w:szCs w:val="20"/>
          <w:vertAlign w:val="superscript"/>
        </w:rPr>
        <w:t xml:space="preserve"> </w:t>
      </w:r>
      <w:r w:rsidR="00E84664">
        <w:rPr>
          <w:rFonts w:ascii="Times New Roman" w:hAnsi="Times New Roman" w:cs="Times New Roman"/>
          <w:sz w:val="20"/>
          <w:szCs w:val="20"/>
        </w:rPr>
        <w:t>(11.54%),</w:t>
      </w:r>
      <w:r w:rsidR="006C35AA" w:rsidRPr="006C35AA">
        <w:rPr>
          <w:rFonts w:ascii="Times New Roman" w:hAnsi="Times New Roman" w:cs="Times New Roman"/>
          <w:sz w:val="20"/>
          <w:szCs w:val="20"/>
        </w:rPr>
        <w:t xml:space="preserve"> </w:t>
      </w:r>
      <w:r w:rsidR="006C35AA" w:rsidRPr="002944F8">
        <w:rPr>
          <w:rFonts w:ascii="Times New Roman" w:hAnsi="Times New Roman" w:cs="Times New Roman"/>
          <w:sz w:val="20"/>
          <w:szCs w:val="20"/>
        </w:rPr>
        <w:t>Mangesh R Ghadge</w:t>
      </w:r>
      <w:r w:rsidR="006C35AA">
        <w:rPr>
          <w:rFonts w:ascii="Times New Roman" w:hAnsi="Times New Roman" w:cs="Times New Roman"/>
          <w:sz w:val="20"/>
          <w:szCs w:val="20"/>
          <w:vertAlign w:val="superscript"/>
        </w:rPr>
        <w:t>7</w:t>
      </w:r>
      <w:r w:rsidR="006C35AA" w:rsidRPr="002944F8">
        <w:rPr>
          <w:rFonts w:ascii="Times New Roman" w:hAnsi="Times New Roman" w:cs="Times New Roman"/>
          <w:sz w:val="20"/>
          <w:szCs w:val="20"/>
          <w:vertAlign w:val="superscript"/>
        </w:rPr>
        <w:t xml:space="preserve"> </w:t>
      </w:r>
      <w:r w:rsidR="00017CC1">
        <w:rPr>
          <w:rFonts w:ascii="Times New Roman" w:hAnsi="Times New Roman" w:cs="Times New Roman"/>
          <w:sz w:val="20"/>
          <w:szCs w:val="20"/>
        </w:rPr>
        <w:t>(12.8%)</w:t>
      </w:r>
      <w:r w:rsidR="008B3CAD">
        <w:rPr>
          <w:rFonts w:ascii="Times New Roman" w:hAnsi="Times New Roman" w:cs="Times New Roman"/>
          <w:sz w:val="20"/>
          <w:szCs w:val="20"/>
        </w:rPr>
        <w:t>,</w:t>
      </w:r>
      <w:r w:rsidR="0081747F" w:rsidRPr="002944F8">
        <w:rPr>
          <w:rFonts w:ascii="Times New Roman" w:hAnsi="Times New Roman" w:cs="Times New Roman"/>
          <w:sz w:val="20"/>
          <w:szCs w:val="20"/>
        </w:rPr>
        <w:t xml:space="preserve"> </w:t>
      </w:r>
      <w:r w:rsidR="006056DB" w:rsidRPr="002944F8">
        <w:rPr>
          <w:rFonts w:ascii="Times New Roman" w:hAnsi="Times New Roman" w:cs="Times New Roman"/>
          <w:sz w:val="20"/>
          <w:szCs w:val="20"/>
        </w:rPr>
        <w:t>but contrast with the study don</w:t>
      </w:r>
      <w:r w:rsidR="00C460B9" w:rsidRPr="002944F8">
        <w:rPr>
          <w:rFonts w:ascii="Times New Roman" w:hAnsi="Times New Roman" w:cs="Times New Roman"/>
          <w:sz w:val="20"/>
          <w:szCs w:val="20"/>
        </w:rPr>
        <w:t xml:space="preserve">e by DK Vadgama </w:t>
      </w:r>
      <w:r w:rsidR="006056DB" w:rsidRPr="002944F8">
        <w:rPr>
          <w:rFonts w:ascii="Times New Roman" w:hAnsi="Times New Roman" w:cs="Times New Roman"/>
          <w:sz w:val="20"/>
          <w:szCs w:val="20"/>
        </w:rPr>
        <w:t>et al</w:t>
      </w:r>
      <w:r w:rsidR="00E84664">
        <w:rPr>
          <w:rFonts w:ascii="Times New Roman" w:hAnsi="Times New Roman" w:cs="Times New Roman"/>
          <w:sz w:val="20"/>
          <w:szCs w:val="20"/>
          <w:vertAlign w:val="superscript"/>
        </w:rPr>
        <w:t>8</w:t>
      </w:r>
      <w:r w:rsidR="009E3D30">
        <w:rPr>
          <w:rFonts w:ascii="Times New Roman" w:hAnsi="Times New Roman" w:cs="Times New Roman"/>
          <w:sz w:val="20"/>
          <w:szCs w:val="20"/>
          <w:vertAlign w:val="superscript"/>
        </w:rPr>
        <w:t xml:space="preserve"> </w:t>
      </w:r>
      <w:r w:rsidR="00E84664">
        <w:rPr>
          <w:rFonts w:ascii="Times New Roman" w:hAnsi="Times New Roman" w:cs="Times New Roman"/>
          <w:sz w:val="20"/>
          <w:szCs w:val="20"/>
        </w:rPr>
        <w:t>(22.2%)</w:t>
      </w:r>
      <w:r w:rsidR="00154A29" w:rsidRPr="002944F8">
        <w:rPr>
          <w:rFonts w:ascii="Times New Roman" w:hAnsi="Times New Roman" w:cs="Times New Roman"/>
          <w:sz w:val="20"/>
          <w:szCs w:val="20"/>
        </w:rPr>
        <w:t>,</w:t>
      </w:r>
      <w:r w:rsidR="00154A29" w:rsidRPr="002944F8">
        <w:rPr>
          <w:rFonts w:ascii="Times New Roman" w:hAnsi="Times New Roman" w:cs="Times New Roman"/>
          <w:sz w:val="20"/>
          <w:szCs w:val="20"/>
          <w:vertAlign w:val="superscript"/>
        </w:rPr>
        <w:t xml:space="preserve"> </w:t>
      </w:r>
      <w:r w:rsidR="006056DB" w:rsidRPr="002944F8">
        <w:rPr>
          <w:rFonts w:ascii="Times New Roman" w:hAnsi="Times New Roman" w:cs="Times New Roman"/>
          <w:sz w:val="20"/>
          <w:szCs w:val="20"/>
        </w:rPr>
        <w:t xml:space="preserve">who found higher rate of incidence and study done by </w:t>
      </w:r>
      <w:r w:rsidR="00EE7063">
        <w:rPr>
          <w:rFonts w:ascii="Times New Roman" w:hAnsi="Times New Roman" w:cs="Times New Roman"/>
          <w:sz w:val="20"/>
          <w:szCs w:val="20"/>
        </w:rPr>
        <w:t>A.Momochand et al</w:t>
      </w:r>
      <w:r w:rsidR="00154A29" w:rsidRPr="002944F8">
        <w:rPr>
          <w:rFonts w:ascii="Times New Roman" w:hAnsi="Times New Roman" w:cs="Times New Roman"/>
          <w:sz w:val="20"/>
          <w:szCs w:val="20"/>
          <w:vertAlign w:val="superscript"/>
        </w:rPr>
        <w:t>9</w:t>
      </w:r>
      <w:r w:rsidR="009E3D30">
        <w:rPr>
          <w:rFonts w:ascii="Times New Roman" w:hAnsi="Times New Roman" w:cs="Times New Roman"/>
          <w:sz w:val="20"/>
          <w:szCs w:val="20"/>
          <w:vertAlign w:val="superscript"/>
        </w:rPr>
        <w:t xml:space="preserve"> </w:t>
      </w:r>
      <w:r w:rsidR="00EE7063">
        <w:rPr>
          <w:rFonts w:ascii="Times New Roman" w:hAnsi="Times New Roman" w:cs="Times New Roman"/>
          <w:sz w:val="20"/>
          <w:szCs w:val="20"/>
        </w:rPr>
        <w:t>(7%)</w:t>
      </w:r>
      <w:r w:rsidR="006056DB" w:rsidRPr="002944F8">
        <w:rPr>
          <w:rFonts w:ascii="Times New Roman" w:hAnsi="Times New Roman" w:cs="Times New Roman"/>
          <w:sz w:val="20"/>
          <w:szCs w:val="20"/>
        </w:rPr>
        <w:t xml:space="preserve"> and </w:t>
      </w:r>
      <w:r w:rsidR="00EE7063">
        <w:rPr>
          <w:rFonts w:ascii="Times New Roman" w:hAnsi="Times New Roman" w:cs="Times New Roman"/>
          <w:sz w:val="20"/>
          <w:szCs w:val="20"/>
        </w:rPr>
        <w:t xml:space="preserve">Neha </w:t>
      </w:r>
      <w:r w:rsidR="006056DB" w:rsidRPr="002944F8">
        <w:rPr>
          <w:rFonts w:ascii="Times New Roman" w:hAnsi="Times New Roman" w:cs="Times New Roman"/>
          <w:sz w:val="20"/>
          <w:szCs w:val="20"/>
        </w:rPr>
        <w:t>Chaurasia et al</w:t>
      </w:r>
      <w:r w:rsidR="00154A29" w:rsidRPr="002944F8">
        <w:rPr>
          <w:rFonts w:ascii="Times New Roman" w:hAnsi="Times New Roman" w:cs="Times New Roman"/>
          <w:sz w:val="20"/>
          <w:szCs w:val="20"/>
          <w:vertAlign w:val="superscript"/>
        </w:rPr>
        <w:t>10</w:t>
      </w:r>
      <w:r w:rsidR="009E3D30">
        <w:rPr>
          <w:rFonts w:ascii="Times New Roman" w:hAnsi="Times New Roman" w:cs="Times New Roman"/>
          <w:sz w:val="20"/>
          <w:szCs w:val="20"/>
          <w:vertAlign w:val="superscript"/>
        </w:rPr>
        <w:t xml:space="preserve"> </w:t>
      </w:r>
      <w:r w:rsidR="00EE7063">
        <w:rPr>
          <w:rFonts w:ascii="Times New Roman" w:hAnsi="Times New Roman" w:cs="Times New Roman"/>
          <w:sz w:val="20"/>
          <w:szCs w:val="20"/>
        </w:rPr>
        <w:t>(6.95%)</w:t>
      </w:r>
      <w:r w:rsidR="00B35D2B" w:rsidRPr="002944F8">
        <w:rPr>
          <w:rFonts w:ascii="Times New Roman" w:hAnsi="Times New Roman" w:cs="Times New Roman"/>
          <w:sz w:val="20"/>
          <w:szCs w:val="20"/>
        </w:rPr>
        <w:t xml:space="preserve">, </w:t>
      </w:r>
      <w:r w:rsidR="006056DB" w:rsidRPr="002944F8">
        <w:rPr>
          <w:rFonts w:ascii="Times New Roman" w:hAnsi="Times New Roman" w:cs="Times New Roman"/>
          <w:sz w:val="20"/>
          <w:szCs w:val="20"/>
        </w:rPr>
        <w:t>found lower rate of incidence in their respective studies.</w:t>
      </w:r>
      <w:r w:rsidR="00734798">
        <w:rPr>
          <w:rFonts w:ascii="Times New Roman" w:hAnsi="Times New Roman" w:cs="Times New Roman"/>
          <w:sz w:val="20"/>
          <w:szCs w:val="20"/>
        </w:rPr>
        <w:t xml:space="preserve"> Variations of geographical location, culture, ethnicity etc are</w:t>
      </w:r>
      <w:r w:rsidR="00190F53">
        <w:rPr>
          <w:rFonts w:ascii="Times New Roman" w:hAnsi="Times New Roman" w:cs="Times New Roman"/>
          <w:sz w:val="20"/>
          <w:szCs w:val="20"/>
        </w:rPr>
        <w:t xml:space="preserve"> most probably</w:t>
      </w:r>
      <w:r w:rsidR="00734798">
        <w:rPr>
          <w:rFonts w:ascii="Times New Roman" w:hAnsi="Times New Roman" w:cs="Times New Roman"/>
          <w:sz w:val="20"/>
          <w:szCs w:val="20"/>
        </w:rPr>
        <w:t xml:space="preserve"> the reasons for the difference in incidence rate.</w:t>
      </w:r>
    </w:p>
    <w:p w:rsidR="00DE12C0" w:rsidRPr="002944F8" w:rsidRDefault="00DE12C0" w:rsidP="00DE12C0">
      <w:pPr>
        <w:spacing w:after="0"/>
        <w:jc w:val="both"/>
        <w:rPr>
          <w:rFonts w:ascii="Times New Roman" w:hAnsi="Times New Roman" w:cs="Times New Roman"/>
          <w:sz w:val="20"/>
          <w:szCs w:val="20"/>
        </w:rPr>
      </w:pPr>
    </w:p>
    <w:p w:rsidR="009037A3" w:rsidRPr="00C84024" w:rsidRDefault="009037A3" w:rsidP="009037A3">
      <w:pPr>
        <w:jc w:val="both"/>
        <w:rPr>
          <w:rFonts w:ascii="Times New Roman" w:hAnsi="Times New Roman" w:cs="Times New Roman"/>
          <w:sz w:val="20"/>
          <w:szCs w:val="20"/>
        </w:rPr>
      </w:pPr>
      <w:r w:rsidRPr="002944F8">
        <w:rPr>
          <w:rFonts w:ascii="Times New Roman" w:hAnsi="Times New Roman" w:cs="Times New Roman"/>
          <w:sz w:val="20"/>
          <w:szCs w:val="20"/>
        </w:rPr>
        <w:t>In this study, maximum incidence of asphyxia</w:t>
      </w:r>
      <w:r w:rsidR="002970F2">
        <w:rPr>
          <w:rFonts w:ascii="Times New Roman" w:hAnsi="Times New Roman" w:cs="Times New Roman"/>
          <w:sz w:val="20"/>
          <w:szCs w:val="20"/>
        </w:rPr>
        <w:t>l</w:t>
      </w:r>
      <w:r w:rsidRPr="002944F8">
        <w:rPr>
          <w:rFonts w:ascii="Times New Roman" w:hAnsi="Times New Roman" w:cs="Times New Roman"/>
          <w:sz w:val="20"/>
          <w:szCs w:val="20"/>
        </w:rPr>
        <w:t xml:space="preserve"> deaths was seen in the age group ranges from 20-30 years followed by 1</w:t>
      </w:r>
      <w:r w:rsidR="00637919">
        <w:rPr>
          <w:rFonts w:ascii="Times New Roman" w:hAnsi="Times New Roman" w:cs="Times New Roman"/>
          <w:sz w:val="20"/>
          <w:szCs w:val="20"/>
        </w:rPr>
        <w:t>0-20 years of age, contributing 31.90</w:t>
      </w:r>
      <w:r w:rsidRPr="002944F8">
        <w:rPr>
          <w:rFonts w:ascii="Times New Roman" w:hAnsi="Times New Roman" w:cs="Times New Roman"/>
          <w:sz w:val="20"/>
          <w:szCs w:val="20"/>
        </w:rPr>
        <w:t xml:space="preserve"> % and </w:t>
      </w:r>
      <w:r w:rsidR="00637919">
        <w:rPr>
          <w:rFonts w:ascii="Times New Roman" w:hAnsi="Times New Roman" w:cs="Times New Roman"/>
          <w:sz w:val="20"/>
          <w:szCs w:val="20"/>
        </w:rPr>
        <w:t>25.86</w:t>
      </w:r>
      <w:r w:rsidRPr="002944F8">
        <w:rPr>
          <w:rFonts w:ascii="Times New Roman" w:hAnsi="Times New Roman" w:cs="Times New Roman"/>
          <w:sz w:val="20"/>
          <w:szCs w:val="20"/>
        </w:rPr>
        <w:t xml:space="preserve"> % of the total asphyxia</w:t>
      </w:r>
      <w:r w:rsidR="004F0B83">
        <w:rPr>
          <w:rFonts w:ascii="Times New Roman" w:hAnsi="Times New Roman" w:cs="Times New Roman"/>
          <w:sz w:val="20"/>
          <w:szCs w:val="20"/>
        </w:rPr>
        <w:t>l</w:t>
      </w:r>
      <w:r w:rsidRPr="002944F8">
        <w:rPr>
          <w:rFonts w:ascii="Times New Roman" w:hAnsi="Times New Roman" w:cs="Times New Roman"/>
          <w:sz w:val="20"/>
          <w:szCs w:val="20"/>
        </w:rPr>
        <w:t xml:space="preserve"> deaths respectively. It clearly indicates that young adults are the main victims of asphyxia</w:t>
      </w:r>
      <w:r w:rsidR="00EF275E">
        <w:rPr>
          <w:rFonts w:ascii="Times New Roman" w:hAnsi="Times New Roman" w:cs="Times New Roman"/>
          <w:sz w:val="20"/>
          <w:szCs w:val="20"/>
        </w:rPr>
        <w:t>l</w:t>
      </w:r>
      <w:r w:rsidRPr="002944F8">
        <w:rPr>
          <w:rFonts w:ascii="Times New Roman" w:hAnsi="Times New Roman" w:cs="Times New Roman"/>
          <w:sz w:val="20"/>
          <w:szCs w:val="20"/>
        </w:rPr>
        <w:t xml:space="preserve"> deaths.</w:t>
      </w:r>
      <w:r>
        <w:rPr>
          <w:rFonts w:ascii="Times New Roman" w:hAnsi="Times New Roman" w:cs="Times New Roman"/>
          <w:sz w:val="20"/>
          <w:szCs w:val="20"/>
        </w:rPr>
        <w:t xml:space="preserve"> </w:t>
      </w:r>
      <w:r w:rsidRPr="002944F8">
        <w:rPr>
          <w:rFonts w:ascii="Times New Roman" w:hAnsi="Times New Roman" w:cs="Times New Roman"/>
          <w:sz w:val="20"/>
          <w:szCs w:val="20"/>
        </w:rPr>
        <w:t>The findings of the present study are similar with the study done by</w:t>
      </w:r>
      <w:r w:rsidR="00C84024">
        <w:rPr>
          <w:rFonts w:ascii="Times New Roman" w:hAnsi="Times New Roman" w:cs="Times New Roman"/>
          <w:sz w:val="20"/>
          <w:szCs w:val="20"/>
        </w:rPr>
        <w:t xml:space="preserve"> </w:t>
      </w:r>
      <w:r w:rsidRPr="002944F8">
        <w:rPr>
          <w:rFonts w:ascii="Times New Roman" w:hAnsi="Times New Roman" w:cs="Times New Roman"/>
          <w:sz w:val="20"/>
          <w:szCs w:val="20"/>
        </w:rPr>
        <w:t>Gupta Ved Prakash, Mahenta P</w:t>
      </w:r>
      <w:r w:rsidR="00C84024">
        <w:rPr>
          <w:rFonts w:ascii="Times New Roman" w:hAnsi="Times New Roman" w:cs="Times New Roman"/>
          <w:sz w:val="20"/>
          <w:szCs w:val="20"/>
        </w:rPr>
        <w:t xml:space="preserve"> </w:t>
      </w:r>
      <w:r w:rsidR="00C84024">
        <w:rPr>
          <w:rFonts w:ascii="Times New Roman" w:hAnsi="Times New Roman" w:cs="Times New Roman"/>
          <w:sz w:val="20"/>
          <w:szCs w:val="20"/>
          <w:vertAlign w:val="superscript"/>
        </w:rPr>
        <w:t>6</w:t>
      </w:r>
      <w:r w:rsidR="00C84024">
        <w:rPr>
          <w:rFonts w:ascii="Times New Roman" w:hAnsi="Times New Roman" w:cs="Times New Roman"/>
          <w:sz w:val="20"/>
          <w:szCs w:val="20"/>
        </w:rPr>
        <w:t>(33.12%),</w:t>
      </w:r>
      <w:r w:rsidR="00E83718">
        <w:rPr>
          <w:rFonts w:ascii="Times New Roman" w:hAnsi="Times New Roman" w:cs="Times New Roman"/>
          <w:sz w:val="20"/>
          <w:szCs w:val="20"/>
        </w:rPr>
        <w:t xml:space="preserve"> </w:t>
      </w:r>
      <w:r w:rsidR="00C84024">
        <w:rPr>
          <w:rFonts w:ascii="Times New Roman" w:hAnsi="Times New Roman" w:cs="Times New Roman"/>
          <w:sz w:val="20"/>
          <w:szCs w:val="20"/>
        </w:rPr>
        <w:t>A Momochand et al</w:t>
      </w:r>
      <w:r w:rsidR="00C84024">
        <w:rPr>
          <w:rFonts w:ascii="Times New Roman" w:hAnsi="Times New Roman" w:cs="Times New Roman"/>
          <w:sz w:val="20"/>
          <w:szCs w:val="20"/>
          <w:vertAlign w:val="superscript"/>
        </w:rPr>
        <w:t>9</w:t>
      </w:r>
      <w:r w:rsidR="001F5221">
        <w:rPr>
          <w:rFonts w:ascii="Times New Roman" w:hAnsi="Times New Roman" w:cs="Times New Roman"/>
          <w:sz w:val="20"/>
          <w:szCs w:val="20"/>
          <w:vertAlign w:val="superscript"/>
        </w:rPr>
        <w:t xml:space="preserve"> </w:t>
      </w:r>
      <w:r w:rsidR="00C84024">
        <w:rPr>
          <w:rFonts w:ascii="Times New Roman" w:hAnsi="Times New Roman" w:cs="Times New Roman"/>
          <w:sz w:val="20"/>
          <w:szCs w:val="20"/>
        </w:rPr>
        <w:t>(33.1%) and Chaurasia</w:t>
      </w:r>
      <w:r w:rsidR="00B671DC">
        <w:rPr>
          <w:rFonts w:ascii="Times New Roman" w:hAnsi="Times New Roman" w:cs="Times New Roman"/>
          <w:sz w:val="20"/>
          <w:szCs w:val="20"/>
        </w:rPr>
        <w:t xml:space="preserve"> N</w:t>
      </w:r>
      <w:r w:rsidR="00C84024">
        <w:rPr>
          <w:rFonts w:ascii="Times New Roman" w:hAnsi="Times New Roman" w:cs="Times New Roman"/>
          <w:sz w:val="20"/>
          <w:szCs w:val="20"/>
        </w:rPr>
        <w:t xml:space="preserve"> et al</w:t>
      </w:r>
      <w:r w:rsidR="00C84024">
        <w:rPr>
          <w:rFonts w:ascii="Times New Roman" w:hAnsi="Times New Roman" w:cs="Times New Roman"/>
          <w:sz w:val="20"/>
          <w:szCs w:val="20"/>
          <w:vertAlign w:val="superscript"/>
        </w:rPr>
        <w:t>10</w:t>
      </w:r>
      <w:r w:rsidR="000B40A8">
        <w:rPr>
          <w:rFonts w:ascii="Times New Roman" w:hAnsi="Times New Roman" w:cs="Times New Roman"/>
          <w:sz w:val="20"/>
          <w:szCs w:val="20"/>
          <w:vertAlign w:val="superscript"/>
        </w:rPr>
        <w:t xml:space="preserve"> </w:t>
      </w:r>
      <w:r w:rsidR="00C84024">
        <w:rPr>
          <w:rFonts w:ascii="Times New Roman" w:hAnsi="Times New Roman" w:cs="Times New Roman"/>
          <w:sz w:val="20"/>
          <w:szCs w:val="20"/>
        </w:rPr>
        <w:t xml:space="preserve">(35.79%). </w:t>
      </w:r>
      <w:r w:rsidR="00B9489B">
        <w:rPr>
          <w:rFonts w:ascii="Times New Roman" w:hAnsi="Times New Roman" w:cs="Times New Roman"/>
          <w:sz w:val="20"/>
          <w:szCs w:val="20"/>
        </w:rPr>
        <w:t xml:space="preserve"> Teenage and adulthood are the most active phases of l</w:t>
      </w:r>
      <w:r w:rsidR="00D77135">
        <w:rPr>
          <w:rFonts w:ascii="Times New Roman" w:hAnsi="Times New Roman" w:cs="Times New Roman"/>
          <w:sz w:val="20"/>
          <w:szCs w:val="20"/>
        </w:rPr>
        <w:t>i</w:t>
      </w:r>
      <w:r w:rsidR="00B9489B">
        <w:rPr>
          <w:rFonts w:ascii="Times New Roman" w:hAnsi="Times New Roman" w:cs="Times New Roman"/>
          <w:sz w:val="20"/>
          <w:szCs w:val="20"/>
        </w:rPr>
        <w:t xml:space="preserve">fe wherein exposure to anxiety, </w:t>
      </w:r>
      <w:r w:rsidR="00D91B3F">
        <w:rPr>
          <w:rFonts w:ascii="Times New Roman" w:hAnsi="Times New Roman" w:cs="Times New Roman"/>
          <w:sz w:val="20"/>
          <w:szCs w:val="20"/>
        </w:rPr>
        <w:t>unemployment, failure in l</w:t>
      </w:r>
      <w:r w:rsidR="00A53F81">
        <w:rPr>
          <w:rFonts w:ascii="Times New Roman" w:hAnsi="Times New Roman" w:cs="Times New Roman"/>
          <w:sz w:val="20"/>
          <w:szCs w:val="20"/>
        </w:rPr>
        <w:t>ove</w:t>
      </w:r>
      <w:r w:rsidR="00415FAC">
        <w:rPr>
          <w:rFonts w:ascii="Times New Roman" w:hAnsi="Times New Roman" w:cs="Times New Roman"/>
          <w:sz w:val="20"/>
          <w:szCs w:val="20"/>
        </w:rPr>
        <w:t>,</w:t>
      </w:r>
      <w:r w:rsidR="00415FAC" w:rsidRPr="00415FAC">
        <w:rPr>
          <w:rFonts w:ascii="Times New Roman" w:hAnsi="Times New Roman" w:cs="Times New Roman"/>
          <w:sz w:val="20"/>
          <w:szCs w:val="20"/>
        </w:rPr>
        <w:t xml:space="preserve"> </w:t>
      </w:r>
      <w:r w:rsidR="00415FAC">
        <w:rPr>
          <w:rFonts w:ascii="Times New Roman" w:hAnsi="Times New Roman" w:cs="Times New Roman"/>
          <w:sz w:val="20"/>
          <w:szCs w:val="20"/>
        </w:rPr>
        <w:t>increasing stress in daily life, can frequently come across cases of suicides, homicides and accidents.</w:t>
      </w:r>
    </w:p>
    <w:p w:rsidR="009037A3" w:rsidRPr="002944F8" w:rsidRDefault="009037A3" w:rsidP="009037A3">
      <w:pPr>
        <w:jc w:val="both"/>
        <w:rPr>
          <w:rFonts w:ascii="Times New Roman" w:hAnsi="Times New Roman" w:cs="Times New Roman"/>
          <w:sz w:val="20"/>
          <w:szCs w:val="20"/>
        </w:rPr>
      </w:pPr>
      <w:r w:rsidRPr="002944F8">
        <w:rPr>
          <w:rFonts w:ascii="Times New Roman" w:hAnsi="Times New Roman" w:cs="Times New Roman"/>
          <w:sz w:val="20"/>
          <w:szCs w:val="20"/>
        </w:rPr>
        <w:t>In our st</w:t>
      </w:r>
      <w:r w:rsidR="00B671DC">
        <w:rPr>
          <w:rFonts w:ascii="Times New Roman" w:hAnsi="Times New Roman" w:cs="Times New Roman"/>
          <w:sz w:val="20"/>
          <w:szCs w:val="20"/>
        </w:rPr>
        <w:t xml:space="preserve">udy, males </w:t>
      </w:r>
      <w:r w:rsidR="008F6951">
        <w:rPr>
          <w:rFonts w:ascii="Times New Roman" w:hAnsi="Times New Roman" w:cs="Times New Roman"/>
          <w:sz w:val="20"/>
          <w:szCs w:val="20"/>
        </w:rPr>
        <w:t>outnumbered females.,contributing</w:t>
      </w:r>
      <w:r w:rsidR="00B671DC">
        <w:rPr>
          <w:rFonts w:ascii="Times New Roman" w:hAnsi="Times New Roman" w:cs="Times New Roman"/>
          <w:sz w:val="20"/>
          <w:szCs w:val="20"/>
        </w:rPr>
        <w:t xml:space="preserve"> 58.6% and 41.4%</w:t>
      </w:r>
      <w:r w:rsidR="008F6951">
        <w:rPr>
          <w:rFonts w:ascii="Times New Roman" w:hAnsi="Times New Roman" w:cs="Times New Roman"/>
          <w:sz w:val="20"/>
          <w:szCs w:val="20"/>
        </w:rPr>
        <w:t xml:space="preserve"> respectively</w:t>
      </w:r>
      <w:r w:rsidR="00B671DC">
        <w:rPr>
          <w:rFonts w:ascii="Times New Roman" w:hAnsi="Times New Roman" w:cs="Times New Roman"/>
          <w:sz w:val="20"/>
          <w:szCs w:val="20"/>
        </w:rPr>
        <w:t xml:space="preserve">. </w:t>
      </w:r>
      <w:r w:rsidRPr="002944F8">
        <w:rPr>
          <w:rFonts w:ascii="Times New Roman" w:hAnsi="Times New Roman" w:cs="Times New Roman"/>
          <w:sz w:val="20"/>
          <w:szCs w:val="20"/>
        </w:rPr>
        <w:t>Similar findings were observed in the study done by Chaurasia N et al</w:t>
      </w:r>
      <w:r w:rsidRPr="002944F8">
        <w:rPr>
          <w:rFonts w:ascii="Times New Roman" w:hAnsi="Times New Roman" w:cs="Times New Roman"/>
          <w:sz w:val="20"/>
          <w:szCs w:val="20"/>
          <w:vertAlign w:val="superscript"/>
        </w:rPr>
        <w:t>10</w:t>
      </w:r>
      <w:r w:rsidR="00B671DC">
        <w:rPr>
          <w:rFonts w:ascii="Times New Roman" w:hAnsi="Times New Roman" w:cs="Times New Roman"/>
          <w:sz w:val="20"/>
          <w:szCs w:val="20"/>
          <w:vertAlign w:val="superscript"/>
        </w:rPr>
        <w:t xml:space="preserve"> </w:t>
      </w:r>
      <w:r w:rsidR="000B40A8">
        <w:rPr>
          <w:rFonts w:ascii="Times New Roman" w:hAnsi="Times New Roman" w:cs="Times New Roman"/>
          <w:sz w:val="20"/>
          <w:szCs w:val="20"/>
        </w:rPr>
        <w:t>(</w:t>
      </w:r>
      <w:r w:rsidR="00B671DC">
        <w:rPr>
          <w:rFonts w:ascii="Times New Roman" w:hAnsi="Times New Roman" w:cs="Times New Roman"/>
          <w:sz w:val="20"/>
          <w:szCs w:val="20"/>
        </w:rPr>
        <w:t>males: 60.89% &amp; females: 39.11%)</w:t>
      </w:r>
      <w:r w:rsidRPr="002944F8">
        <w:rPr>
          <w:rFonts w:ascii="Times New Roman" w:hAnsi="Times New Roman" w:cs="Times New Roman"/>
          <w:sz w:val="20"/>
          <w:szCs w:val="20"/>
        </w:rPr>
        <w:t>, Reddy SP et al</w:t>
      </w:r>
      <w:r w:rsidRPr="002944F8">
        <w:rPr>
          <w:rFonts w:ascii="Times New Roman" w:hAnsi="Times New Roman" w:cs="Times New Roman"/>
          <w:sz w:val="20"/>
          <w:szCs w:val="20"/>
          <w:vertAlign w:val="superscript"/>
        </w:rPr>
        <w:t>1</w:t>
      </w:r>
      <w:r w:rsidR="00B671DC">
        <w:rPr>
          <w:rFonts w:ascii="Times New Roman" w:hAnsi="Times New Roman" w:cs="Times New Roman"/>
          <w:sz w:val="20"/>
          <w:szCs w:val="20"/>
          <w:vertAlign w:val="superscript"/>
        </w:rPr>
        <w:t>1</w:t>
      </w:r>
      <w:r w:rsidR="00B671DC">
        <w:rPr>
          <w:rFonts w:ascii="Times New Roman" w:hAnsi="Times New Roman" w:cs="Times New Roman"/>
          <w:sz w:val="20"/>
          <w:szCs w:val="20"/>
        </w:rPr>
        <w:t xml:space="preserve"> (males: 59.14% and females: 40.86%)</w:t>
      </w:r>
      <w:r w:rsidRPr="002944F8">
        <w:rPr>
          <w:rFonts w:ascii="Times New Roman" w:hAnsi="Times New Roman" w:cs="Times New Roman"/>
          <w:sz w:val="20"/>
          <w:szCs w:val="20"/>
        </w:rPr>
        <w:t xml:space="preserve"> Shankar M Bakkannavar et al</w:t>
      </w:r>
      <w:r w:rsidRPr="002944F8">
        <w:rPr>
          <w:rFonts w:ascii="Times New Roman" w:hAnsi="Times New Roman" w:cs="Times New Roman"/>
          <w:sz w:val="20"/>
          <w:szCs w:val="20"/>
          <w:vertAlign w:val="superscript"/>
        </w:rPr>
        <w:t>1</w:t>
      </w:r>
      <w:r w:rsidR="00040671">
        <w:rPr>
          <w:rFonts w:ascii="Times New Roman" w:hAnsi="Times New Roman" w:cs="Times New Roman"/>
          <w:sz w:val="20"/>
          <w:szCs w:val="20"/>
          <w:vertAlign w:val="superscript"/>
        </w:rPr>
        <w:t>2</w:t>
      </w:r>
      <w:r w:rsidR="000B40A8">
        <w:rPr>
          <w:rFonts w:ascii="Times New Roman" w:hAnsi="Times New Roman" w:cs="Times New Roman"/>
          <w:sz w:val="20"/>
          <w:szCs w:val="20"/>
          <w:vertAlign w:val="superscript"/>
        </w:rPr>
        <w:t xml:space="preserve"> </w:t>
      </w:r>
      <w:r w:rsidR="00B671DC">
        <w:rPr>
          <w:rFonts w:ascii="Times New Roman" w:hAnsi="Times New Roman" w:cs="Times New Roman"/>
          <w:sz w:val="20"/>
          <w:szCs w:val="20"/>
        </w:rPr>
        <w:t>(males: 63%</w:t>
      </w:r>
      <w:r w:rsidR="00040671">
        <w:rPr>
          <w:rFonts w:ascii="Times New Roman" w:hAnsi="Times New Roman" w:cs="Times New Roman"/>
          <w:sz w:val="20"/>
          <w:szCs w:val="20"/>
        </w:rPr>
        <w:t xml:space="preserve"> and females: 37%)</w:t>
      </w:r>
      <w:r w:rsidR="00366F10">
        <w:rPr>
          <w:rFonts w:ascii="Times New Roman" w:hAnsi="Times New Roman" w:cs="Times New Roman"/>
          <w:sz w:val="20"/>
          <w:szCs w:val="20"/>
        </w:rPr>
        <w:t xml:space="preserve"> and Fi</w:t>
      </w:r>
      <w:r w:rsidR="00040671">
        <w:rPr>
          <w:rFonts w:ascii="Times New Roman" w:hAnsi="Times New Roman" w:cs="Times New Roman"/>
          <w:sz w:val="20"/>
          <w:szCs w:val="20"/>
        </w:rPr>
        <w:t>roz Ahmed, Manoj Kumar Singha</w:t>
      </w:r>
      <w:r w:rsidR="00040671">
        <w:rPr>
          <w:rFonts w:ascii="Times New Roman" w:hAnsi="Times New Roman" w:cs="Times New Roman"/>
          <w:sz w:val="20"/>
          <w:szCs w:val="20"/>
          <w:vertAlign w:val="superscript"/>
        </w:rPr>
        <w:t xml:space="preserve">13 </w:t>
      </w:r>
      <w:r w:rsidR="00040671">
        <w:rPr>
          <w:rFonts w:ascii="Times New Roman" w:hAnsi="Times New Roman" w:cs="Times New Roman"/>
          <w:sz w:val="20"/>
          <w:szCs w:val="20"/>
        </w:rPr>
        <w:t>(males: 61.9% and females: 38.1%).</w:t>
      </w:r>
      <w:r w:rsidRPr="002944F8">
        <w:rPr>
          <w:rFonts w:ascii="Times New Roman" w:hAnsi="Times New Roman" w:cs="Times New Roman"/>
          <w:sz w:val="20"/>
          <w:szCs w:val="20"/>
        </w:rPr>
        <w:t>The high incidence among the males may be due to their lifestyle which causes them to confront dangers without thinking that death may result. Males being natural breadwinners of the family are expected to be outdoors most of the time and therefore more exposed to the danger of violence and accidents.</w:t>
      </w:r>
    </w:p>
    <w:p w:rsidR="009037A3" w:rsidRDefault="009037A3" w:rsidP="009037A3">
      <w:pPr>
        <w:jc w:val="both"/>
        <w:rPr>
          <w:rFonts w:ascii="Times New Roman" w:hAnsi="Times New Roman" w:cs="Times New Roman"/>
          <w:sz w:val="20"/>
          <w:szCs w:val="20"/>
        </w:rPr>
      </w:pPr>
      <w:r w:rsidRPr="002944F8">
        <w:rPr>
          <w:rFonts w:ascii="Times New Roman" w:hAnsi="Times New Roman" w:cs="Times New Roman"/>
          <w:sz w:val="20"/>
          <w:szCs w:val="20"/>
        </w:rPr>
        <w:t xml:space="preserve">In asphyxial deaths, </w:t>
      </w:r>
      <w:r w:rsidR="000F2663">
        <w:rPr>
          <w:rFonts w:ascii="Times New Roman" w:hAnsi="Times New Roman" w:cs="Times New Roman"/>
          <w:sz w:val="20"/>
          <w:szCs w:val="20"/>
        </w:rPr>
        <w:t xml:space="preserve">Hindu community contributed </w:t>
      </w:r>
      <w:r w:rsidR="00167057">
        <w:rPr>
          <w:rFonts w:ascii="Times New Roman" w:hAnsi="Times New Roman" w:cs="Times New Roman"/>
          <w:sz w:val="20"/>
          <w:szCs w:val="20"/>
        </w:rPr>
        <w:t>71.55</w:t>
      </w:r>
      <w:r w:rsidR="000B40A8">
        <w:rPr>
          <w:rFonts w:ascii="Times New Roman" w:hAnsi="Times New Roman" w:cs="Times New Roman"/>
          <w:sz w:val="20"/>
          <w:szCs w:val="20"/>
        </w:rPr>
        <w:t xml:space="preserve"> %. In this study</w:t>
      </w:r>
      <w:r w:rsidRPr="002944F8">
        <w:rPr>
          <w:rFonts w:ascii="Times New Roman" w:hAnsi="Times New Roman" w:cs="Times New Roman"/>
          <w:sz w:val="20"/>
          <w:szCs w:val="20"/>
        </w:rPr>
        <w:t>, there is strong evidence which shows that Hindus victims were more significant, because of Hindu dominated population in the areas where the JNIMS have its jurisdiction. The finding of this study is similar with the study done by Neha Chaurasia, SK Pandey and Amarnath Mishra</w:t>
      </w:r>
      <w:r w:rsidRPr="002944F8">
        <w:rPr>
          <w:rFonts w:ascii="Times New Roman" w:hAnsi="Times New Roman" w:cs="Times New Roman"/>
          <w:sz w:val="20"/>
          <w:szCs w:val="20"/>
          <w:vertAlign w:val="superscript"/>
        </w:rPr>
        <w:t>10</w:t>
      </w:r>
      <w:r w:rsidR="000B40A8">
        <w:rPr>
          <w:rFonts w:ascii="Times New Roman" w:hAnsi="Times New Roman" w:cs="Times New Roman"/>
          <w:sz w:val="20"/>
          <w:szCs w:val="20"/>
          <w:vertAlign w:val="superscript"/>
        </w:rPr>
        <w:t xml:space="preserve"> </w:t>
      </w:r>
      <w:r w:rsidR="000F2663">
        <w:rPr>
          <w:rFonts w:ascii="Times New Roman" w:hAnsi="Times New Roman" w:cs="Times New Roman"/>
          <w:sz w:val="20"/>
          <w:szCs w:val="20"/>
        </w:rPr>
        <w:t>(Hindu:</w:t>
      </w:r>
      <w:r w:rsidR="00E46B03">
        <w:rPr>
          <w:rFonts w:ascii="Times New Roman" w:hAnsi="Times New Roman" w:cs="Times New Roman"/>
          <w:sz w:val="20"/>
          <w:szCs w:val="20"/>
        </w:rPr>
        <w:t xml:space="preserve"> </w:t>
      </w:r>
      <w:r w:rsidR="000F2663">
        <w:rPr>
          <w:rFonts w:ascii="Times New Roman" w:hAnsi="Times New Roman" w:cs="Times New Roman"/>
          <w:sz w:val="20"/>
          <w:szCs w:val="20"/>
        </w:rPr>
        <w:t>81.37%).</w:t>
      </w:r>
    </w:p>
    <w:p w:rsidR="009037A3" w:rsidRDefault="009037A3" w:rsidP="009037A3">
      <w:pPr>
        <w:jc w:val="both"/>
        <w:rPr>
          <w:rFonts w:ascii="Times New Roman" w:hAnsi="Times New Roman" w:cs="Times New Roman"/>
          <w:sz w:val="20"/>
          <w:szCs w:val="20"/>
        </w:rPr>
      </w:pPr>
      <w:r>
        <w:rPr>
          <w:rFonts w:ascii="Times New Roman" w:hAnsi="Times New Roman" w:cs="Times New Roman"/>
          <w:sz w:val="20"/>
          <w:szCs w:val="20"/>
        </w:rPr>
        <w:t xml:space="preserve">It was observed </w:t>
      </w:r>
      <w:r w:rsidR="00B436EF">
        <w:rPr>
          <w:rFonts w:ascii="Times New Roman" w:hAnsi="Times New Roman" w:cs="Times New Roman"/>
          <w:sz w:val="20"/>
          <w:szCs w:val="20"/>
        </w:rPr>
        <w:t>that maximum of the dead</w:t>
      </w:r>
      <w:r w:rsidRPr="002944F8">
        <w:rPr>
          <w:rFonts w:ascii="Times New Roman" w:hAnsi="Times New Roman" w:cs="Times New Roman"/>
          <w:sz w:val="20"/>
          <w:szCs w:val="20"/>
        </w:rPr>
        <w:t xml:space="preserve"> victims were fro</w:t>
      </w:r>
      <w:r>
        <w:rPr>
          <w:rFonts w:ascii="Times New Roman" w:hAnsi="Times New Roman" w:cs="Times New Roman"/>
          <w:sz w:val="20"/>
          <w:szCs w:val="20"/>
        </w:rPr>
        <w:t xml:space="preserve">m rural area comprising of </w:t>
      </w:r>
      <w:r w:rsidRPr="002944F8">
        <w:rPr>
          <w:rFonts w:ascii="Times New Roman" w:hAnsi="Times New Roman" w:cs="Times New Roman"/>
          <w:sz w:val="20"/>
          <w:szCs w:val="20"/>
        </w:rPr>
        <w:t>90.51</w:t>
      </w:r>
      <w:r>
        <w:rPr>
          <w:rFonts w:ascii="Times New Roman" w:hAnsi="Times New Roman" w:cs="Times New Roman"/>
          <w:sz w:val="20"/>
          <w:szCs w:val="20"/>
        </w:rPr>
        <w:t xml:space="preserve">% </w:t>
      </w:r>
      <w:r w:rsidRPr="002944F8">
        <w:rPr>
          <w:rFonts w:ascii="Times New Roman" w:hAnsi="Times New Roman" w:cs="Times New Roman"/>
          <w:sz w:val="20"/>
          <w:szCs w:val="20"/>
        </w:rPr>
        <w:t>cases and only 9.48%</w:t>
      </w:r>
      <w:r>
        <w:rPr>
          <w:rFonts w:ascii="Times New Roman" w:hAnsi="Times New Roman" w:cs="Times New Roman"/>
          <w:sz w:val="20"/>
          <w:szCs w:val="20"/>
        </w:rPr>
        <w:t xml:space="preserve"> </w:t>
      </w:r>
      <w:r w:rsidRPr="002944F8">
        <w:rPr>
          <w:rFonts w:ascii="Times New Roman" w:hAnsi="Times New Roman" w:cs="Times New Roman"/>
          <w:sz w:val="20"/>
          <w:szCs w:val="20"/>
        </w:rPr>
        <w:t>cases were from urban area</w:t>
      </w:r>
      <w:r w:rsidR="00E02025">
        <w:rPr>
          <w:rFonts w:ascii="Times New Roman" w:hAnsi="Times New Roman" w:cs="Times New Roman"/>
          <w:sz w:val="20"/>
          <w:szCs w:val="20"/>
        </w:rPr>
        <w:t>, same as in study done by Firoz Ahmed, Manoj Kumar Singha</w:t>
      </w:r>
      <w:r w:rsidR="00E02025">
        <w:rPr>
          <w:rFonts w:ascii="Times New Roman" w:hAnsi="Times New Roman" w:cs="Times New Roman"/>
          <w:sz w:val="20"/>
          <w:szCs w:val="20"/>
          <w:vertAlign w:val="superscript"/>
        </w:rPr>
        <w:t>13</w:t>
      </w:r>
      <w:r w:rsidR="00E02025">
        <w:rPr>
          <w:rFonts w:ascii="Times New Roman" w:hAnsi="Times New Roman" w:cs="Times New Roman"/>
          <w:sz w:val="20"/>
          <w:szCs w:val="20"/>
        </w:rPr>
        <w:t xml:space="preserve">. </w:t>
      </w:r>
    </w:p>
    <w:p w:rsidR="009037A3" w:rsidRPr="002944F8" w:rsidRDefault="009037A3" w:rsidP="009037A3">
      <w:pPr>
        <w:jc w:val="both"/>
        <w:rPr>
          <w:rFonts w:ascii="Times New Roman" w:hAnsi="Times New Roman" w:cs="Times New Roman"/>
          <w:sz w:val="20"/>
          <w:szCs w:val="20"/>
        </w:rPr>
      </w:pPr>
      <w:r w:rsidRPr="002944F8">
        <w:rPr>
          <w:rFonts w:ascii="Times New Roman" w:hAnsi="Times New Roman" w:cs="Times New Roman"/>
          <w:sz w:val="20"/>
          <w:szCs w:val="20"/>
        </w:rPr>
        <w:t>It was observed that most of the victims were married which is supp</w:t>
      </w:r>
      <w:r w:rsidR="00755140">
        <w:rPr>
          <w:rFonts w:ascii="Times New Roman" w:hAnsi="Times New Roman" w:cs="Times New Roman"/>
          <w:sz w:val="20"/>
          <w:szCs w:val="20"/>
        </w:rPr>
        <w:t>orted by the study conducted by</w:t>
      </w:r>
      <w:r w:rsidRPr="002944F8">
        <w:rPr>
          <w:rFonts w:ascii="Times New Roman" w:hAnsi="Times New Roman" w:cs="Times New Roman"/>
          <w:sz w:val="20"/>
          <w:szCs w:val="20"/>
        </w:rPr>
        <w:t xml:space="preserve"> Gupta Ved prakash, Mahanta P</w:t>
      </w:r>
      <w:r w:rsidR="008B3CAD">
        <w:rPr>
          <w:rFonts w:ascii="Times New Roman" w:hAnsi="Times New Roman" w:cs="Times New Roman"/>
          <w:sz w:val="20"/>
          <w:szCs w:val="20"/>
          <w:vertAlign w:val="superscript"/>
        </w:rPr>
        <w:t>6</w:t>
      </w:r>
      <w:r w:rsidR="008B3CAD">
        <w:rPr>
          <w:rFonts w:ascii="Times New Roman" w:hAnsi="Times New Roman" w:cs="Times New Roman"/>
          <w:sz w:val="20"/>
          <w:szCs w:val="20"/>
        </w:rPr>
        <w:t>,</w:t>
      </w:r>
      <w:r w:rsidR="008B3CAD" w:rsidRPr="008B3CAD">
        <w:rPr>
          <w:rFonts w:ascii="Times New Roman" w:hAnsi="Times New Roman" w:cs="Times New Roman"/>
          <w:sz w:val="20"/>
          <w:szCs w:val="20"/>
        </w:rPr>
        <w:t xml:space="preserve"> </w:t>
      </w:r>
      <w:r w:rsidR="008B3CAD" w:rsidRPr="002944F8">
        <w:rPr>
          <w:rFonts w:ascii="Times New Roman" w:hAnsi="Times New Roman" w:cs="Times New Roman"/>
          <w:sz w:val="20"/>
          <w:szCs w:val="20"/>
        </w:rPr>
        <w:t xml:space="preserve">Vijayakumari N </w:t>
      </w:r>
      <w:r w:rsidR="008B3CAD" w:rsidRPr="002944F8">
        <w:rPr>
          <w:rFonts w:ascii="Times New Roman" w:hAnsi="Times New Roman" w:cs="Times New Roman"/>
          <w:sz w:val="20"/>
          <w:szCs w:val="20"/>
          <w:vertAlign w:val="superscript"/>
        </w:rPr>
        <w:t>1</w:t>
      </w:r>
      <w:r w:rsidR="008B3CAD">
        <w:rPr>
          <w:rFonts w:ascii="Times New Roman" w:hAnsi="Times New Roman" w:cs="Times New Roman"/>
          <w:sz w:val="20"/>
          <w:szCs w:val="20"/>
          <w:vertAlign w:val="superscript"/>
        </w:rPr>
        <w:t>4</w:t>
      </w:r>
    </w:p>
    <w:p w:rsidR="008B3CAD" w:rsidRDefault="006D095A" w:rsidP="002944F8">
      <w:pPr>
        <w:jc w:val="both"/>
        <w:rPr>
          <w:rFonts w:ascii="Times New Roman" w:hAnsi="Times New Roman" w:cs="Times New Roman"/>
          <w:sz w:val="20"/>
          <w:szCs w:val="20"/>
        </w:rPr>
      </w:pPr>
      <w:r>
        <w:rPr>
          <w:rFonts w:ascii="Times New Roman" w:hAnsi="Times New Roman" w:cs="Times New Roman"/>
          <w:sz w:val="20"/>
          <w:szCs w:val="20"/>
        </w:rPr>
        <w:t xml:space="preserve">In the present study, a maximum of 49.14% victims were unemployed, </w:t>
      </w:r>
      <w:r w:rsidR="005614CC">
        <w:rPr>
          <w:rFonts w:ascii="Times New Roman" w:hAnsi="Times New Roman" w:cs="Times New Roman"/>
          <w:sz w:val="20"/>
          <w:szCs w:val="20"/>
        </w:rPr>
        <w:t>followed by students i.e 26.72% and</w:t>
      </w:r>
      <w:r>
        <w:rPr>
          <w:rFonts w:ascii="Times New Roman" w:hAnsi="Times New Roman" w:cs="Times New Roman"/>
          <w:sz w:val="20"/>
          <w:szCs w:val="20"/>
        </w:rPr>
        <w:t xml:space="preserve"> 24.14% were service holders. Low level of education of the victims found in the study is correlated with the fact that victims either remain unemployed or competition for the job is one of the major anxiety factors among them. Committing suicide is also high, poverty and struggles for survival being the main reason for increasing the incidence of suicide.</w:t>
      </w:r>
    </w:p>
    <w:p w:rsidR="008B3CAD" w:rsidRPr="006D095A" w:rsidRDefault="00614FFA" w:rsidP="002944F8">
      <w:pPr>
        <w:jc w:val="both"/>
        <w:rPr>
          <w:rFonts w:ascii="Times New Roman" w:hAnsi="Times New Roman" w:cs="Times New Roman"/>
          <w:sz w:val="20"/>
          <w:szCs w:val="20"/>
          <w:vertAlign w:val="superscript"/>
        </w:rPr>
      </w:pPr>
      <w:r w:rsidRPr="002944F8">
        <w:rPr>
          <w:rFonts w:ascii="Times New Roman" w:hAnsi="Times New Roman" w:cs="Times New Roman"/>
          <w:sz w:val="20"/>
          <w:szCs w:val="20"/>
        </w:rPr>
        <w:t>In the present study, it is observed that maximum number of asphyxia</w:t>
      </w:r>
      <w:r w:rsidR="00B35D2B" w:rsidRPr="002944F8">
        <w:rPr>
          <w:rFonts w:ascii="Times New Roman" w:hAnsi="Times New Roman" w:cs="Times New Roman"/>
          <w:sz w:val="20"/>
          <w:szCs w:val="20"/>
        </w:rPr>
        <w:t>l</w:t>
      </w:r>
      <w:r w:rsidRPr="002944F8">
        <w:rPr>
          <w:rFonts w:ascii="Times New Roman" w:hAnsi="Times New Roman" w:cs="Times New Roman"/>
          <w:sz w:val="20"/>
          <w:szCs w:val="20"/>
        </w:rPr>
        <w:t xml:space="preserve"> death</w:t>
      </w:r>
      <w:r w:rsidR="00522492">
        <w:rPr>
          <w:rFonts w:ascii="Times New Roman" w:hAnsi="Times New Roman" w:cs="Times New Roman"/>
          <w:sz w:val="20"/>
          <w:szCs w:val="20"/>
        </w:rPr>
        <w:t>s</w:t>
      </w:r>
      <w:r w:rsidRPr="002944F8">
        <w:rPr>
          <w:rFonts w:ascii="Times New Roman" w:hAnsi="Times New Roman" w:cs="Times New Roman"/>
          <w:sz w:val="20"/>
          <w:szCs w:val="20"/>
        </w:rPr>
        <w:t xml:space="preserve"> occurred during summer and the</w:t>
      </w:r>
      <w:r w:rsidR="00595A66" w:rsidRPr="002944F8">
        <w:rPr>
          <w:rFonts w:ascii="Times New Roman" w:hAnsi="Times New Roman" w:cs="Times New Roman"/>
          <w:sz w:val="20"/>
          <w:szCs w:val="20"/>
        </w:rPr>
        <w:t xml:space="preserve"> findings is similar to that of study done by Gupta Ved Prakash, Mahanta</w:t>
      </w:r>
      <w:r w:rsidR="005E200A" w:rsidRPr="002944F8">
        <w:rPr>
          <w:rFonts w:ascii="Times New Roman" w:hAnsi="Times New Roman" w:cs="Times New Roman"/>
          <w:sz w:val="20"/>
          <w:szCs w:val="20"/>
        </w:rPr>
        <w:t xml:space="preserve"> P</w:t>
      </w:r>
      <w:r w:rsidR="00595A66" w:rsidRPr="002944F8">
        <w:rPr>
          <w:rFonts w:ascii="Times New Roman" w:hAnsi="Times New Roman" w:cs="Times New Roman"/>
          <w:sz w:val="20"/>
          <w:szCs w:val="20"/>
        </w:rPr>
        <w:t>.</w:t>
      </w:r>
      <w:r w:rsidR="008B3CAD">
        <w:rPr>
          <w:rFonts w:ascii="Times New Roman" w:hAnsi="Times New Roman" w:cs="Times New Roman"/>
          <w:sz w:val="20"/>
          <w:szCs w:val="20"/>
          <w:vertAlign w:val="superscript"/>
        </w:rPr>
        <w:t xml:space="preserve">6  </w:t>
      </w:r>
    </w:p>
    <w:p w:rsidR="001923BB" w:rsidRDefault="00650B65" w:rsidP="002944F8">
      <w:pPr>
        <w:jc w:val="both"/>
        <w:rPr>
          <w:rFonts w:ascii="Times New Roman" w:hAnsi="Times New Roman" w:cs="Times New Roman"/>
          <w:sz w:val="20"/>
          <w:szCs w:val="20"/>
        </w:rPr>
      </w:pPr>
      <w:r w:rsidRPr="002944F8">
        <w:rPr>
          <w:rFonts w:ascii="Times New Roman" w:hAnsi="Times New Roman" w:cs="Times New Roman"/>
          <w:sz w:val="20"/>
          <w:szCs w:val="20"/>
        </w:rPr>
        <w:t xml:space="preserve">In the present study, it was observed that hanging was the commonest </w:t>
      </w:r>
      <w:r w:rsidR="00C55130">
        <w:rPr>
          <w:rFonts w:ascii="Times New Roman" w:hAnsi="Times New Roman" w:cs="Times New Roman"/>
          <w:sz w:val="20"/>
          <w:szCs w:val="20"/>
        </w:rPr>
        <w:t xml:space="preserve">method used in deaths due to asphyxiation in our study accounting to </w:t>
      </w:r>
      <w:r w:rsidR="003F610D">
        <w:rPr>
          <w:rFonts w:ascii="Times New Roman" w:hAnsi="Times New Roman" w:cs="Times New Roman"/>
          <w:sz w:val="20"/>
          <w:szCs w:val="20"/>
        </w:rPr>
        <w:t>50.86% which was in agreement with the studies done by Chaurasia N et al</w:t>
      </w:r>
      <w:r w:rsidR="003F610D">
        <w:rPr>
          <w:rFonts w:ascii="Times New Roman" w:hAnsi="Times New Roman" w:cs="Times New Roman"/>
          <w:sz w:val="20"/>
          <w:szCs w:val="20"/>
          <w:vertAlign w:val="superscript"/>
        </w:rPr>
        <w:t>10</w:t>
      </w:r>
      <w:r w:rsidR="00E553C9">
        <w:rPr>
          <w:rFonts w:ascii="Times New Roman" w:hAnsi="Times New Roman" w:cs="Times New Roman"/>
          <w:sz w:val="20"/>
          <w:szCs w:val="20"/>
          <w:vertAlign w:val="superscript"/>
        </w:rPr>
        <w:t xml:space="preserve"> </w:t>
      </w:r>
      <w:r w:rsidR="003F610D">
        <w:rPr>
          <w:rFonts w:ascii="Times New Roman" w:hAnsi="Times New Roman" w:cs="Times New Roman"/>
          <w:sz w:val="20"/>
          <w:szCs w:val="20"/>
        </w:rPr>
        <w:t>(52.21%)</w:t>
      </w:r>
      <w:r w:rsidR="00604E71">
        <w:rPr>
          <w:rFonts w:ascii="Times New Roman" w:hAnsi="Times New Roman" w:cs="Times New Roman"/>
          <w:sz w:val="20"/>
          <w:szCs w:val="20"/>
        </w:rPr>
        <w:t>,</w:t>
      </w:r>
      <w:r w:rsidR="003F610D" w:rsidRPr="003F610D">
        <w:rPr>
          <w:rFonts w:ascii="Times New Roman" w:hAnsi="Times New Roman" w:cs="Times New Roman"/>
          <w:sz w:val="20"/>
          <w:szCs w:val="20"/>
        </w:rPr>
        <w:t xml:space="preserve"> </w:t>
      </w:r>
      <w:r w:rsidR="003F610D">
        <w:rPr>
          <w:rFonts w:ascii="Times New Roman" w:hAnsi="Times New Roman" w:cs="Times New Roman"/>
          <w:sz w:val="20"/>
          <w:szCs w:val="20"/>
        </w:rPr>
        <w:t>Reddy SP et al</w:t>
      </w:r>
      <w:r w:rsidR="003F610D">
        <w:rPr>
          <w:rFonts w:ascii="Times New Roman" w:hAnsi="Times New Roman" w:cs="Times New Roman"/>
          <w:sz w:val="20"/>
          <w:szCs w:val="20"/>
          <w:vertAlign w:val="superscript"/>
        </w:rPr>
        <w:t xml:space="preserve">11 </w:t>
      </w:r>
      <w:r w:rsidR="003F610D">
        <w:rPr>
          <w:rFonts w:ascii="Times New Roman" w:hAnsi="Times New Roman" w:cs="Times New Roman"/>
          <w:sz w:val="20"/>
          <w:szCs w:val="20"/>
        </w:rPr>
        <w:t>(61.19%) and Sharma et al</w:t>
      </w:r>
      <w:r w:rsidR="003F610D">
        <w:rPr>
          <w:rFonts w:ascii="Times New Roman" w:hAnsi="Times New Roman" w:cs="Times New Roman"/>
          <w:sz w:val="20"/>
          <w:szCs w:val="20"/>
          <w:vertAlign w:val="superscript"/>
        </w:rPr>
        <w:t>15</w:t>
      </w:r>
      <w:r w:rsidR="00E553C9">
        <w:rPr>
          <w:rFonts w:ascii="Times New Roman" w:hAnsi="Times New Roman" w:cs="Times New Roman"/>
          <w:sz w:val="20"/>
          <w:szCs w:val="20"/>
          <w:vertAlign w:val="superscript"/>
        </w:rPr>
        <w:t xml:space="preserve"> </w:t>
      </w:r>
      <w:r w:rsidR="003F610D">
        <w:rPr>
          <w:rFonts w:ascii="Times New Roman" w:hAnsi="Times New Roman" w:cs="Times New Roman"/>
          <w:sz w:val="20"/>
          <w:szCs w:val="20"/>
        </w:rPr>
        <w:t>(56.3%)</w:t>
      </w:r>
      <w:r w:rsidR="00B82262">
        <w:rPr>
          <w:rFonts w:ascii="Times New Roman" w:hAnsi="Times New Roman" w:cs="Times New Roman"/>
          <w:sz w:val="20"/>
          <w:szCs w:val="20"/>
        </w:rPr>
        <w:t xml:space="preserve">. The victims of hanging preferred outside their </w:t>
      </w:r>
      <w:r w:rsidR="00604E71">
        <w:rPr>
          <w:rFonts w:ascii="Times New Roman" w:hAnsi="Times New Roman" w:cs="Times New Roman"/>
          <w:sz w:val="20"/>
          <w:szCs w:val="20"/>
        </w:rPr>
        <w:t>home for their violent act in this</w:t>
      </w:r>
      <w:r w:rsidR="00B82262">
        <w:rPr>
          <w:rFonts w:ascii="Times New Roman" w:hAnsi="Times New Roman" w:cs="Times New Roman"/>
          <w:sz w:val="20"/>
          <w:szCs w:val="20"/>
        </w:rPr>
        <w:t xml:space="preserve"> study.</w:t>
      </w:r>
    </w:p>
    <w:p w:rsidR="00A35836" w:rsidRDefault="00A35836" w:rsidP="002944F8">
      <w:pPr>
        <w:jc w:val="both"/>
        <w:rPr>
          <w:rFonts w:ascii="Times New Roman" w:hAnsi="Times New Roman" w:cs="Times New Roman"/>
          <w:sz w:val="20"/>
          <w:szCs w:val="20"/>
        </w:rPr>
      </w:pPr>
    </w:p>
    <w:p w:rsidR="00A35836" w:rsidRPr="00A35836" w:rsidRDefault="00A35836" w:rsidP="00A35836">
      <w:pPr>
        <w:spacing w:after="0"/>
        <w:jc w:val="right"/>
        <w:rPr>
          <w:rFonts w:ascii="Times New Roman" w:hAnsi="Times New Roman" w:cs="Times New Roman"/>
          <w:sz w:val="20"/>
          <w:szCs w:val="18"/>
        </w:rPr>
      </w:pPr>
      <w:r w:rsidRPr="00A35836">
        <w:rPr>
          <w:rFonts w:ascii="Times New Roman" w:hAnsi="Times New Roman" w:cs="Times New Roman"/>
          <w:sz w:val="20"/>
          <w:szCs w:val="18"/>
        </w:rPr>
        <w:lastRenderedPageBreak/>
        <w:t xml:space="preserve">                 </w:t>
      </w:r>
      <w:r w:rsidRPr="00A35836">
        <w:rPr>
          <w:rFonts w:ascii="Times New Roman" w:hAnsi="Times New Roman" w:cs="Times New Roman"/>
          <w:sz w:val="20"/>
          <w:szCs w:val="20"/>
        </w:rPr>
        <w:t>Study of Violent Asphyxial Death</w:t>
      </w:r>
      <w:r w:rsidRPr="00A35836">
        <w:rPr>
          <w:rFonts w:ascii="Times New Roman" w:hAnsi="Times New Roman" w:cs="Times New Roman"/>
          <w:sz w:val="20"/>
          <w:szCs w:val="18"/>
        </w:rPr>
        <w:t xml:space="preserve"> </w:t>
      </w:r>
    </w:p>
    <w:p w:rsidR="00A35836" w:rsidRDefault="00A35836" w:rsidP="00A35836">
      <w:pPr>
        <w:spacing w:after="0"/>
        <w:jc w:val="both"/>
        <w:rPr>
          <w:rFonts w:ascii="Times New Roman" w:hAnsi="Times New Roman" w:cs="Times New Roman"/>
          <w:sz w:val="20"/>
          <w:szCs w:val="20"/>
        </w:rPr>
      </w:pPr>
    </w:p>
    <w:p w:rsidR="00CD5EF3" w:rsidRDefault="00CD5EF3" w:rsidP="002944F8">
      <w:pPr>
        <w:jc w:val="both"/>
        <w:rPr>
          <w:rFonts w:ascii="Times New Roman" w:hAnsi="Times New Roman" w:cs="Times New Roman"/>
          <w:sz w:val="20"/>
          <w:szCs w:val="20"/>
        </w:rPr>
      </w:pPr>
      <w:r>
        <w:rPr>
          <w:rFonts w:ascii="Times New Roman" w:hAnsi="Times New Roman" w:cs="Times New Roman"/>
          <w:sz w:val="20"/>
          <w:szCs w:val="20"/>
        </w:rPr>
        <w:t>In</w:t>
      </w:r>
      <w:r w:rsidR="00567FCB">
        <w:rPr>
          <w:rFonts w:ascii="Times New Roman" w:hAnsi="Times New Roman" w:cs="Times New Roman"/>
          <w:sz w:val="20"/>
          <w:szCs w:val="20"/>
        </w:rPr>
        <w:t xml:space="preserve"> this</w:t>
      </w:r>
      <w:r w:rsidR="001501AA">
        <w:rPr>
          <w:rFonts w:ascii="Times New Roman" w:hAnsi="Times New Roman" w:cs="Times New Roman"/>
          <w:sz w:val="20"/>
          <w:szCs w:val="20"/>
        </w:rPr>
        <w:t xml:space="preserve"> study, of all the total</w:t>
      </w:r>
      <w:r>
        <w:rPr>
          <w:rFonts w:ascii="Times New Roman" w:hAnsi="Times New Roman" w:cs="Times New Roman"/>
          <w:sz w:val="20"/>
          <w:szCs w:val="20"/>
        </w:rPr>
        <w:t xml:space="preserve"> asphyxial deaths, suicidal</w:t>
      </w:r>
      <w:r w:rsidR="00D80C88">
        <w:rPr>
          <w:rFonts w:ascii="Times New Roman" w:hAnsi="Times New Roman" w:cs="Times New Roman"/>
          <w:sz w:val="20"/>
          <w:szCs w:val="20"/>
        </w:rPr>
        <w:t xml:space="preserve"> deaths was</w:t>
      </w:r>
      <w:r>
        <w:rPr>
          <w:rFonts w:ascii="Times New Roman" w:hAnsi="Times New Roman" w:cs="Times New Roman"/>
          <w:sz w:val="20"/>
          <w:szCs w:val="20"/>
        </w:rPr>
        <w:t xml:space="preserve"> found to be the highest, followed by accidental and homicidal deaths. </w:t>
      </w:r>
    </w:p>
    <w:p w:rsidR="001B2F85" w:rsidRDefault="001923BB" w:rsidP="002944F8">
      <w:pPr>
        <w:jc w:val="both"/>
        <w:rPr>
          <w:rFonts w:ascii="Times New Roman" w:hAnsi="Times New Roman" w:cs="Times New Roman"/>
          <w:sz w:val="20"/>
          <w:szCs w:val="20"/>
        </w:rPr>
      </w:pPr>
      <w:r w:rsidRPr="002944F8">
        <w:rPr>
          <w:rFonts w:ascii="Times New Roman" w:hAnsi="Times New Roman" w:cs="Times New Roman"/>
          <w:sz w:val="20"/>
          <w:szCs w:val="20"/>
        </w:rPr>
        <w:t>Hanging as the method of suicide, was found to be more prevalent among all suicidal deaths</w:t>
      </w:r>
      <w:r w:rsidR="00180E6A">
        <w:rPr>
          <w:rFonts w:ascii="Times New Roman" w:hAnsi="Times New Roman" w:cs="Times New Roman"/>
          <w:sz w:val="20"/>
          <w:szCs w:val="20"/>
        </w:rPr>
        <w:t>,</w:t>
      </w:r>
      <w:r w:rsidRPr="002944F8">
        <w:rPr>
          <w:rFonts w:ascii="Times New Roman" w:hAnsi="Times New Roman" w:cs="Times New Roman"/>
          <w:sz w:val="20"/>
          <w:szCs w:val="20"/>
        </w:rPr>
        <w:t xml:space="preserve"> the reason being it is painless, materials required are easily available, a wide range of ligatures can be used and has a very high mor</w:t>
      </w:r>
      <w:r w:rsidR="003021C5">
        <w:rPr>
          <w:rFonts w:ascii="Times New Roman" w:hAnsi="Times New Roman" w:cs="Times New Roman"/>
          <w:sz w:val="20"/>
          <w:szCs w:val="20"/>
        </w:rPr>
        <w:t xml:space="preserve">tality rate. </w:t>
      </w:r>
      <w:r w:rsidR="00A87DCA">
        <w:rPr>
          <w:rFonts w:ascii="Times New Roman" w:hAnsi="Times New Roman" w:cs="Times New Roman"/>
          <w:sz w:val="20"/>
          <w:szCs w:val="20"/>
        </w:rPr>
        <w:t>Out of the 43 cases of drowning, 42 were accidental and only 1 was homicidal in nature and a</w:t>
      </w:r>
      <w:r w:rsidR="003021C5">
        <w:rPr>
          <w:rFonts w:ascii="Times New Roman" w:hAnsi="Times New Roman" w:cs="Times New Roman"/>
          <w:sz w:val="20"/>
          <w:szCs w:val="20"/>
        </w:rPr>
        <w:t>ll the cases</w:t>
      </w:r>
      <w:r w:rsidRPr="002944F8">
        <w:rPr>
          <w:rFonts w:ascii="Times New Roman" w:hAnsi="Times New Roman" w:cs="Times New Roman"/>
          <w:sz w:val="20"/>
          <w:szCs w:val="20"/>
        </w:rPr>
        <w:t xml:space="preserve"> of strangulation and smothering</w:t>
      </w:r>
      <w:r w:rsidR="00A87DCA">
        <w:rPr>
          <w:rFonts w:ascii="Times New Roman" w:hAnsi="Times New Roman" w:cs="Times New Roman"/>
          <w:sz w:val="20"/>
          <w:szCs w:val="20"/>
        </w:rPr>
        <w:t xml:space="preserve"> in this study</w:t>
      </w:r>
      <w:r w:rsidRPr="002944F8">
        <w:rPr>
          <w:rFonts w:ascii="Times New Roman" w:hAnsi="Times New Roman" w:cs="Times New Roman"/>
          <w:sz w:val="20"/>
          <w:szCs w:val="20"/>
        </w:rPr>
        <w:t xml:space="preserve"> w</w:t>
      </w:r>
      <w:r w:rsidR="003021C5">
        <w:rPr>
          <w:rFonts w:ascii="Times New Roman" w:hAnsi="Times New Roman" w:cs="Times New Roman"/>
          <w:sz w:val="20"/>
          <w:szCs w:val="20"/>
        </w:rPr>
        <w:t>ere homicidal which</w:t>
      </w:r>
      <w:r w:rsidRPr="002944F8">
        <w:rPr>
          <w:rFonts w:ascii="Times New Roman" w:hAnsi="Times New Roman" w:cs="Times New Roman"/>
          <w:sz w:val="20"/>
          <w:szCs w:val="20"/>
        </w:rPr>
        <w:t xml:space="preserve"> is similar with the findings of </w:t>
      </w:r>
      <w:r w:rsidR="001501AA" w:rsidRPr="002944F8">
        <w:rPr>
          <w:rFonts w:ascii="Times New Roman" w:hAnsi="Times New Roman" w:cs="Times New Roman"/>
          <w:sz w:val="20"/>
          <w:szCs w:val="20"/>
        </w:rPr>
        <w:t>Lalwani S et al</w:t>
      </w:r>
      <w:r w:rsidR="001501AA">
        <w:rPr>
          <w:rFonts w:ascii="Times New Roman" w:hAnsi="Times New Roman" w:cs="Times New Roman"/>
          <w:sz w:val="20"/>
          <w:szCs w:val="20"/>
          <w:vertAlign w:val="superscript"/>
        </w:rPr>
        <w:t>5</w:t>
      </w:r>
      <w:r w:rsidR="001501AA">
        <w:rPr>
          <w:rFonts w:ascii="Times New Roman" w:hAnsi="Times New Roman" w:cs="Times New Roman"/>
          <w:sz w:val="20"/>
          <w:szCs w:val="20"/>
        </w:rPr>
        <w:t>,</w:t>
      </w:r>
      <w:r w:rsidR="001501AA" w:rsidRPr="001501AA">
        <w:rPr>
          <w:rFonts w:ascii="Times New Roman" w:hAnsi="Times New Roman" w:cs="Times New Roman"/>
          <w:sz w:val="20"/>
          <w:szCs w:val="20"/>
        </w:rPr>
        <w:t xml:space="preserve"> </w:t>
      </w:r>
      <w:r w:rsidR="001501AA" w:rsidRPr="002944F8">
        <w:rPr>
          <w:rFonts w:ascii="Times New Roman" w:hAnsi="Times New Roman" w:cs="Times New Roman"/>
          <w:sz w:val="20"/>
          <w:szCs w:val="20"/>
        </w:rPr>
        <w:t>Chaurasia N, Pandey SK et al</w:t>
      </w:r>
      <w:r w:rsidR="001501AA" w:rsidRPr="002944F8">
        <w:rPr>
          <w:rFonts w:ascii="Times New Roman" w:hAnsi="Times New Roman" w:cs="Times New Roman"/>
          <w:sz w:val="20"/>
          <w:szCs w:val="20"/>
          <w:vertAlign w:val="superscript"/>
        </w:rPr>
        <w:t>10</w:t>
      </w:r>
      <w:r w:rsidR="008614E0">
        <w:rPr>
          <w:rFonts w:ascii="Times New Roman" w:hAnsi="Times New Roman" w:cs="Times New Roman"/>
          <w:sz w:val="20"/>
          <w:szCs w:val="20"/>
        </w:rPr>
        <w:t xml:space="preserve">, </w:t>
      </w:r>
      <w:r w:rsidRPr="002944F8">
        <w:rPr>
          <w:rFonts w:ascii="Times New Roman" w:hAnsi="Times New Roman" w:cs="Times New Roman"/>
          <w:sz w:val="20"/>
          <w:szCs w:val="20"/>
        </w:rPr>
        <w:t>Davidson A, Marshall TK</w:t>
      </w:r>
      <w:r w:rsidR="001501AA">
        <w:rPr>
          <w:rFonts w:ascii="Times New Roman" w:hAnsi="Times New Roman" w:cs="Times New Roman"/>
          <w:sz w:val="20"/>
          <w:szCs w:val="20"/>
          <w:vertAlign w:val="superscript"/>
        </w:rPr>
        <w:t>16</w:t>
      </w:r>
      <w:r w:rsidRPr="002944F8">
        <w:rPr>
          <w:rFonts w:ascii="Times New Roman" w:hAnsi="Times New Roman" w:cs="Times New Roman"/>
          <w:sz w:val="20"/>
          <w:szCs w:val="20"/>
        </w:rPr>
        <w:t>, Majumder BC</w:t>
      </w:r>
      <w:r w:rsidR="001501AA">
        <w:rPr>
          <w:rFonts w:ascii="Times New Roman" w:hAnsi="Times New Roman" w:cs="Times New Roman"/>
          <w:sz w:val="20"/>
          <w:szCs w:val="20"/>
          <w:vertAlign w:val="superscript"/>
        </w:rPr>
        <w:t>17</w:t>
      </w:r>
      <w:r w:rsidRPr="002944F8">
        <w:rPr>
          <w:rFonts w:ascii="Times New Roman" w:hAnsi="Times New Roman" w:cs="Times New Roman"/>
          <w:sz w:val="20"/>
          <w:szCs w:val="20"/>
        </w:rPr>
        <w:t>, Azmak</w:t>
      </w:r>
      <w:r w:rsidR="001501AA">
        <w:rPr>
          <w:rFonts w:ascii="Times New Roman" w:hAnsi="Times New Roman" w:cs="Times New Roman"/>
          <w:sz w:val="20"/>
          <w:szCs w:val="20"/>
          <w:vertAlign w:val="superscript"/>
        </w:rPr>
        <w:t xml:space="preserve"> </w:t>
      </w:r>
      <w:r w:rsidR="001501AA">
        <w:rPr>
          <w:rFonts w:ascii="Times New Roman" w:hAnsi="Times New Roman" w:cs="Times New Roman"/>
          <w:sz w:val="20"/>
          <w:szCs w:val="20"/>
        </w:rPr>
        <w:t>D</w:t>
      </w:r>
      <w:r w:rsidR="001501AA">
        <w:rPr>
          <w:rFonts w:ascii="Times New Roman" w:hAnsi="Times New Roman" w:cs="Times New Roman"/>
          <w:sz w:val="20"/>
          <w:szCs w:val="20"/>
          <w:vertAlign w:val="superscript"/>
        </w:rPr>
        <w:t>18</w:t>
      </w:r>
      <w:r w:rsidRPr="002944F8">
        <w:rPr>
          <w:rFonts w:ascii="Times New Roman" w:hAnsi="Times New Roman" w:cs="Times New Roman"/>
          <w:sz w:val="20"/>
          <w:szCs w:val="20"/>
        </w:rPr>
        <w:t>, Kanchan T, Rastogi P et al</w:t>
      </w:r>
      <w:r w:rsidR="001501AA">
        <w:rPr>
          <w:rFonts w:ascii="Times New Roman" w:hAnsi="Times New Roman" w:cs="Times New Roman"/>
          <w:sz w:val="20"/>
          <w:szCs w:val="20"/>
          <w:vertAlign w:val="superscript"/>
        </w:rPr>
        <w:t>19</w:t>
      </w:r>
      <w:r w:rsidR="001501AA">
        <w:rPr>
          <w:rFonts w:ascii="Times New Roman" w:hAnsi="Times New Roman" w:cs="Times New Roman"/>
          <w:sz w:val="20"/>
          <w:szCs w:val="20"/>
        </w:rPr>
        <w:t>.</w:t>
      </w:r>
      <w:r w:rsidR="00A87DCA">
        <w:rPr>
          <w:rFonts w:ascii="Times New Roman" w:hAnsi="Times New Roman" w:cs="Times New Roman"/>
          <w:sz w:val="20"/>
          <w:szCs w:val="20"/>
        </w:rPr>
        <w:t xml:space="preserve"> </w:t>
      </w:r>
    </w:p>
    <w:p w:rsidR="001501AA" w:rsidRPr="00A87DCA" w:rsidRDefault="001501AA" w:rsidP="00DE12C0">
      <w:pPr>
        <w:spacing w:after="0"/>
        <w:rPr>
          <w:rFonts w:ascii="Times New Roman" w:hAnsi="Times New Roman" w:cs="Times New Roman"/>
          <w:sz w:val="20"/>
          <w:szCs w:val="20"/>
        </w:rPr>
      </w:pPr>
      <w:r w:rsidRPr="008760A5">
        <w:rPr>
          <w:rFonts w:ascii="Times New Roman" w:hAnsi="Times New Roman" w:cs="Times New Roman"/>
          <w:b/>
          <w:sz w:val="28"/>
          <w:szCs w:val="20"/>
        </w:rPr>
        <w:t>CONCLUSION</w:t>
      </w:r>
    </w:p>
    <w:p w:rsidR="00B0163B" w:rsidRDefault="001501AA" w:rsidP="00DE12C0">
      <w:pPr>
        <w:spacing w:after="0" w:line="240" w:lineRule="auto"/>
        <w:jc w:val="both"/>
        <w:rPr>
          <w:rFonts w:ascii="Times New Roman" w:hAnsi="Times New Roman" w:cs="Times New Roman"/>
          <w:b/>
          <w:sz w:val="28"/>
          <w:szCs w:val="28"/>
        </w:rPr>
      </w:pPr>
      <w:r>
        <w:rPr>
          <w:rFonts w:ascii="Times New Roman" w:hAnsi="Times New Roman" w:cs="Times New Roman"/>
          <w:sz w:val="20"/>
          <w:szCs w:val="20"/>
        </w:rPr>
        <w:t xml:space="preserve">Medico legal autopsies </w:t>
      </w:r>
      <w:r w:rsidR="00CD5EF3">
        <w:rPr>
          <w:rFonts w:ascii="Times New Roman" w:hAnsi="Times New Roman" w:cs="Times New Roman"/>
          <w:sz w:val="20"/>
          <w:szCs w:val="20"/>
        </w:rPr>
        <w:t xml:space="preserve">not only give the cause and manner of death but also </w:t>
      </w:r>
      <w:r>
        <w:rPr>
          <w:rFonts w:ascii="Times New Roman" w:hAnsi="Times New Roman" w:cs="Times New Roman"/>
          <w:sz w:val="20"/>
          <w:szCs w:val="20"/>
        </w:rPr>
        <w:t>provide an important statistical data related t</w:t>
      </w:r>
      <w:r w:rsidR="00CD5EF3">
        <w:rPr>
          <w:rFonts w:ascii="Times New Roman" w:hAnsi="Times New Roman" w:cs="Times New Roman"/>
          <w:sz w:val="20"/>
          <w:szCs w:val="20"/>
        </w:rPr>
        <w:t xml:space="preserve">o legal incidents in the region. </w:t>
      </w:r>
      <w:r w:rsidR="008A7834">
        <w:rPr>
          <w:rFonts w:ascii="Times New Roman" w:hAnsi="Times New Roman" w:cs="Times New Roman"/>
          <w:sz w:val="20"/>
          <w:szCs w:val="20"/>
        </w:rPr>
        <w:t>Asphyxial deaths accounted for 14.4% of the total studied cases. The most common asphyxial death is hanging followed by drowning. Males were commonly involved than females. Most common age group</w:t>
      </w:r>
      <w:r w:rsidR="008760A5">
        <w:rPr>
          <w:rFonts w:ascii="Times New Roman" w:hAnsi="Times New Roman" w:cs="Times New Roman"/>
          <w:sz w:val="20"/>
          <w:szCs w:val="20"/>
        </w:rPr>
        <w:t xml:space="preserve"> for such type of death</w:t>
      </w:r>
      <w:r w:rsidR="008A7834">
        <w:rPr>
          <w:rFonts w:ascii="Times New Roman" w:hAnsi="Times New Roman" w:cs="Times New Roman"/>
          <w:sz w:val="20"/>
          <w:szCs w:val="20"/>
        </w:rPr>
        <w:t xml:space="preserve"> is 20-30 years. </w:t>
      </w:r>
      <w:r w:rsidR="008760A5">
        <w:rPr>
          <w:rFonts w:ascii="Times New Roman" w:hAnsi="Times New Roman" w:cs="Times New Roman"/>
          <w:sz w:val="20"/>
          <w:szCs w:val="20"/>
        </w:rPr>
        <w:t xml:space="preserve">Hanging type </w:t>
      </w:r>
      <w:r w:rsidR="008A7834">
        <w:rPr>
          <w:rFonts w:ascii="Times New Roman" w:hAnsi="Times New Roman" w:cs="Times New Roman"/>
          <w:sz w:val="20"/>
          <w:szCs w:val="20"/>
        </w:rPr>
        <w:t>of death was</w:t>
      </w:r>
      <w:r w:rsidR="00180E6A">
        <w:rPr>
          <w:rFonts w:ascii="Times New Roman" w:hAnsi="Times New Roman" w:cs="Times New Roman"/>
          <w:sz w:val="20"/>
          <w:szCs w:val="20"/>
        </w:rPr>
        <w:t xml:space="preserve"> generally </w:t>
      </w:r>
      <w:r w:rsidR="008760A5">
        <w:rPr>
          <w:rFonts w:ascii="Times New Roman" w:hAnsi="Times New Roman" w:cs="Times New Roman"/>
          <w:sz w:val="20"/>
          <w:szCs w:val="20"/>
        </w:rPr>
        <w:t xml:space="preserve">found to be  of suicidal manner </w:t>
      </w:r>
      <w:r w:rsidR="008A7834">
        <w:rPr>
          <w:rFonts w:ascii="Times New Roman" w:hAnsi="Times New Roman" w:cs="Times New Roman"/>
          <w:sz w:val="20"/>
          <w:szCs w:val="20"/>
        </w:rPr>
        <w:t xml:space="preserve">. </w:t>
      </w:r>
      <w:r w:rsidR="00CD5EF3">
        <w:rPr>
          <w:rFonts w:ascii="Times New Roman" w:hAnsi="Times New Roman" w:cs="Times New Roman"/>
          <w:sz w:val="20"/>
          <w:szCs w:val="20"/>
        </w:rPr>
        <w:t xml:space="preserve">Suicidal deaths as a result of hanging and accidental deaths as a result of drowning </w:t>
      </w:r>
      <w:r w:rsidR="008A7834">
        <w:rPr>
          <w:rFonts w:ascii="Times New Roman" w:hAnsi="Times New Roman" w:cs="Times New Roman"/>
          <w:sz w:val="20"/>
          <w:szCs w:val="20"/>
        </w:rPr>
        <w:t>seems to be the major contributing causes of asphyxial death</w:t>
      </w:r>
      <w:r w:rsidR="00180E6A">
        <w:rPr>
          <w:rFonts w:ascii="Times New Roman" w:hAnsi="Times New Roman" w:cs="Times New Roman"/>
          <w:sz w:val="20"/>
          <w:szCs w:val="20"/>
        </w:rPr>
        <w:t xml:space="preserve">s. Both these manner of deaths </w:t>
      </w:r>
      <w:r w:rsidR="008A7834">
        <w:rPr>
          <w:rFonts w:ascii="Times New Roman" w:hAnsi="Times New Roman" w:cs="Times New Roman"/>
          <w:sz w:val="20"/>
          <w:szCs w:val="20"/>
        </w:rPr>
        <w:t>indicates frustration and carelessness on the part of population. Measures to improve in the fields of education, health, increase in employment opportunities are expected to lessen the existing stress and strain of the society.</w:t>
      </w:r>
      <w:r w:rsidR="00B0163B" w:rsidRPr="00B0163B">
        <w:rPr>
          <w:rFonts w:ascii="Times New Roman" w:hAnsi="Times New Roman" w:cs="Times New Roman"/>
          <w:b/>
          <w:sz w:val="28"/>
          <w:szCs w:val="28"/>
        </w:rPr>
        <w:t xml:space="preserve"> </w:t>
      </w:r>
    </w:p>
    <w:p w:rsidR="00B0163B" w:rsidRDefault="00B0163B" w:rsidP="00B0163B">
      <w:pPr>
        <w:spacing w:after="0" w:line="240" w:lineRule="auto"/>
        <w:jc w:val="both"/>
        <w:rPr>
          <w:rFonts w:ascii="Times New Roman" w:hAnsi="Times New Roman" w:cs="Times New Roman"/>
          <w:b/>
          <w:sz w:val="28"/>
          <w:szCs w:val="28"/>
        </w:rPr>
      </w:pPr>
    </w:p>
    <w:p w:rsidR="00B0163B" w:rsidRDefault="00B0163B" w:rsidP="00B016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Conflict of interest:</w:t>
      </w:r>
      <w:r w:rsidR="00025D21">
        <w:rPr>
          <w:rFonts w:ascii="Times New Roman" w:hAnsi="Times New Roman" w:cs="Times New Roman"/>
          <w:b/>
          <w:sz w:val="28"/>
          <w:szCs w:val="28"/>
        </w:rPr>
        <w:t xml:space="preserve"> </w:t>
      </w:r>
      <w:r>
        <w:rPr>
          <w:rFonts w:ascii="Times New Roman" w:hAnsi="Times New Roman" w:cs="Times New Roman"/>
          <w:sz w:val="20"/>
          <w:szCs w:val="20"/>
        </w:rPr>
        <w:t>Non</w:t>
      </w:r>
      <w:r>
        <w:rPr>
          <w:rFonts w:ascii="Times New Roman" w:hAnsi="Times New Roman" w:cs="Times New Roman"/>
          <w:b/>
          <w:sz w:val="28"/>
          <w:szCs w:val="28"/>
        </w:rPr>
        <w:t xml:space="preserve"> </w:t>
      </w:r>
    </w:p>
    <w:p w:rsidR="00B0163B" w:rsidRDefault="00B0163B" w:rsidP="00B016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B0163B" w:rsidRDefault="00B0163B" w:rsidP="00B016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Contribution of authors: </w:t>
      </w:r>
    </w:p>
    <w:p w:rsidR="00B0163B" w:rsidRDefault="00B0163B" w:rsidP="00B016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We declare that this work was done by the author(s) in this article and all liabilities pertaining to </w:t>
      </w:r>
      <w:r w:rsidR="00025D21">
        <w:rPr>
          <w:rFonts w:ascii="Times New Roman" w:hAnsi="Times New Roman" w:cs="Times New Roman"/>
          <w:sz w:val="20"/>
          <w:szCs w:val="20"/>
        </w:rPr>
        <w:t>claim</w:t>
      </w:r>
      <w:r>
        <w:rPr>
          <w:rFonts w:ascii="Times New Roman" w:hAnsi="Times New Roman" w:cs="Times New Roman"/>
          <w:sz w:val="20"/>
          <w:szCs w:val="20"/>
        </w:rPr>
        <w:t xml:space="preserve"> relating to the content of this article will be borne by the authors. </w:t>
      </w:r>
    </w:p>
    <w:p w:rsidR="00B0163B" w:rsidRDefault="00B0163B" w:rsidP="00B0163B">
      <w:pPr>
        <w:spacing w:after="0" w:line="240" w:lineRule="auto"/>
        <w:jc w:val="both"/>
        <w:rPr>
          <w:rFonts w:ascii="Times New Roman" w:hAnsi="Times New Roman" w:cs="Times New Roman"/>
          <w:b/>
          <w:sz w:val="28"/>
          <w:szCs w:val="28"/>
        </w:rPr>
      </w:pPr>
    </w:p>
    <w:p w:rsidR="00B0163B" w:rsidRDefault="00B0163B" w:rsidP="00B016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Ethical clearance: </w:t>
      </w:r>
      <w:r>
        <w:rPr>
          <w:rFonts w:ascii="Times New Roman" w:hAnsi="Times New Roman" w:cs="Times New Roman"/>
          <w:sz w:val="20"/>
          <w:szCs w:val="20"/>
        </w:rPr>
        <w:t>the study is carried out by collection of data from past records</w:t>
      </w:r>
      <w:r>
        <w:rPr>
          <w:rFonts w:ascii="Times New Roman" w:hAnsi="Times New Roman" w:cs="Times New Roman"/>
          <w:b/>
          <w:sz w:val="28"/>
          <w:szCs w:val="28"/>
        </w:rPr>
        <w:t xml:space="preserve">  </w:t>
      </w:r>
    </w:p>
    <w:p w:rsidR="00B0163B" w:rsidRDefault="00B0163B" w:rsidP="00B0163B">
      <w:pPr>
        <w:spacing w:after="0" w:line="240" w:lineRule="auto"/>
        <w:jc w:val="both"/>
        <w:rPr>
          <w:rFonts w:ascii="Times New Roman" w:hAnsi="Times New Roman" w:cs="Times New Roman"/>
          <w:b/>
          <w:sz w:val="18"/>
          <w:szCs w:val="18"/>
        </w:rPr>
      </w:pPr>
    </w:p>
    <w:p w:rsidR="00B0163B" w:rsidRDefault="00B0163B" w:rsidP="00B016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p>
    <w:p w:rsidR="00B0163B" w:rsidRPr="00B0163B" w:rsidRDefault="00025D21" w:rsidP="00A35836">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Mant KA</w:t>
      </w:r>
      <w:r w:rsidR="00B0163B" w:rsidRPr="00B0163B">
        <w:rPr>
          <w:rFonts w:ascii="Times New Roman" w:hAnsi="Times New Roman" w:cs="Times New Roman"/>
          <w:sz w:val="20"/>
          <w:szCs w:val="20"/>
        </w:rPr>
        <w:t>: Taylor’s Principal and Practise of Medical Jurisprudence – Mechanical asphyxia, 13</w:t>
      </w:r>
      <w:r w:rsidR="00B0163B" w:rsidRPr="00B0163B">
        <w:rPr>
          <w:rFonts w:ascii="Times New Roman" w:hAnsi="Times New Roman" w:cs="Times New Roman"/>
          <w:sz w:val="20"/>
          <w:szCs w:val="20"/>
          <w:vertAlign w:val="superscript"/>
        </w:rPr>
        <w:t>th</w:t>
      </w:r>
      <w:r w:rsidR="00B0163B" w:rsidRPr="00B0163B">
        <w:rPr>
          <w:rFonts w:ascii="Times New Roman" w:hAnsi="Times New Roman" w:cs="Times New Roman"/>
          <w:sz w:val="20"/>
          <w:szCs w:val="20"/>
        </w:rPr>
        <w:t xml:space="preserve"> edition, Churchill Livingstone; 1984; 282.</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Franklin CA: Modi’s text book of Medical Jurisprudence and Toxicology, 21</w:t>
      </w:r>
      <w:r w:rsidRPr="00B0163B">
        <w:rPr>
          <w:rFonts w:ascii="Times New Roman" w:hAnsi="Times New Roman" w:cs="Times New Roman"/>
          <w:sz w:val="20"/>
          <w:szCs w:val="20"/>
          <w:vertAlign w:val="superscript"/>
        </w:rPr>
        <w:t>st</w:t>
      </w:r>
      <w:r w:rsidRPr="00B0163B">
        <w:rPr>
          <w:rFonts w:ascii="Times New Roman" w:hAnsi="Times New Roman" w:cs="Times New Roman"/>
          <w:sz w:val="20"/>
          <w:szCs w:val="20"/>
        </w:rPr>
        <w:t xml:space="preserve"> edition, N.M. Tripathi Private Limited Bombay. 1988; 188-220.</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Saukko P, Knight’s Forensic Pathology.3</w:t>
      </w:r>
      <w:r w:rsidRPr="00B0163B">
        <w:rPr>
          <w:rFonts w:ascii="Times New Roman" w:hAnsi="Times New Roman" w:cs="Times New Roman"/>
          <w:sz w:val="20"/>
          <w:szCs w:val="20"/>
          <w:vertAlign w:val="superscript"/>
        </w:rPr>
        <w:t>rd</w:t>
      </w:r>
      <w:r w:rsidRPr="00B0163B">
        <w:rPr>
          <w:rFonts w:ascii="Times New Roman" w:hAnsi="Times New Roman" w:cs="Times New Roman"/>
          <w:sz w:val="20"/>
          <w:szCs w:val="20"/>
        </w:rPr>
        <w:t xml:space="preserve"> ed.London: Arnold Publisher; 2004.p 352-411.</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Gargi J, Gorea RK, Chanana A, et al. iolent asphyxia deaths- A six year study. Journal of Indian Academy of Forensic Med. 1992; 3: 171-6p</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Ghadge MR et al. Int J Res Med Sci. 2016 Sept; 4(9): 4078-4083.</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Gupta Ved Prakash, Mahanta P. A Study of Asphyxial Death Cases in Medico-legal Autopsy. IJHRMLP. July 2016; 02(02): 86-89.</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Lalwani S, Sharma GASK et al. Pattern of violent asphyxia deaths in South Delhi: A retrospective study. Indian Medical Gazette 2004; 258-61.</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 xml:space="preserve">DK Vadgama et al. Study of </w:t>
      </w:r>
      <w:r w:rsidR="00A80EBD">
        <w:rPr>
          <w:rFonts w:ascii="Times New Roman" w:hAnsi="Times New Roman" w:cs="Times New Roman"/>
          <w:sz w:val="20"/>
          <w:szCs w:val="20"/>
        </w:rPr>
        <w:t>V</w:t>
      </w:r>
      <w:r w:rsidRPr="00B0163B">
        <w:rPr>
          <w:rFonts w:ascii="Times New Roman" w:hAnsi="Times New Roman" w:cs="Times New Roman"/>
          <w:sz w:val="20"/>
          <w:szCs w:val="20"/>
        </w:rPr>
        <w:t>iolent asphyxia deaths in Rajkot Region. Indian Journal of Forensic and Community Medicine. 2016 October – December; 3(4): 254-256</w:t>
      </w:r>
    </w:p>
    <w:p w:rsidR="00B0163B" w:rsidRPr="00B0163B" w:rsidRDefault="00B0163B" w:rsidP="00A35836">
      <w:pPr>
        <w:pStyle w:val="ListParagraph"/>
        <w:numPr>
          <w:ilvl w:val="0"/>
          <w:numId w:val="3"/>
        </w:numPr>
        <w:jc w:val="both"/>
        <w:rPr>
          <w:rFonts w:ascii="Times New Roman" w:hAnsi="Times New Roman" w:cs="Times New Roman"/>
          <w:sz w:val="20"/>
          <w:szCs w:val="20"/>
        </w:rPr>
      </w:pPr>
      <w:r w:rsidRPr="00B0163B">
        <w:rPr>
          <w:rFonts w:ascii="Times New Roman" w:hAnsi="Times New Roman" w:cs="Times New Roman"/>
          <w:sz w:val="20"/>
          <w:szCs w:val="20"/>
        </w:rPr>
        <w:t>Momochand A, Devi TM et al. Violent asphyxia deaths in Imphal. JFMT 1998; 15(1): 60-64.</w:t>
      </w:r>
    </w:p>
    <w:p w:rsidR="00A35836" w:rsidRPr="00A35836" w:rsidRDefault="00B0163B" w:rsidP="00A35836">
      <w:pPr>
        <w:pStyle w:val="ListParagraph"/>
        <w:numPr>
          <w:ilvl w:val="0"/>
          <w:numId w:val="3"/>
        </w:numPr>
        <w:jc w:val="both"/>
        <w:rPr>
          <w:rFonts w:ascii="Times New Roman" w:hAnsi="Times New Roman" w:cs="Times New Roman"/>
          <w:sz w:val="20"/>
          <w:szCs w:val="20"/>
        </w:rPr>
      </w:pPr>
      <w:r w:rsidRPr="00A35836">
        <w:rPr>
          <w:rFonts w:ascii="Times New Roman" w:hAnsi="Times New Roman" w:cs="Times New Roman"/>
          <w:sz w:val="20"/>
          <w:szCs w:val="20"/>
        </w:rPr>
        <w:t xml:space="preserve">Chaurasia N, Pandey SK, Mishra A. An Epidemiological Study of Violent Asphyxial Death in Varanas </w:t>
      </w:r>
    </w:p>
    <w:p w:rsidR="00B0163B" w:rsidRPr="00A35836" w:rsidRDefault="00B0163B" w:rsidP="00A35836">
      <w:pPr>
        <w:pStyle w:val="ListParagraph"/>
        <w:ind w:left="360"/>
        <w:jc w:val="both"/>
        <w:rPr>
          <w:rFonts w:ascii="Times New Roman" w:hAnsi="Times New Roman" w:cs="Times New Roman"/>
          <w:sz w:val="20"/>
          <w:szCs w:val="20"/>
        </w:rPr>
      </w:pPr>
      <w:r w:rsidRPr="00A35836">
        <w:rPr>
          <w:rFonts w:ascii="Times New Roman" w:hAnsi="Times New Roman" w:cs="Times New Roman"/>
          <w:sz w:val="20"/>
          <w:szCs w:val="20"/>
        </w:rPr>
        <w:t>Region</w:t>
      </w:r>
      <w:r w:rsidR="00E4118D" w:rsidRPr="00A35836">
        <w:rPr>
          <w:rFonts w:ascii="Times New Roman" w:hAnsi="Times New Roman" w:cs="Times New Roman"/>
          <w:sz w:val="20"/>
          <w:szCs w:val="20"/>
        </w:rPr>
        <w:t xml:space="preserve"> (INDIA</w:t>
      </w:r>
      <w:r w:rsidRPr="00A35836">
        <w:rPr>
          <w:rFonts w:ascii="Times New Roman" w:hAnsi="Times New Roman" w:cs="Times New Roman"/>
          <w:sz w:val="20"/>
          <w:szCs w:val="20"/>
        </w:rPr>
        <w:t>): a killing tool. J Forensic Res 2012; 3: 174.</w:t>
      </w:r>
    </w:p>
    <w:p w:rsidR="00A35836" w:rsidRPr="00A35836" w:rsidRDefault="00B0163B" w:rsidP="00A35836">
      <w:pPr>
        <w:pStyle w:val="ListParagraph"/>
        <w:numPr>
          <w:ilvl w:val="0"/>
          <w:numId w:val="3"/>
        </w:numPr>
        <w:jc w:val="both"/>
        <w:rPr>
          <w:rFonts w:ascii="Times New Roman" w:hAnsi="Times New Roman" w:cs="Times New Roman"/>
          <w:sz w:val="20"/>
          <w:szCs w:val="20"/>
        </w:rPr>
      </w:pPr>
      <w:r w:rsidRPr="00A35836">
        <w:rPr>
          <w:rFonts w:ascii="Times New Roman" w:hAnsi="Times New Roman" w:cs="Times New Roman"/>
          <w:sz w:val="20"/>
          <w:szCs w:val="20"/>
        </w:rPr>
        <w:t xml:space="preserve">Reddy SP, kumar RR, Rudramurthy. Asphyxial deaths at District Hospital, Tumkur A Retrospective Study. </w:t>
      </w:r>
    </w:p>
    <w:p w:rsidR="00B0163B" w:rsidRDefault="00B0163B" w:rsidP="00A35836">
      <w:pPr>
        <w:pStyle w:val="ListParagraph"/>
        <w:ind w:left="360"/>
        <w:jc w:val="both"/>
        <w:rPr>
          <w:rFonts w:ascii="Times New Roman" w:hAnsi="Times New Roman" w:cs="Times New Roman"/>
          <w:sz w:val="20"/>
          <w:szCs w:val="20"/>
        </w:rPr>
      </w:pPr>
      <w:r w:rsidRPr="00A35836">
        <w:rPr>
          <w:rFonts w:ascii="Times New Roman" w:hAnsi="Times New Roman" w:cs="Times New Roman"/>
          <w:sz w:val="20"/>
          <w:szCs w:val="20"/>
        </w:rPr>
        <w:t>J Indian Acad Forensic Med. April-June 2012; 34(2): 146-147.</w:t>
      </w:r>
    </w:p>
    <w:p w:rsidR="00A35836" w:rsidRPr="00A35836" w:rsidRDefault="00A35836" w:rsidP="00A35836">
      <w:pPr>
        <w:jc w:val="both"/>
        <w:rPr>
          <w:rFonts w:ascii="Times New Roman" w:hAnsi="Times New Roman" w:cs="Times New Roman"/>
          <w:sz w:val="20"/>
          <w:szCs w:val="20"/>
        </w:rPr>
      </w:pPr>
    </w:p>
    <w:p w:rsidR="00A35836" w:rsidRDefault="00A35836" w:rsidP="00A35836">
      <w:pPr>
        <w:spacing w:after="0"/>
        <w:jc w:val="right"/>
        <w:rPr>
          <w:rFonts w:ascii="Times New Roman" w:hAnsi="Times New Roman" w:cs="Times New Roman"/>
          <w:sz w:val="20"/>
          <w:szCs w:val="18"/>
        </w:rPr>
      </w:pPr>
      <w:r w:rsidRPr="00A35836">
        <w:rPr>
          <w:rFonts w:ascii="Times New Roman" w:hAnsi="Times New Roman" w:cs="Times New Roman"/>
          <w:sz w:val="20"/>
          <w:szCs w:val="18"/>
        </w:rPr>
        <w:lastRenderedPageBreak/>
        <w:t xml:space="preserve">                 </w:t>
      </w:r>
      <w:r w:rsidRPr="00A35836">
        <w:rPr>
          <w:rFonts w:ascii="Times New Roman" w:hAnsi="Times New Roman" w:cs="Times New Roman"/>
          <w:sz w:val="20"/>
          <w:szCs w:val="20"/>
        </w:rPr>
        <w:t>Study of Violent Asphyxial Death</w:t>
      </w:r>
      <w:r w:rsidRPr="00A35836">
        <w:rPr>
          <w:rFonts w:ascii="Times New Roman" w:hAnsi="Times New Roman" w:cs="Times New Roman"/>
          <w:sz w:val="20"/>
          <w:szCs w:val="18"/>
        </w:rPr>
        <w:t xml:space="preserve"> </w:t>
      </w:r>
    </w:p>
    <w:p w:rsidR="00A35836" w:rsidRPr="00A35836" w:rsidRDefault="00A35836" w:rsidP="00A35836">
      <w:pPr>
        <w:spacing w:after="0"/>
        <w:jc w:val="right"/>
        <w:rPr>
          <w:rFonts w:ascii="Times New Roman" w:hAnsi="Times New Roman" w:cs="Times New Roman"/>
          <w:sz w:val="20"/>
          <w:szCs w:val="18"/>
        </w:rPr>
      </w:pPr>
    </w:p>
    <w:p w:rsidR="00A35836" w:rsidRPr="00A35836" w:rsidRDefault="00B0163B" w:rsidP="00A35836">
      <w:pPr>
        <w:pStyle w:val="ListParagraph"/>
        <w:numPr>
          <w:ilvl w:val="0"/>
          <w:numId w:val="3"/>
        </w:numPr>
        <w:spacing w:after="0"/>
        <w:jc w:val="both"/>
        <w:rPr>
          <w:rFonts w:ascii="Times New Roman" w:hAnsi="Times New Roman" w:cs="Times New Roman"/>
          <w:sz w:val="20"/>
          <w:szCs w:val="20"/>
        </w:rPr>
      </w:pPr>
      <w:r w:rsidRPr="00A35836">
        <w:rPr>
          <w:rFonts w:ascii="Times New Roman" w:hAnsi="Times New Roman" w:cs="Times New Roman"/>
          <w:sz w:val="20"/>
          <w:szCs w:val="20"/>
        </w:rPr>
        <w:t>Bakkannavar et al. Victimo- Epidemiological Profile of Violent Asphyxial Deaths in Manipal, Karnataka.</w:t>
      </w:r>
      <w:r w:rsidR="008B55A1" w:rsidRPr="00A35836">
        <w:rPr>
          <w:rFonts w:ascii="Times New Roman" w:hAnsi="Times New Roman" w:cs="Times New Roman"/>
          <w:sz w:val="20"/>
          <w:szCs w:val="20"/>
        </w:rPr>
        <w:t xml:space="preserve"> </w:t>
      </w:r>
    </w:p>
    <w:p w:rsidR="00B0163B" w:rsidRPr="00A35836" w:rsidRDefault="008B55A1" w:rsidP="00A35836">
      <w:pPr>
        <w:pStyle w:val="ListParagraph"/>
        <w:spacing w:after="0"/>
        <w:ind w:left="360"/>
        <w:jc w:val="both"/>
        <w:rPr>
          <w:rFonts w:ascii="Times New Roman" w:hAnsi="Times New Roman" w:cs="Times New Roman"/>
          <w:sz w:val="20"/>
          <w:szCs w:val="20"/>
        </w:rPr>
      </w:pPr>
      <w:r w:rsidRPr="00A35836">
        <w:rPr>
          <w:rFonts w:ascii="Times New Roman" w:hAnsi="Times New Roman" w:cs="Times New Roman"/>
          <w:sz w:val="20"/>
          <w:szCs w:val="20"/>
        </w:rPr>
        <w:t>Indian Journal of Forensic and</w:t>
      </w:r>
      <w:r w:rsidR="00B0163B" w:rsidRPr="00A35836">
        <w:rPr>
          <w:rFonts w:ascii="Times New Roman" w:hAnsi="Times New Roman" w:cs="Times New Roman"/>
          <w:sz w:val="20"/>
          <w:szCs w:val="20"/>
        </w:rPr>
        <w:t xml:space="preserve"> Community Medicine, January- March 2015; 2(1): 29-34.</w:t>
      </w:r>
    </w:p>
    <w:p w:rsidR="00B0163B" w:rsidRPr="00A35836" w:rsidRDefault="008B55A1" w:rsidP="00A35836">
      <w:pPr>
        <w:pStyle w:val="ListParagraph"/>
        <w:numPr>
          <w:ilvl w:val="0"/>
          <w:numId w:val="3"/>
        </w:numPr>
        <w:jc w:val="both"/>
        <w:rPr>
          <w:rFonts w:ascii="Times New Roman" w:hAnsi="Times New Roman" w:cs="Times New Roman"/>
          <w:sz w:val="20"/>
          <w:szCs w:val="20"/>
        </w:rPr>
      </w:pPr>
      <w:r w:rsidRPr="00A35836">
        <w:rPr>
          <w:rFonts w:ascii="Times New Roman" w:hAnsi="Times New Roman" w:cs="Times New Roman"/>
          <w:sz w:val="20"/>
          <w:szCs w:val="20"/>
        </w:rPr>
        <w:t>Firoz Ahmed, Manoj Kumar Singha</w:t>
      </w:r>
      <w:r w:rsidR="00B0163B" w:rsidRPr="00A35836">
        <w:rPr>
          <w:rFonts w:ascii="Times New Roman" w:hAnsi="Times New Roman" w:cs="Times New Roman"/>
          <w:sz w:val="20"/>
          <w:szCs w:val="20"/>
        </w:rPr>
        <w:t xml:space="preserve"> Recent Trends of Violent Asphyxial Deaths </w:t>
      </w:r>
      <w:r w:rsidRPr="00A35836">
        <w:rPr>
          <w:rFonts w:ascii="Times New Roman" w:hAnsi="Times New Roman" w:cs="Times New Roman"/>
          <w:sz w:val="20"/>
          <w:szCs w:val="20"/>
        </w:rPr>
        <w:t>in Barpeta, Assam. RRJoT. 2017;</w:t>
      </w:r>
      <w:r w:rsidR="00B0163B" w:rsidRPr="00A35836">
        <w:rPr>
          <w:rFonts w:ascii="Times New Roman" w:hAnsi="Times New Roman" w:cs="Times New Roman"/>
          <w:sz w:val="20"/>
          <w:szCs w:val="20"/>
        </w:rPr>
        <w:t>1-5p.</w:t>
      </w:r>
    </w:p>
    <w:p w:rsidR="00A35836" w:rsidRPr="00A35836" w:rsidRDefault="00B0163B" w:rsidP="00A35836">
      <w:pPr>
        <w:pStyle w:val="ListParagraph"/>
        <w:numPr>
          <w:ilvl w:val="0"/>
          <w:numId w:val="3"/>
        </w:numPr>
        <w:jc w:val="both"/>
        <w:rPr>
          <w:rFonts w:ascii="Times New Roman" w:hAnsi="Times New Roman" w:cs="Times New Roman"/>
          <w:sz w:val="20"/>
          <w:szCs w:val="20"/>
        </w:rPr>
      </w:pPr>
      <w:r w:rsidRPr="00A35836">
        <w:rPr>
          <w:rFonts w:ascii="Times New Roman" w:hAnsi="Times New Roman" w:cs="Times New Roman"/>
          <w:sz w:val="20"/>
          <w:szCs w:val="20"/>
        </w:rPr>
        <w:t xml:space="preserve">Vijayakumari N. Suicidal Hnging: A prospective Study. J Indian Acad Forensic Med.October – December </w:t>
      </w:r>
    </w:p>
    <w:p w:rsidR="00B0163B" w:rsidRPr="00A35836" w:rsidRDefault="00B0163B" w:rsidP="00A35836">
      <w:pPr>
        <w:pStyle w:val="ListParagraph"/>
        <w:ind w:left="360"/>
        <w:jc w:val="both"/>
        <w:rPr>
          <w:rFonts w:ascii="Times New Roman" w:hAnsi="Times New Roman" w:cs="Times New Roman"/>
          <w:sz w:val="20"/>
          <w:szCs w:val="20"/>
        </w:rPr>
      </w:pPr>
      <w:r w:rsidRPr="00A35836">
        <w:rPr>
          <w:rFonts w:ascii="Times New Roman" w:hAnsi="Times New Roman" w:cs="Times New Roman"/>
          <w:sz w:val="20"/>
          <w:szCs w:val="20"/>
        </w:rPr>
        <w:t>2011; 35: 355.</w:t>
      </w:r>
    </w:p>
    <w:p w:rsidR="00A35836" w:rsidRPr="00A35836" w:rsidRDefault="00B0163B" w:rsidP="00A35836">
      <w:pPr>
        <w:pStyle w:val="ListParagraph"/>
        <w:numPr>
          <w:ilvl w:val="0"/>
          <w:numId w:val="3"/>
        </w:numPr>
        <w:jc w:val="both"/>
        <w:rPr>
          <w:rFonts w:ascii="Times New Roman" w:hAnsi="Times New Roman" w:cs="Times New Roman"/>
          <w:sz w:val="20"/>
          <w:szCs w:val="20"/>
        </w:rPr>
      </w:pPr>
      <w:r w:rsidRPr="00A35836">
        <w:rPr>
          <w:rFonts w:ascii="Times New Roman" w:hAnsi="Times New Roman" w:cs="Times New Roman"/>
          <w:sz w:val="20"/>
          <w:szCs w:val="20"/>
        </w:rPr>
        <w:t xml:space="preserve">Sharma BR, Harish D, Sharma A, Sharma S. Singh H. Injuries to Neck Structures in Deaths Due to </w:t>
      </w:r>
    </w:p>
    <w:p w:rsidR="00B0163B" w:rsidRPr="00A35836" w:rsidRDefault="00B0163B" w:rsidP="00A35836">
      <w:pPr>
        <w:pStyle w:val="ListParagraph"/>
        <w:spacing w:after="0"/>
        <w:ind w:left="360"/>
        <w:jc w:val="both"/>
        <w:rPr>
          <w:rFonts w:ascii="Times New Roman" w:hAnsi="Times New Roman" w:cs="Times New Roman"/>
          <w:sz w:val="20"/>
          <w:szCs w:val="20"/>
        </w:rPr>
      </w:pPr>
      <w:r w:rsidRPr="00A35836">
        <w:rPr>
          <w:rFonts w:ascii="Times New Roman" w:hAnsi="Times New Roman" w:cs="Times New Roman"/>
          <w:sz w:val="20"/>
          <w:szCs w:val="20"/>
        </w:rPr>
        <w:t>Constriction of Neck, with a special Reference to Hanging.</w:t>
      </w:r>
      <w:r w:rsidR="008B55A1" w:rsidRPr="00A35836">
        <w:rPr>
          <w:rFonts w:ascii="Times New Roman" w:hAnsi="Times New Roman" w:cs="Times New Roman"/>
          <w:sz w:val="20"/>
          <w:szCs w:val="20"/>
        </w:rPr>
        <w:t xml:space="preserve"> </w:t>
      </w:r>
      <w:r w:rsidRPr="00A35836">
        <w:rPr>
          <w:rFonts w:ascii="Times New Roman" w:hAnsi="Times New Roman" w:cs="Times New Roman"/>
          <w:sz w:val="20"/>
          <w:szCs w:val="20"/>
        </w:rPr>
        <w:t>J Forensic Leg Med. 2008; 15: 298-305.</w:t>
      </w:r>
    </w:p>
    <w:p w:rsidR="00B0163B" w:rsidRPr="00B0163B" w:rsidRDefault="00B0163B" w:rsidP="00A35836">
      <w:pPr>
        <w:spacing w:after="0"/>
        <w:jc w:val="both"/>
        <w:rPr>
          <w:rFonts w:ascii="Times New Roman" w:hAnsi="Times New Roman" w:cs="Times New Roman"/>
          <w:sz w:val="20"/>
          <w:szCs w:val="20"/>
        </w:rPr>
      </w:pPr>
      <w:r w:rsidRPr="00B0163B">
        <w:rPr>
          <w:rFonts w:ascii="Times New Roman" w:hAnsi="Times New Roman" w:cs="Times New Roman"/>
          <w:sz w:val="20"/>
          <w:szCs w:val="20"/>
        </w:rPr>
        <w:t>16) Da</w:t>
      </w:r>
      <w:r w:rsidR="008B55A1">
        <w:rPr>
          <w:rFonts w:ascii="Times New Roman" w:hAnsi="Times New Roman" w:cs="Times New Roman"/>
          <w:sz w:val="20"/>
          <w:szCs w:val="20"/>
        </w:rPr>
        <w:t>vidson A, Marshall TK. Hanging i</w:t>
      </w:r>
      <w:r w:rsidRPr="00B0163B">
        <w:rPr>
          <w:rFonts w:ascii="Times New Roman" w:hAnsi="Times New Roman" w:cs="Times New Roman"/>
          <w:sz w:val="20"/>
          <w:szCs w:val="20"/>
        </w:rPr>
        <w:t>n Northern Ireland: A Survey. Med-Sci-Law 1984; 26(1): 23-28.</w:t>
      </w:r>
    </w:p>
    <w:p w:rsidR="00B0163B" w:rsidRPr="00B0163B" w:rsidRDefault="00B0163B" w:rsidP="00342B04">
      <w:pPr>
        <w:spacing w:after="0"/>
        <w:jc w:val="both"/>
        <w:rPr>
          <w:rFonts w:ascii="Times New Roman" w:hAnsi="Times New Roman" w:cs="Times New Roman"/>
          <w:sz w:val="20"/>
          <w:szCs w:val="20"/>
        </w:rPr>
      </w:pPr>
      <w:r w:rsidRPr="00B0163B">
        <w:rPr>
          <w:rFonts w:ascii="Times New Roman" w:hAnsi="Times New Roman" w:cs="Times New Roman"/>
          <w:sz w:val="20"/>
          <w:szCs w:val="20"/>
        </w:rPr>
        <w:t>17) Majumdar BC. Study of Violent asphyxia deaths, JIAFM 2002; 24(2): 8-10.</w:t>
      </w:r>
    </w:p>
    <w:p w:rsidR="00342B04" w:rsidRDefault="00B0163B" w:rsidP="00342B04">
      <w:pPr>
        <w:spacing w:after="0"/>
        <w:jc w:val="both"/>
        <w:rPr>
          <w:rFonts w:ascii="Times New Roman" w:hAnsi="Times New Roman" w:cs="Times New Roman"/>
          <w:sz w:val="20"/>
          <w:szCs w:val="20"/>
        </w:rPr>
      </w:pPr>
      <w:r w:rsidRPr="00B0163B">
        <w:rPr>
          <w:rFonts w:ascii="Times New Roman" w:hAnsi="Times New Roman" w:cs="Times New Roman"/>
          <w:sz w:val="20"/>
          <w:szCs w:val="20"/>
        </w:rPr>
        <w:t xml:space="preserve">18) Azmak D. Asphyxial deaths: A Retrospective Study and review of the literature. American Journal of </w:t>
      </w:r>
    </w:p>
    <w:p w:rsidR="00B0163B" w:rsidRPr="00B0163B" w:rsidRDefault="00342B04" w:rsidP="00342B04">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025D21">
        <w:rPr>
          <w:rFonts w:ascii="Times New Roman" w:hAnsi="Times New Roman" w:cs="Times New Roman"/>
          <w:sz w:val="20"/>
          <w:szCs w:val="20"/>
        </w:rPr>
        <w:t>Forensic Medicine and Pathology.</w:t>
      </w:r>
      <w:r w:rsidR="00B0163B" w:rsidRPr="00B0163B">
        <w:rPr>
          <w:rFonts w:ascii="Times New Roman" w:hAnsi="Times New Roman" w:cs="Times New Roman"/>
          <w:sz w:val="20"/>
          <w:szCs w:val="20"/>
        </w:rPr>
        <w:t xml:space="preserve"> 2006; 27(2): 134-44p.</w:t>
      </w:r>
    </w:p>
    <w:p w:rsidR="00342B04" w:rsidRDefault="00B0163B" w:rsidP="00342B04">
      <w:pPr>
        <w:spacing w:after="0"/>
        <w:jc w:val="both"/>
        <w:rPr>
          <w:rFonts w:ascii="Times New Roman" w:hAnsi="Times New Roman" w:cs="Times New Roman"/>
          <w:sz w:val="20"/>
          <w:szCs w:val="20"/>
        </w:rPr>
      </w:pPr>
      <w:r w:rsidRPr="00B0163B">
        <w:rPr>
          <w:rFonts w:ascii="Times New Roman" w:hAnsi="Times New Roman" w:cs="Times New Roman"/>
          <w:sz w:val="20"/>
          <w:szCs w:val="20"/>
        </w:rPr>
        <w:t xml:space="preserve">19) Kanchan T, Rastogi P, Mohanty M.K. Profile of near drowning victims in a coastal region of Karnataka. </w:t>
      </w:r>
    </w:p>
    <w:p w:rsidR="00B0163B" w:rsidRPr="00B0163B" w:rsidRDefault="00342B04" w:rsidP="00342B04">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DE12C0">
        <w:rPr>
          <w:rFonts w:ascii="Times New Roman" w:hAnsi="Times New Roman" w:cs="Times New Roman"/>
          <w:sz w:val="20"/>
          <w:szCs w:val="20"/>
        </w:rPr>
        <w:t xml:space="preserve"> </w:t>
      </w:r>
      <w:r>
        <w:rPr>
          <w:rFonts w:ascii="Times New Roman" w:hAnsi="Times New Roman" w:cs="Times New Roman"/>
          <w:sz w:val="20"/>
          <w:szCs w:val="20"/>
        </w:rPr>
        <w:t xml:space="preserve">  </w:t>
      </w:r>
      <w:r w:rsidR="00B0163B" w:rsidRPr="00B0163B">
        <w:rPr>
          <w:rFonts w:ascii="Times New Roman" w:hAnsi="Times New Roman" w:cs="Times New Roman"/>
          <w:sz w:val="20"/>
          <w:szCs w:val="20"/>
        </w:rPr>
        <w:t>JIAFM, 2007; 29(4): 52.</w:t>
      </w:r>
    </w:p>
    <w:p w:rsidR="00B0163B" w:rsidRPr="00FA53C2" w:rsidRDefault="00B0163B" w:rsidP="00B0163B">
      <w:pPr>
        <w:rPr>
          <w:sz w:val="28"/>
          <w:szCs w:val="28"/>
        </w:rPr>
      </w:pPr>
    </w:p>
    <w:p w:rsidR="001501AA" w:rsidRDefault="001501AA" w:rsidP="002944F8">
      <w:pPr>
        <w:jc w:val="both"/>
        <w:rPr>
          <w:rFonts w:ascii="Times New Roman" w:hAnsi="Times New Roman" w:cs="Times New Roman"/>
          <w:sz w:val="20"/>
          <w:szCs w:val="20"/>
        </w:rPr>
      </w:pPr>
    </w:p>
    <w:p w:rsidR="00B0163B" w:rsidRPr="002944F8" w:rsidRDefault="00B0163B" w:rsidP="002944F8">
      <w:pPr>
        <w:jc w:val="both"/>
        <w:rPr>
          <w:rFonts w:ascii="Times New Roman" w:hAnsi="Times New Roman" w:cs="Times New Roman"/>
          <w:sz w:val="20"/>
          <w:szCs w:val="20"/>
        </w:rPr>
      </w:pPr>
    </w:p>
    <w:p w:rsidR="003D71DC" w:rsidRPr="00F56E15" w:rsidRDefault="003D71DC">
      <w:pPr>
        <w:rPr>
          <w:sz w:val="36"/>
          <w:szCs w:val="36"/>
        </w:rPr>
      </w:pPr>
    </w:p>
    <w:p w:rsidR="005E200A" w:rsidRDefault="005E200A">
      <w:pPr>
        <w:rPr>
          <w:sz w:val="36"/>
          <w:szCs w:val="36"/>
        </w:rPr>
      </w:pPr>
    </w:p>
    <w:p w:rsidR="006056DB" w:rsidRPr="006056DB" w:rsidRDefault="006056DB">
      <w:pPr>
        <w:rPr>
          <w:sz w:val="36"/>
          <w:szCs w:val="36"/>
        </w:rPr>
      </w:pPr>
    </w:p>
    <w:sectPr w:rsidR="006056DB" w:rsidRPr="006056DB" w:rsidSect="00DE12C0">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1F" w:rsidRDefault="00EB701F" w:rsidP="00943CF9">
      <w:pPr>
        <w:spacing w:after="0" w:line="240" w:lineRule="auto"/>
      </w:pPr>
      <w:r>
        <w:separator/>
      </w:r>
    </w:p>
  </w:endnote>
  <w:endnote w:type="continuationSeparator" w:id="1">
    <w:p w:rsidR="00EB701F" w:rsidRDefault="00EB701F" w:rsidP="0094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1F" w:rsidRDefault="00EB701F" w:rsidP="00943CF9">
      <w:pPr>
        <w:spacing w:after="0" w:line="240" w:lineRule="auto"/>
      </w:pPr>
      <w:r>
        <w:separator/>
      </w:r>
    </w:p>
  </w:footnote>
  <w:footnote w:type="continuationSeparator" w:id="1">
    <w:p w:rsidR="00EB701F" w:rsidRDefault="00EB701F" w:rsidP="00943C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124FF"/>
    <w:multiLevelType w:val="hybridMultilevel"/>
    <w:tmpl w:val="0762AAEA"/>
    <w:lvl w:ilvl="0" w:tplc="04090009">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23A7058C"/>
    <w:multiLevelType w:val="hybridMultilevel"/>
    <w:tmpl w:val="059A3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D326C"/>
    <w:multiLevelType w:val="hybridMultilevel"/>
    <w:tmpl w:val="0C5456EC"/>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1C55"/>
    <w:rsid w:val="0000079B"/>
    <w:rsid w:val="00017CC1"/>
    <w:rsid w:val="0002511E"/>
    <w:rsid w:val="00025D21"/>
    <w:rsid w:val="00040671"/>
    <w:rsid w:val="0005572F"/>
    <w:rsid w:val="00056C76"/>
    <w:rsid w:val="00066373"/>
    <w:rsid w:val="000866FB"/>
    <w:rsid w:val="00096809"/>
    <w:rsid w:val="000A0E57"/>
    <w:rsid w:val="000B40A8"/>
    <w:rsid w:val="000C229C"/>
    <w:rsid w:val="000D46FB"/>
    <w:rsid w:val="000D4FAD"/>
    <w:rsid w:val="000D56D6"/>
    <w:rsid w:val="000E3A97"/>
    <w:rsid w:val="000E3F0C"/>
    <w:rsid w:val="000F2663"/>
    <w:rsid w:val="0010203F"/>
    <w:rsid w:val="001172C6"/>
    <w:rsid w:val="00117B0E"/>
    <w:rsid w:val="001226C5"/>
    <w:rsid w:val="00122E17"/>
    <w:rsid w:val="00137EA5"/>
    <w:rsid w:val="00145A08"/>
    <w:rsid w:val="001464DA"/>
    <w:rsid w:val="001501AA"/>
    <w:rsid w:val="001514E9"/>
    <w:rsid w:val="00154A29"/>
    <w:rsid w:val="00165BCE"/>
    <w:rsid w:val="00167057"/>
    <w:rsid w:val="00180B62"/>
    <w:rsid w:val="00180E6A"/>
    <w:rsid w:val="001877B6"/>
    <w:rsid w:val="00190F53"/>
    <w:rsid w:val="001923BB"/>
    <w:rsid w:val="00196820"/>
    <w:rsid w:val="001A36C1"/>
    <w:rsid w:val="001B1CDD"/>
    <w:rsid w:val="001B2F85"/>
    <w:rsid w:val="001B4802"/>
    <w:rsid w:val="001C0F93"/>
    <w:rsid w:val="001C4040"/>
    <w:rsid w:val="001C5A66"/>
    <w:rsid w:val="001C74E0"/>
    <w:rsid w:val="001D220F"/>
    <w:rsid w:val="001E2472"/>
    <w:rsid w:val="001E4119"/>
    <w:rsid w:val="001F33FE"/>
    <w:rsid w:val="001F5221"/>
    <w:rsid w:val="002202EE"/>
    <w:rsid w:val="00221D38"/>
    <w:rsid w:val="00224D23"/>
    <w:rsid w:val="002367C0"/>
    <w:rsid w:val="00246ED7"/>
    <w:rsid w:val="00254CC3"/>
    <w:rsid w:val="00261C07"/>
    <w:rsid w:val="00273D92"/>
    <w:rsid w:val="0028380B"/>
    <w:rsid w:val="002944F8"/>
    <w:rsid w:val="00295D12"/>
    <w:rsid w:val="002970F2"/>
    <w:rsid w:val="002A2C87"/>
    <w:rsid w:val="002B25F1"/>
    <w:rsid w:val="002B61C8"/>
    <w:rsid w:val="002C1B04"/>
    <w:rsid w:val="002C1C2F"/>
    <w:rsid w:val="002C71C0"/>
    <w:rsid w:val="002D2745"/>
    <w:rsid w:val="002E27AB"/>
    <w:rsid w:val="003021C5"/>
    <w:rsid w:val="00306617"/>
    <w:rsid w:val="00307D19"/>
    <w:rsid w:val="0031471F"/>
    <w:rsid w:val="003209F8"/>
    <w:rsid w:val="00342B04"/>
    <w:rsid w:val="0034458F"/>
    <w:rsid w:val="00355DB5"/>
    <w:rsid w:val="00366F10"/>
    <w:rsid w:val="00371D48"/>
    <w:rsid w:val="00381781"/>
    <w:rsid w:val="00384F20"/>
    <w:rsid w:val="00386337"/>
    <w:rsid w:val="00393573"/>
    <w:rsid w:val="003A5B1D"/>
    <w:rsid w:val="003B306E"/>
    <w:rsid w:val="003B64C1"/>
    <w:rsid w:val="003C5F3A"/>
    <w:rsid w:val="003D2B35"/>
    <w:rsid w:val="003D6FF3"/>
    <w:rsid w:val="003D71DC"/>
    <w:rsid w:val="003F610D"/>
    <w:rsid w:val="004017EF"/>
    <w:rsid w:val="00405832"/>
    <w:rsid w:val="00406CDB"/>
    <w:rsid w:val="00415FAC"/>
    <w:rsid w:val="00416ABD"/>
    <w:rsid w:val="00444E3E"/>
    <w:rsid w:val="00447DA2"/>
    <w:rsid w:val="004551A3"/>
    <w:rsid w:val="00473055"/>
    <w:rsid w:val="00473314"/>
    <w:rsid w:val="00477AED"/>
    <w:rsid w:val="004840F0"/>
    <w:rsid w:val="004863CB"/>
    <w:rsid w:val="0048780B"/>
    <w:rsid w:val="00493031"/>
    <w:rsid w:val="004A4654"/>
    <w:rsid w:val="004B481C"/>
    <w:rsid w:val="004D3D62"/>
    <w:rsid w:val="004D61C2"/>
    <w:rsid w:val="004E6CDA"/>
    <w:rsid w:val="004E72A2"/>
    <w:rsid w:val="004F0B83"/>
    <w:rsid w:val="004F252D"/>
    <w:rsid w:val="005008A6"/>
    <w:rsid w:val="00506E0E"/>
    <w:rsid w:val="005154DC"/>
    <w:rsid w:val="00522492"/>
    <w:rsid w:val="00531B1E"/>
    <w:rsid w:val="00533F22"/>
    <w:rsid w:val="005475BF"/>
    <w:rsid w:val="00560E96"/>
    <w:rsid w:val="005614CC"/>
    <w:rsid w:val="005624B3"/>
    <w:rsid w:val="00567FCB"/>
    <w:rsid w:val="0057656F"/>
    <w:rsid w:val="00580C3F"/>
    <w:rsid w:val="00584C5B"/>
    <w:rsid w:val="00594DAF"/>
    <w:rsid w:val="00595A66"/>
    <w:rsid w:val="005C2563"/>
    <w:rsid w:val="005C739F"/>
    <w:rsid w:val="005E200A"/>
    <w:rsid w:val="005E2C0D"/>
    <w:rsid w:val="005E3C50"/>
    <w:rsid w:val="00603201"/>
    <w:rsid w:val="00603921"/>
    <w:rsid w:val="00604E71"/>
    <w:rsid w:val="006056DB"/>
    <w:rsid w:val="00614FFA"/>
    <w:rsid w:val="006249E5"/>
    <w:rsid w:val="0062724D"/>
    <w:rsid w:val="00632CEE"/>
    <w:rsid w:val="00635DEC"/>
    <w:rsid w:val="00637919"/>
    <w:rsid w:val="00650B65"/>
    <w:rsid w:val="00651AB2"/>
    <w:rsid w:val="006530AE"/>
    <w:rsid w:val="0066605D"/>
    <w:rsid w:val="0066693B"/>
    <w:rsid w:val="006723A9"/>
    <w:rsid w:val="0067770E"/>
    <w:rsid w:val="0069003D"/>
    <w:rsid w:val="00691314"/>
    <w:rsid w:val="006B3EFC"/>
    <w:rsid w:val="006B645D"/>
    <w:rsid w:val="006C26B5"/>
    <w:rsid w:val="006C35AA"/>
    <w:rsid w:val="006D095A"/>
    <w:rsid w:val="006E510C"/>
    <w:rsid w:val="006E6299"/>
    <w:rsid w:val="007025FE"/>
    <w:rsid w:val="0071773C"/>
    <w:rsid w:val="007204E4"/>
    <w:rsid w:val="007255F0"/>
    <w:rsid w:val="0073375E"/>
    <w:rsid w:val="00734798"/>
    <w:rsid w:val="007459FE"/>
    <w:rsid w:val="00746ECC"/>
    <w:rsid w:val="00752BB2"/>
    <w:rsid w:val="00755140"/>
    <w:rsid w:val="007606B7"/>
    <w:rsid w:val="00761B9D"/>
    <w:rsid w:val="00765511"/>
    <w:rsid w:val="00780548"/>
    <w:rsid w:val="00781091"/>
    <w:rsid w:val="0078444E"/>
    <w:rsid w:val="00787363"/>
    <w:rsid w:val="007A0572"/>
    <w:rsid w:val="007C1750"/>
    <w:rsid w:val="007C2419"/>
    <w:rsid w:val="007D5045"/>
    <w:rsid w:val="007F4610"/>
    <w:rsid w:val="00801D83"/>
    <w:rsid w:val="008048BF"/>
    <w:rsid w:val="0080490B"/>
    <w:rsid w:val="0081747F"/>
    <w:rsid w:val="00822706"/>
    <w:rsid w:val="008356A2"/>
    <w:rsid w:val="00852B6D"/>
    <w:rsid w:val="00853196"/>
    <w:rsid w:val="00853E6A"/>
    <w:rsid w:val="0085724C"/>
    <w:rsid w:val="008614E0"/>
    <w:rsid w:val="008664C0"/>
    <w:rsid w:val="008746AF"/>
    <w:rsid w:val="008751C7"/>
    <w:rsid w:val="008760A5"/>
    <w:rsid w:val="00885B07"/>
    <w:rsid w:val="00886FF0"/>
    <w:rsid w:val="00895567"/>
    <w:rsid w:val="00895AAC"/>
    <w:rsid w:val="008968DD"/>
    <w:rsid w:val="008A1CEA"/>
    <w:rsid w:val="008A3A36"/>
    <w:rsid w:val="008A7834"/>
    <w:rsid w:val="008B3CAD"/>
    <w:rsid w:val="008B55A1"/>
    <w:rsid w:val="008B6669"/>
    <w:rsid w:val="008D062F"/>
    <w:rsid w:val="008D3E7A"/>
    <w:rsid w:val="008E3C5F"/>
    <w:rsid w:val="008E797D"/>
    <w:rsid w:val="008F1C05"/>
    <w:rsid w:val="008F6951"/>
    <w:rsid w:val="009037A3"/>
    <w:rsid w:val="00920458"/>
    <w:rsid w:val="00922179"/>
    <w:rsid w:val="00922E00"/>
    <w:rsid w:val="00933006"/>
    <w:rsid w:val="00941440"/>
    <w:rsid w:val="00941EA9"/>
    <w:rsid w:val="00942A33"/>
    <w:rsid w:val="009436A9"/>
    <w:rsid w:val="00943CF9"/>
    <w:rsid w:val="00955651"/>
    <w:rsid w:val="00965466"/>
    <w:rsid w:val="00982F8E"/>
    <w:rsid w:val="0098386D"/>
    <w:rsid w:val="009B397A"/>
    <w:rsid w:val="009B434E"/>
    <w:rsid w:val="009C6E01"/>
    <w:rsid w:val="009C6ECC"/>
    <w:rsid w:val="009D5F0C"/>
    <w:rsid w:val="009E3778"/>
    <w:rsid w:val="009E3D30"/>
    <w:rsid w:val="009F46F7"/>
    <w:rsid w:val="00A13832"/>
    <w:rsid w:val="00A14DAB"/>
    <w:rsid w:val="00A24E6C"/>
    <w:rsid w:val="00A26AE5"/>
    <w:rsid w:val="00A35836"/>
    <w:rsid w:val="00A36A09"/>
    <w:rsid w:val="00A53F81"/>
    <w:rsid w:val="00A80497"/>
    <w:rsid w:val="00A80EBD"/>
    <w:rsid w:val="00A82471"/>
    <w:rsid w:val="00A87DCA"/>
    <w:rsid w:val="00A90A49"/>
    <w:rsid w:val="00A91C55"/>
    <w:rsid w:val="00A97E1C"/>
    <w:rsid w:val="00AA03CE"/>
    <w:rsid w:val="00AB7BA4"/>
    <w:rsid w:val="00AD0AED"/>
    <w:rsid w:val="00AD1D70"/>
    <w:rsid w:val="00AE0D5B"/>
    <w:rsid w:val="00AE2FE2"/>
    <w:rsid w:val="00AF6C0F"/>
    <w:rsid w:val="00AF6E31"/>
    <w:rsid w:val="00AF7739"/>
    <w:rsid w:val="00B0163B"/>
    <w:rsid w:val="00B0634B"/>
    <w:rsid w:val="00B13789"/>
    <w:rsid w:val="00B20358"/>
    <w:rsid w:val="00B23BC5"/>
    <w:rsid w:val="00B35D2B"/>
    <w:rsid w:val="00B40257"/>
    <w:rsid w:val="00B436EF"/>
    <w:rsid w:val="00B652C3"/>
    <w:rsid w:val="00B66589"/>
    <w:rsid w:val="00B671DC"/>
    <w:rsid w:val="00B72BAD"/>
    <w:rsid w:val="00B82262"/>
    <w:rsid w:val="00B834B6"/>
    <w:rsid w:val="00B851B7"/>
    <w:rsid w:val="00B918C5"/>
    <w:rsid w:val="00B9489B"/>
    <w:rsid w:val="00B95C9A"/>
    <w:rsid w:val="00BA3E9F"/>
    <w:rsid w:val="00BB706A"/>
    <w:rsid w:val="00BC1A1E"/>
    <w:rsid w:val="00BC64B1"/>
    <w:rsid w:val="00BE41EF"/>
    <w:rsid w:val="00BE7050"/>
    <w:rsid w:val="00BF6F14"/>
    <w:rsid w:val="00C043A7"/>
    <w:rsid w:val="00C1104B"/>
    <w:rsid w:val="00C460B9"/>
    <w:rsid w:val="00C55130"/>
    <w:rsid w:val="00C64D85"/>
    <w:rsid w:val="00C67505"/>
    <w:rsid w:val="00C73434"/>
    <w:rsid w:val="00C84024"/>
    <w:rsid w:val="00CA03DA"/>
    <w:rsid w:val="00CB5100"/>
    <w:rsid w:val="00CB7012"/>
    <w:rsid w:val="00CC2A5D"/>
    <w:rsid w:val="00CC4E69"/>
    <w:rsid w:val="00CD5797"/>
    <w:rsid w:val="00CD5EF3"/>
    <w:rsid w:val="00CD5FA8"/>
    <w:rsid w:val="00CE4877"/>
    <w:rsid w:val="00CE7F5E"/>
    <w:rsid w:val="00CF2424"/>
    <w:rsid w:val="00CF4A51"/>
    <w:rsid w:val="00CF4E1F"/>
    <w:rsid w:val="00D17816"/>
    <w:rsid w:val="00D2389B"/>
    <w:rsid w:val="00D24539"/>
    <w:rsid w:val="00D246B3"/>
    <w:rsid w:val="00D27238"/>
    <w:rsid w:val="00D33F39"/>
    <w:rsid w:val="00D436FB"/>
    <w:rsid w:val="00D77135"/>
    <w:rsid w:val="00D77FF6"/>
    <w:rsid w:val="00D80C88"/>
    <w:rsid w:val="00D865BD"/>
    <w:rsid w:val="00D91B3F"/>
    <w:rsid w:val="00DA21F6"/>
    <w:rsid w:val="00DB48E6"/>
    <w:rsid w:val="00DB7771"/>
    <w:rsid w:val="00DC2269"/>
    <w:rsid w:val="00DC5A2B"/>
    <w:rsid w:val="00DD1E08"/>
    <w:rsid w:val="00DE12C0"/>
    <w:rsid w:val="00DE340C"/>
    <w:rsid w:val="00DF091A"/>
    <w:rsid w:val="00DF2826"/>
    <w:rsid w:val="00E02025"/>
    <w:rsid w:val="00E05EF8"/>
    <w:rsid w:val="00E221B9"/>
    <w:rsid w:val="00E232FE"/>
    <w:rsid w:val="00E3398B"/>
    <w:rsid w:val="00E4118D"/>
    <w:rsid w:val="00E44740"/>
    <w:rsid w:val="00E46B03"/>
    <w:rsid w:val="00E47FE1"/>
    <w:rsid w:val="00E553C9"/>
    <w:rsid w:val="00E74454"/>
    <w:rsid w:val="00E83718"/>
    <w:rsid w:val="00E84664"/>
    <w:rsid w:val="00E95F1B"/>
    <w:rsid w:val="00EB4521"/>
    <w:rsid w:val="00EB512D"/>
    <w:rsid w:val="00EB701F"/>
    <w:rsid w:val="00EC0B81"/>
    <w:rsid w:val="00EE7063"/>
    <w:rsid w:val="00EF275E"/>
    <w:rsid w:val="00F02BE9"/>
    <w:rsid w:val="00F11C55"/>
    <w:rsid w:val="00F12A8D"/>
    <w:rsid w:val="00F25468"/>
    <w:rsid w:val="00F25DB7"/>
    <w:rsid w:val="00F25DF7"/>
    <w:rsid w:val="00F3704C"/>
    <w:rsid w:val="00F51AC6"/>
    <w:rsid w:val="00F53C62"/>
    <w:rsid w:val="00F56E15"/>
    <w:rsid w:val="00F62565"/>
    <w:rsid w:val="00F64EE9"/>
    <w:rsid w:val="00F666E6"/>
    <w:rsid w:val="00F7014C"/>
    <w:rsid w:val="00F80D3A"/>
    <w:rsid w:val="00FA5B07"/>
    <w:rsid w:val="00FB44F2"/>
    <w:rsid w:val="00FB77F8"/>
    <w:rsid w:val="00FC0964"/>
    <w:rsid w:val="00FC73E7"/>
    <w:rsid w:val="00FC7D21"/>
    <w:rsid w:val="00FD31DC"/>
    <w:rsid w:val="00FF6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1C7"/>
    <w:rPr>
      <w:rFonts w:ascii="Tahoma" w:hAnsi="Tahoma" w:cs="Tahoma"/>
      <w:sz w:val="16"/>
      <w:szCs w:val="16"/>
    </w:rPr>
  </w:style>
  <w:style w:type="paragraph" w:styleId="Header">
    <w:name w:val="header"/>
    <w:basedOn w:val="Normal"/>
    <w:link w:val="HeaderChar"/>
    <w:uiPriority w:val="99"/>
    <w:semiHidden/>
    <w:unhideWhenUsed/>
    <w:rsid w:val="00943C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3CF9"/>
  </w:style>
  <w:style w:type="paragraph" w:styleId="Footer">
    <w:name w:val="footer"/>
    <w:basedOn w:val="Normal"/>
    <w:link w:val="FooterChar"/>
    <w:uiPriority w:val="99"/>
    <w:semiHidden/>
    <w:unhideWhenUsed/>
    <w:rsid w:val="00943C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43CF9"/>
  </w:style>
  <w:style w:type="paragraph" w:styleId="ListParagraph">
    <w:name w:val="List Paragraph"/>
    <w:basedOn w:val="Normal"/>
    <w:uiPriority w:val="34"/>
    <w:qFormat/>
    <w:rsid w:val="00A90A49"/>
    <w:pPr>
      <w:ind w:left="720"/>
      <w:contextualSpacing/>
    </w:pPr>
  </w:style>
  <w:style w:type="character" w:styleId="Hyperlink">
    <w:name w:val="Hyperlink"/>
    <w:basedOn w:val="DefaultParagraphFont"/>
    <w:uiPriority w:val="99"/>
    <w:unhideWhenUsed/>
    <w:rsid w:val="00A90A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694308">
      <w:bodyDiv w:val="1"/>
      <w:marLeft w:val="0"/>
      <w:marRight w:val="0"/>
      <w:marTop w:val="0"/>
      <w:marBottom w:val="0"/>
      <w:divBdr>
        <w:top w:val="none" w:sz="0" w:space="0" w:color="auto"/>
        <w:left w:val="none" w:sz="0" w:space="0" w:color="auto"/>
        <w:bottom w:val="none" w:sz="0" w:space="0" w:color="auto"/>
        <w:right w:val="none" w:sz="0" w:space="0" w:color="auto"/>
      </w:divBdr>
    </w:div>
    <w:div w:id="852233089">
      <w:bodyDiv w:val="1"/>
      <w:marLeft w:val="0"/>
      <w:marRight w:val="0"/>
      <w:marTop w:val="0"/>
      <w:marBottom w:val="0"/>
      <w:divBdr>
        <w:top w:val="none" w:sz="0" w:space="0" w:color="auto"/>
        <w:left w:val="none" w:sz="0" w:space="0" w:color="auto"/>
        <w:bottom w:val="none" w:sz="0" w:space="0" w:color="auto"/>
        <w:right w:val="none" w:sz="0" w:space="0" w:color="auto"/>
      </w:divBdr>
    </w:div>
    <w:div w:id="15040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ps1971na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23B740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23B740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1A660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explosion val="21"/>
          <c:dPt>
            <c:idx val="0"/>
            <c:explosion val="16"/>
          </c:dPt>
          <c:dPt>
            <c:idx val="1"/>
            <c:explosion val="4"/>
          </c:dPt>
          <c:dLbls>
            <c:txPr>
              <a:bodyPr/>
              <a:lstStyle/>
              <a:p>
                <a:pPr>
                  <a:defRPr lang="en-IN"/>
                </a:pPr>
                <a:endParaRPr lang="en-US"/>
              </a:p>
            </c:txPr>
            <c:showVal val="1"/>
            <c:showLeaderLines val="1"/>
          </c:dLbls>
          <c:cat>
            <c:strRef>
              <c:f>Sheet1!$C$64:$C$65</c:f>
              <c:strCache>
                <c:ptCount val="2"/>
                <c:pt idx="0">
                  <c:v>Rural</c:v>
                </c:pt>
                <c:pt idx="1">
                  <c:v>Urban</c:v>
                </c:pt>
              </c:strCache>
            </c:strRef>
          </c:cat>
          <c:val>
            <c:numRef>
              <c:f>Sheet1!$E$64:$E$65</c:f>
              <c:numCache>
                <c:formatCode>0.00%</c:formatCode>
                <c:ptCount val="2"/>
                <c:pt idx="0">
                  <c:v>0.90517241379310365</c:v>
                </c:pt>
                <c:pt idx="1">
                  <c:v>9.4827586206897768E-2</c:v>
                </c:pt>
              </c:numCache>
            </c:numRef>
          </c:val>
        </c:ser>
        <c:firstSliceAng val="0"/>
      </c:pieChart>
    </c:plotArea>
    <c:legend>
      <c:legendPos val="r"/>
      <c:txPr>
        <a:bodyPr/>
        <a:lstStyle/>
        <a:p>
          <a:pPr>
            <a:defRPr lang="en-IN"/>
          </a:pPr>
          <a:endParaRPr lang="en-US"/>
        </a:p>
      </c:txPr>
    </c:legend>
    <c:plotVisOnly val="1"/>
  </c:chart>
  <c:spPr>
    <a:solidFill>
      <a:schemeClr val="bg1">
        <a:lumMod val="75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dLbl>
              <c:idx val="0"/>
              <c:layout>
                <c:manualLayout>
                  <c:x val="-0.22690884575644152"/>
                  <c:y val="-9.8142353916287228E-2"/>
                </c:manualLayout>
              </c:layout>
              <c:tx>
                <c:rich>
                  <a:bodyPr/>
                  <a:lstStyle/>
                  <a:p>
                    <a:r>
                      <a:rPr lang="en-US"/>
                      <a:t>74 (63.80%)</a:t>
                    </a:r>
                  </a:p>
                </c:rich>
              </c:tx>
              <c:showVal val="1"/>
            </c:dLbl>
            <c:dLbl>
              <c:idx val="1"/>
              <c:layout>
                <c:manualLayout>
                  <c:x val="0.10895448869180845"/>
                  <c:y val="5.2463220058019545E-2"/>
                </c:manualLayout>
              </c:layout>
              <c:tx>
                <c:rich>
                  <a:bodyPr/>
                  <a:lstStyle/>
                  <a:p>
                    <a:r>
                      <a:rPr lang="en-US"/>
                      <a:t>42</a:t>
                    </a:r>
                    <a:r>
                      <a:rPr lang="en-US" baseline="0"/>
                      <a:t> </a:t>
                    </a:r>
                    <a:r>
                      <a:rPr lang="en-US"/>
                      <a:t>(36.20%)</a:t>
                    </a:r>
                  </a:p>
                </c:rich>
              </c:tx>
              <c:showVal val="1"/>
            </c:dLbl>
            <c:txPr>
              <a:bodyPr/>
              <a:lstStyle/>
              <a:p>
                <a:pPr>
                  <a:defRPr lang="en-IN"/>
                </a:pPr>
                <a:endParaRPr lang="en-US"/>
              </a:p>
            </c:txPr>
            <c:showVal val="1"/>
            <c:showLeaderLines val="1"/>
          </c:dLbls>
          <c:cat>
            <c:strRef>
              <c:f>Sheet1!$C$88:$C$89</c:f>
              <c:strCache>
                <c:ptCount val="2"/>
                <c:pt idx="0">
                  <c:v>Married</c:v>
                </c:pt>
                <c:pt idx="1">
                  <c:v>Unmarried</c:v>
                </c:pt>
              </c:strCache>
            </c:strRef>
          </c:cat>
          <c:val>
            <c:numRef>
              <c:f>Sheet1!$D$88:$D$89</c:f>
              <c:numCache>
                <c:formatCode>General</c:formatCode>
                <c:ptCount val="2"/>
                <c:pt idx="0">
                  <c:v>74</c:v>
                </c:pt>
                <c:pt idx="1">
                  <c:v>42</c:v>
                </c:pt>
              </c:numCache>
            </c:numRef>
          </c:val>
        </c:ser>
        <c:firstSliceAng val="0"/>
      </c:pieChart>
    </c:plotArea>
    <c:legend>
      <c:legendPos val="r"/>
      <c:layout>
        <c:manualLayout>
          <c:xMode val="edge"/>
          <c:yMode val="edge"/>
          <c:x val="0.6251123771681667"/>
          <c:y val="0.72705138831330363"/>
          <c:w val="0.31314403630076182"/>
          <c:h val="0.21694933692499122"/>
        </c:manualLayout>
      </c:layout>
      <c:txPr>
        <a:bodyPr/>
        <a:lstStyle/>
        <a:p>
          <a:pPr>
            <a:defRPr lang="en-IN"/>
          </a:pPr>
          <a:endParaRPr lang="en-US"/>
        </a:p>
      </c:txPr>
    </c:legend>
    <c:plotVisOnly val="1"/>
  </c:chart>
  <c:spPr>
    <a:solidFill>
      <a:sysClr val="window" lastClr="FFFFFF">
        <a:lumMod val="85000"/>
      </a:sys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US" sz="1600"/>
              <a:t>Frequency</a:t>
            </a:r>
          </a:p>
        </c:rich>
      </c:tx>
    </c:title>
    <c:plotArea>
      <c:layout/>
      <c:pieChart>
        <c:varyColors val="1"/>
        <c:ser>
          <c:idx val="0"/>
          <c:order val="0"/>
          <c:tx>
            <c:strRef>
              <c:f>Sheet1!$D$129</c:f>
              <c:strCache>
                <c:ptCount val="1"/>
                <c:pt idx="0">
                  <c:v>Frequency</c:v>
                </c:pt>
              </c:strCache>
            </c:strRef>
          </c:tx>
          <c:explosion val="16"/>
          <c:dPt>
            <c:idx val="0"/>
            <c:explosion val="0"/>
          </c:dPt>
          <c:dPt>
            <c:idx val="1"/>
            <c:explosion val="0"/>
          </c:dPt>
          <c:dLbls>
            <c:dLbl>
              <c:idx val="0"/>
              <c:layout>
                <c:manualLayout>
                  <c:x val="-0.20246861999392934"/>
                  <c:y val="0.10507048008171622"/>
                </c:manualLayout>
              </c:layout>
              <c:tx>
                <c:rich>
                  <a:bodyPr/>
                  <a:lstStyle/>
                  <a:p>
                    <a:r>
                      <a:rPr lang="en-US">
                        <a:latin typeface="Times New Roman" pitchFamily="18" charset="0"/>
                        <a:cs typeface="Times New Roman" pitchFamily="18" charset="0"/>
                      </a:rPr>
                      <a:t>21 (35.59%)</a:t>
                    </a:r>
                  </a:p>
                </c:rich>
              </c:tx>
              <c:showVal val="1"/>
            </c:dLbl>
            <c:dLbl>
              <c:idx val="1"/>
              <c:layout>
                <c:manualLayout>
                  <c:x val="0.22813612584141271"/>
                  <c:y val="-4.2501714312737963E-2"/>
                </c:manualLayout>
              </c:layout>
              <c:tx>
                <c:rich>
                  <a:bodyPr/>
                  <a:lstStyle/>
                  <a:p>
                    <a:pPr>
                      <a:defRPr lang="en-IN">
                        <a:latin typeface="Times New Roman" pitchFamily="18" charset="0"/>
                        <a:cs typeface="Times New Roman" pitchFamily="18" charset="0"/>
                      </a:defRPr>
                    </a:pPr>
                    <a:r>
                      <a:rPr lang="en-US">
                        <a:latin typeface="Times New Roman" pitchFamily="18" charset="0"/>
                        <a:cs typeface="Times New Roman" pitchFamily="18" charset="0"/>
                      </a:rPr>
                      <a:t>38 (64.41%)</a:t>
                    </a:r>
                  </a:p>
                </c:rich>
              </c:tx>
              <c:spPr/>
              <c:showVal val="1"/>
            </c:dLbl>
            <c:txPr>
              <a:bodyPr/>
              <a:lstStyle/>
              <a:p>
                <a:pPr>
                  <a:defRPr lang="en-IN"/>
                </a:pPr>
                <a:endParaRPr lang="en-US"/>
              </a:p>
            </c:txPr>
            <c:showVal val="1"/>
            <c:showLeaderLines val="1"/>
          </c:dLbls>
          <c:cat>
            <c:strRef>
              <c:f>Sheet1!$C$130:$C$131</c:f>
              <c:strCache>
                <c:ptCount val="2"/>
                <c:pt idx="0">
                  <c:v>Home</c:v>
                </c:pt>
                <c:pt idx="1">
                  <c:v>Outside</c:v>
                </c:pt>
              </c:strCache>
            </c:strRef>
          </c:cat>
          <c:val>
            <c:numRef>
              <c:f>Sheet1!$D$130:$D$131</c:f>
              <c:numCache>
                <c:formatCode>General</c:formatCode>
                <c:ptCount val="2"/>
                <c:pt idx="0">
                  <c:v>21</c:v>
                </c:pt>
                <c:pt idx="1">
                  <c:v>38</c:v>
                </c:pt>
              </c:numCache>
            </c:numRef>
          </c:val>
        </c:ser>
        <c:firstSliceAng val="0"/>
      </c:pieChart>
    </c:plotArea>
    <c:legend>
      <c:legendPos val="r"/>
      <c:txPr>
        <a:bodyPr/>
        <a:lstStyle/>
        <a:p>
          <a:pPr>
            <a:defRPr lang="en-IN"/>
          </a:pPr>
          <a:endParaRPr lang="en-US"/>
        </a:p>
      </c:txPr>
    </c:legend>
    <c:plotVisOnly val="1"/>
  </c:chart>
  <c:spPr>
    <a:solidFill>
      <a:schemeClr val="bg1">
        <a:lumMod val="75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8CCD-718D-45A2-9F67-0C52AA4F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8</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Dr Bapin</cp:lastModifiedBy>
  <cp:revision>279</cp:revision>
  <dcterms:created xsi:type="dcterms:W3CDTF">2018-10-09T10:20:00Z</dcterms:created>
  <dcterms:modified xsi:type="dcterms:W3CDTF">2018-10-27T07:13:00Z</dcterms:modified>
</cp:coreProperties>
</file>