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62" w:rsidRPr="00174B08" w:rsidRDefault="00596562" w:rsidP="00C96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174B08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ORIGINAL PAPER</w:t>
      </w:r>
    </w:p>
    <w:p w:rsidR="00596562" w:rsidRPr="00856B2E" w:rsidRDefault="00FC59FB" w:rsidP="00371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856B2E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Evaluation</w:t>
      </w:r>
      <w:r w:rsidR="00C96653" w:rsidRPr="00856B2E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of conservative management of uncomplicated acute ap</w:t>
      </w:r>
      <w:r w:rsidRPr="00856B2E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pendicitis in a rural medical </w:t>
      </w:r>
      <w:r w:rsidR="00596562" w:rsidRPr="00856B2E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college</w:t>
      </w:r>
    </w:p>
    <w:p w:rsidR="00FC59FB" w:rsidRPr="00596562" w:rsidRDefault="00596562" w:rsidP="00371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Hazarika Devid</w:t>
      </w:r>
      <w:r w:rsidRPr="00596562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3710BF" w:rsidRPr="00596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Barua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Partha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Pratim</w:t>
      </w:r>
      <w:r w:rsidR="00A71FCB" w:rsidRPr="0059656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</w:p>
    <w:p w:rsidR="00C96653" w:rsidRDefault="00FC59FB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7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Abstract</w:t>
      </w:r>
    </w:p>
    <w:p w:rsidR="00C96653" w:rsidRPr="00856B2E" w:rsidRDefault="00A71FCB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56B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Introduction</w:t>
      </w:r>
      <w:r w:rsidR="00C96653" w:rsidRPr="00856B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Acute appendicitis is one of the commonest causes of acute abdomen</w:t>
      </w:r>
      <w:r w:rsidR="00970869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life time risk of 7-8%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7755A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</w:t>
      </w:r>
      <w:r w:rsidR="00970869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urrently appendectomy is the favored treatment for acute appendicitis. However, t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here is wide</w:t>
      </w:r>
      <w:r w:rsidR="00981A6E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discussion and controversy on the surgical and nonsurgical treatment of acute uncomplicated appendicitis.</w:t>
      </w:r>
    </w:p>
    <w:p w:rsidR="00C96653" w:rsidRPr="00856B2E" w:rsidRDefault="00981A6E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56B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Aim: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The aim of this study was to evaluate the effi</w:t>
      </w:r>
      <w:r w:rsidR="00970869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cacy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outcomes of the conservative management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2192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of uncomplicated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cases of acute appendicitis</w:t>
      </w:r>
      <w:r w:rsidR="0062192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C96653" w:rsidRPr="00856B2E" w:rsidRDefault="00981A6E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56B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Materials</w:t>
      </w:r>
      <w:r w:rsidR="00C96653" w:rsidRPr="00856B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and methods: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2192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The study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was </w:t>
      </w:r>
      <w:r w:rsidR="0062192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done in department of surgery, </w:t>
      </w:r>
      <w:proofErr w:type="spellStart"/>
      <w:r w:rsidR="0062192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Fakhruddin</w:t>
      </w:r>
      <w:proofErr w:type="spellEnd"/>
      <w:r w:rsidR="0062192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Ali Ahmed Medical College and Hospital, </w:t>
      </w:r>
      <w:proofErr w:type="spellStart"/>
      <w:r w:rsidR="0062192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Barpeta</w:t>
      </w:r>
      <w:proofErr w:type="spellEnd"/>
      <w:r w:rsidR="0062192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Assam, </w:t>
      </w:r>
      <w:proofErr w:type="spellStart"/>
      <w:r w:rsidR="0062192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india</w:t>
      </w:r>
      <w:proofErr w:type="spellEnd"/>
      <w:r w:rsidR="0062192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, a rural medical college &amp;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</w:t>
      </w:r>
      <w:r w:rsidR="0062192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ospital from January 2014 to December 2016.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Patients </w:t>
      </w:r>
      <w:r w:rsidR="0062192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above the age of 16 yrs 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with clinical and radiological features of acute appendicitis presenting within 72 h</w:t>
      </w:r>
      <w:r w:rsidR="0062192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rs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the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beginning of abdominal pain </w:t>
      </w:r>
      <w:r w:rsidR="0062192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were included. </w:t>
      </w:r>
      <w:proofErr w:type="gramStart"/>
      <w:r w:rsidR="0062192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All 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patients</w:t>
      </w:r>
      <w:proofErr w:type="gramEnd"/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received broad-spectrum antibiotics and symptomatic treatment. T</w:t>
      </w:r>
      <w:r w:rsidR="0062192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he follow-up period was 1 year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F634BA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Patients were informed to report immediately if symptoms </w:t>
      </w:r>
      <w:r w:rsidR="0037755A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reappear or</w:t>
      </w:r>
      <w:r w:rsidR="00F634BA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patients underwent appendectomy outside.</w:t>
      </w:r>
    </w:p>
    <w:p w:rsidR="00C96653" w:rsidRPr="00856B2E" w:rsidRDefault="00C96653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56B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Results: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634BA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out of the 45 patients evaluated, 27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F634BA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60%) patients were female and 18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(40%) patients were male with</w:t>
      </w:r>
      <w:r w:rsidR="00981A6E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634BA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mean age 34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years. Conservative treatm</w:t>
      </w:r>
      <w:r w:rsidR="00F634BA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ent was effective in 34 (75.5%) patients and failure encountered in 11</w:t>
      </w:r>
      <w:r w:rsidR="00981A6E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(24.4%) patients. No mortality recorded in this study. The main complications which occurred in those</w:t>
      </w:r>
      <w:r w:rsidR="0033471B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patients who failed to respond to conservative treatment</w:t>
      </w:r>
      <w:r w:rsidR="00B93E7D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were perforated appendicitis (1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patien</w:t>
      </w:r>
      <w:r w:rsidR="00B93E7D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t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),</w:t>
      </w:r>
      <w:r w:rsidR="00981A6E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93E7D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appendicular abscess (1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</w:t>
      </w:r>
      <w:r w:rsidR="00B93E7D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tient) and appendicular lump (2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patients).</w:t>
      </w:r>
    </w:p>
    <w:p w:rsidR="00C96653" w:rsidRPr="00856B2E" w:rsidRDefault="00C96653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56B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Conclusion: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93E7D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selected cases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uncomplicated acute appendicitis can be treated</w:t>
      </w:r>
      <w:r w:rsidR="00981A6E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successfully by conservative treatment. However</w:t>
      </w:r>
      <w:r w:rsidR="00B93E7D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conservative treatment needs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close monitoring and follow-up</w:t>
      </w:r>
      <w:r w:rsidR="00B93E7D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along with proper communication to the patient.</w:t>
      </w:r>
    </w:p>
    <w:p w:rsidR="00596562" w:rsidRPr="00856B2E" w:rsidRDefault="00596562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56B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Keywords:</w:t>
      </w:r>
      <w:r w:rsidR="00C6241B" w:rsidRPr="00856B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6241B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Efficacy, a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ntibiotics, </w:t>
      </w:r>
      <w:r w:rsidR="00C6241B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nonsurgical treatment, </w:t>
      </w:r>
      <w:r w:rsidR="007A37E0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appendectomy</w:t>
      </w:r>
      <w:r w:rsidR="00C6241B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C6241B" w:rsidRPr="00856B2E" w:rsidRDefault="00C6241B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proofErr w:type="spellStart"/>
      <w:r w:rsidRPr="00856B2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Addres</w:t>
      </w:r>
      <w:proofErr w:type="spellEnd"/>
      <w:r w:rsidRPr="00856B2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for correspondence:</w:t>
      </w:r>
    </w:p>
    <w:p w:rsidR="00C6241B" w:rsidRPr="00856B2E" w:rsidRDefault="00C6241B" w:rsidP="00C624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gramStart"/>
      <w:r w:rsidRPr="00856B2E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 xml:space="preserve">1 </w:t>
      </w:r>
      <w:proofErr w:type="spellStart"/>
      <w:r w:rsidRPr="00856B2E">
        <w:rPr>
          <w:rFonts w:ascii="Times New Roman" w:hAnsi="Times New Roman" w:cs="Times New Roman"/>
          <w:color w:val="000000" w:themeColor="text1"/>
          <w:sz w:val="16"/>
          <w:szCs w:val="16"/>
        </w:rPr>
        <w:t>Assisstant</w:t>
      </w:r>
      <w:proofErr w:type="spellEnd"/>
      <w:r w:rsidRPr="00856B2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Professor, Department of Surgery, Assam Medical College, Dibrugarh, Assam, India.</w:t>
      </w:r>
      <w:proofErr w:type="gramEnd"/>
    </w:p>
    <w:p w:rsidR="00C6241B" w:rsidRPr="00856B2E" w:rsidRDefault="00C6241B" w:rsidP="00C624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56B2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Email</w:t>
      </w:r>
      <w:r w:rsidRPr="00856B2E">
        <w:rPr>
          <w:rFonts w:ascii="Times New Roman" w:hAnsi="Times New Roman" w:cs="Times New Roman"/>
          <w:sz w:val="16"/>
          <w:szCs w:val="16"/>
        </w:rPr>
        <w:t xml:space="preserve">: </w:t>
      </w:r>
      <w:hyperlink r:id="rId6" w:history="1">
        <w:r w:rsidRPr="00856B2E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drdevidgmc@gmail.com</w:t>
        </w:r>
      </w:hyperlink>
    </w:p>
    <w:p w:rsidR="00C6241B" w:rsidRPr="00856B2E" w:rsidRDefault="00C6241B" w:rsidP="00C624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56B2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Mobile</w:t>
      </w:r>
      <w:proofErr w:type="gramStart"/>
      <w:r w:rsidRPr="00856B2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:</w:t>
      </w:r>
      <w:r w:rsidRPr="00856B2E">
        <w:rPr>
          <w:rFonts w:ascii="Times New Roman" w:hAnsi="Times New Roman" w:cs="Times New Roman"/>
          <w:color w:val="000000" w:themeColor="text1"/>
          <w:sz w:val="16"/>
          <w:szCs w:val="16"/>
        </w:rPr>
        <w:t>+</w:t>
      </w:r>
      <w:proofErr w:type="gramEnd"/>
      <w:r w:rsidRPr="00856B2E">
        <w:rPr>
          <w:rFonts w:ascii="Times New Roman" w:hAnsi="Times New Roman" w:cs="Times New Roman"/>
          <w:color w:val="000000" w:themeColor="text1"/>
          <w:sz w:val="16"/>
          <w:szCs w:val="16"/>
        </w:rPr>
        <w:t>919127754570</w:t>
      </w:r>
    </w:p>
    <w:p w:rsidR="00C6241B" w:rsidRPr="00856B2E" w:rsidRDefault="00C6241B" w:rsidP="00C624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56B2E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 xml:space="preserve">2 </w:t>
      </w:r>
      <w:r w:rsidR="00DF1804" w:rsidRPr="00856B2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Associate Professor </w:t>
      </w:r>
      <w:r w:rsidR="00DF1804" w:rsidRPr="00856B2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(Corresponding Author)</w:t>
      </w:r>
      <w:proofErr w:type="gramStart"/>
      <w:r w:rsidR="00DF1804" w:rsidRPr="00856B2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 w:rsidRPr="00856B2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Department</w:t>
      </w:r>
      <w:proofErr w:type="gramEnd"/>
      <w:r w:rsidRPr="00856B2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of Surgery, </w:t>
      </w:r>
      <w:proofErr w:type="spellStart"/>
      <w:r w:rsidRPr="00856B2E">
        <w:rPr>
          <w:rFonts w:ascii="Times New Roman" w:hAnsi="Times New Roman" w:cs="Times New Roman"/>
          <w:color w:val="000000" w:themeColor="text1"/>
          <w:sz w:val="16"/>
          <w:szCs w:val="16"/>
        </w:rPr>
        <w:t>Fakhruddin</w:t>
      </w:r>
      <w:proofErr w:type="spellEnd"/>
      <w:r w:rsidRPr="00856B2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Ali Ahmed Medical College and Hospital, </w:t>
      </w:r>
      <w:proofErr w:type="spellStart"/>
      <w:r w:rsidRPr="00856B2E">
        <w:rPr>
          <w:rFonts w:ascii="Times New Roman" w:hAnsi="Times New Roman" w:cs="Times New Roman"/>
          <w:color w:val="000000" w:themeColor="text1"/>
          <w:sz w:val="16"/>
          <w:szCs w:val="16"/>
        </w:rPr>
        <w:t>Barpeta</w:t>
      </w:r>
      <w:proofErr w:type="spellEnd"/>
      <w:r w:rsidRPr="00856B2E">
        <w:rPr>
          <w:rFonts w:ascii="Times New Roman" w:hAnsi="Times New Roman" w:cs="Times New Roman"/>
          <w:color w:val="000000" w:themeColor="text1"/>
          <w:sz w:val="16"/>
          <w:szCs w:val="16"/>
        </w:rPr>
        <w:t>, Assam, India.</w:t>
      </w:r>
    </w:p>
    <w:p w:rsidR="00C6241B" w:rsidRPr="00856B2E" w:rsidRDefault="00DF1804" w:rsidP="00C624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56B2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E</w:t>
      </w:r>
      <w:r w:rsidR="00C6241B" w:rsidRPr="00856B2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mail:</w:t>
      </w:r>
      <w:r w:rsidR="00C6241B" w:rsidRPr="00856B2E">
        <w:rPr>
          <w:rFonts w:ascii="Times New Roman" w:hAnsi="Times New Roman" w:cs="Times New Roman"/>
          <w:sz w:val="16"/>
          <w:szCs w:val="16"/>
        </w:rPr>
        <w:t xml:space="preserve"> </w:t>
      </w:r>
      <w:hyperlink r:id="rId7" w:history="1">
        <w:r w:rsidRPr="00856B2E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ppbarua22@gmail.com</w:t>
        </w:r>
      </w:hyperlink>
    </w:p>
    <w:p w:rsidR="00DF1804" w:rsidRPr="00856B2E" w:rsidRDefault="00DF1804" w:rsidP="00C624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856B2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Mobile</w:t>
      </w:r>
      <w:proofErr w:type="gramStart"/>
      <w:r w:rsidRPr="00856B2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:</w:t>
      </w:r>
      <w:r w:rsidRPr="00856B2E">
        <w:rPr>
          <w:rFonts w:ascii="Times New Roman" w:hAnsi="Times New Roman" w:cs="Times New Roman"/>
          <w:color w:val="000000" w:themeColor="text1"/>
          <w:sz w:val="16"/>
          <w:szCs w:val="16"/>
        </w:rPr>
        <w:t>+</w:t>
      </w:r>
      <w:proofErr w:type="gramEnd"/>
      <w:r w:rsidRPr="00856B2E">
        <w:rPr>
          <w:rFonts w:ascii="Times New Roman" w:hAnsi="Times New Roman" w:cs="Times New Roman"/>
          <w:color w:val="000000" w:themeColor="text1"/>
          <w:sz w:val="16"/>
          <w:szCs w:val="16"/>
        </w:rPr>
        <w:t>919435149330</w:t>
      </w:r>
    </w:p>
    <w:p w:rsidR="007D5A1D" w:rsidRPr="008D7667" w:rsidRDefault="007D5A1D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7D5A1D" w:rsidRPr="008D7667" w:rsidSect="007F6DF9">
          <w:pgSz w:w="11907" w:h="16839" w:code="9"/>
          <w:pgMar w:top="1418" w:right="1418" w:bottom="1418" w:left="1418" w:header="720" w:footer="720" w:gutter="0"/>
          <w:cols w:space="720"/>
          <w:docGrid w:linePitch="360"/>
        </w:sectPr>
      </w:pPr>
    </w:p>
    <w:p w:rsidR="00A71FCB" w:rsidRDefault="00C96653" w:rsidP="007D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1F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Introduction</w:t>
      </w:r>
    </w:p>
    <w:p w:rsidR="007D5A1D" w:rsidRPr="00856B2E" w:rsidRDefault="00C96653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Acute </w:t>
      </w:r>
      <w:r w:rsidR="00B93E7D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appendicitis is one of the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common</w:t>
      </w:r>
      <w:r w:rsidR="00B93E7D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est </w:t>
      </w:r>
      <w:proofErr w:type="gramStart"/>
      <w:r w:rsidR="00B93E7D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cause</w:t>
      </w:r>
      <w:proofErr w:type="gramEnd"/>
      <w:r w:rsidR="00B93E7D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acute abdomen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general surgery practice. Complications </w:t>
      </w:r>
      <w:r w:rsidR="00327E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appendicitis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include perforation and generalized peritonitis. Currently, appendectomy</w:t>
      </w:r>
      <w:r w:rsidR="00B93E7D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has been the primary treatment</w:t>
      </w:r>
      <w:r w:rsidR="00DB3C49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most cases</w:t>
      </w:r>
      <w:r w:rsidR="00DB3C49" w:rsidRPr="00856B2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981A6E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However, in 1</w:t>
      </w:r>
      <w:r w:rsidR="00327E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% of cases the</w:t>
      </w:r>
      <w:r w:rsidR="00327E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app</w:t>
      </w:r>
      <w:r w:rsidR="00DB3C49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endix is found to be normal </w:t>
      </w:r>
      <w:r w:rsidR="00DB3C49" w:rsidRPr="00856B2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proofErr w:type="gramStart"/>
      <w:r w:rsidR="00DB3C49" w:rsidRPr="00856B2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,3</w:t>
      </w:r>
      <w:proofErr w:type="gramEnd"/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. Appendectomy can result in many</w:t>
      </w:r>
      <w:r w:rsidR="00981A6E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complications such as surgical wound infection, intestinal obstruction</w:t>
      </w:r>
      <w:r w:rsidR="00B93E7D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27E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due to adhesions,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tubal infertility in females</w:t>
      </w:r>
      <w:r w:rsidR="00327E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rarely fistula. N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on</w:t>
      </w:r>
      <w:r w:rsidR="00C17A1A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operative management with antibiotics may be a cost-effective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alternative to surgery in a large percentage of patients without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increasing the risk and may reduce hospital stay and costs in both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developed and third world </w:t>
      </w:r>
      <w:r w:rsidR="00DB3C49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countries </w:t>
      </w:r>
      <w:r w:rsidR="008D7667" w:rsidRPr="00856B2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4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There is considerable discussion regarding the application of</w:t>
      </w:r>
      <w:r w:rsidR="00011F30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conservative treatment compared with surgical treatment in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selected cases of acute appendicitis, as few studies have addressed</w:t>
      </w:r>
      <w:r w:rsidR="00011F30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B3C49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this issue to date </w:t>
      </w:r>
      <w:r w:rsidR="008D7667" w:rsidRPr="00856B2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5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,</w:t>
      </w:r>
      <w:r w:rsidR="008D7667" w:rsidRPr="00856B2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6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00FC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Some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reports state that immediate appendectomy can be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avoided for at least 24 h</w:t>
      </w:r>
      <w:r w:rsidR="00A552CA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rs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without increasing morbidity if antibiotics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B3C49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are administered </w:t>
      </w:r>
      <w:r w:rsidR="008D7667" w:rsidRPr="00856B2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7</w:t>
      </w:r>
      <w:r w:rsidR="00DB3C49" w:rsidRPr="00856B2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,8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. Other authors suggest that appendectomy</w:t>
      </w:r>
      <w:r w:rsidR="00011F30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may not be necessary for the majority of patients with acute uncompli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cated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appendicitis, as the condition resolves spontaneously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without the need for a surgical procedure in many patients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and in others may be trea</w:t>
      </w:r>
      <w:r w:rsidR="00DB3C49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table with antibiotics alone</w:t>
      </w:r>
      <w:r w:rsidR="00DB3C49" w:rsidRPr="00856B2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9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. This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approach has many advantages, including high success and low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recurrence rates, reduced morbidity and mortality, less pain,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shorter hospitalization and si</w:t>
      </w:r>
      <w:r w:rsidR="00DB3C49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ck leave, and reduced costs </w:t>
      </w:r>
      <w:r w:rsidR="00DB3C49" w:rsidRPr="00856B2E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10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The aim of this study was to evaluate the effectiveness of conservative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treatment in uncomplicated acute appendicitis using</w:t>
      </w:r>
      <w:r w:rsidR="00011F30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antibiotic</w:t>
      </w:r>
      <w:r w:rsidR="009000FC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s.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C96653" w:rsidRDefault="00C4047B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5A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Material</w:t>
      </w:r>
      <w:r w:rsidR="00C96653" w:rsidRPr="007D5A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and methods</w:t>
      </w:r>
    </w:p>
    <w:p w:rsidR="00472993" w:rsidRPr="00856B2E" w:rsidRDefault="00C96653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This </w:t>
      </w:r>
      <w:r w:rsidR="007A37E0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prospective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study was carried out i</w:t>
      </w:r>
      <w:r w:rsidR="00C4047B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 </w:t>
      </w:r>
      <w:proofErr w:type="spellStart"/>
      <w:r w:rsidR="00C4047B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Fakhruddin</w:t>
      </w:r>
      <w:proofErr w:type="spellEnd"/>
      <w:r w:rsidR="00C4047B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Ali Ahmed Medical College </w:t>
      </w:r>
      <w:proofErr w:type="gramStart"/>
      <w:r w:rsidR="00C4047B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between </w:t>
      </w:r>
      <w:r w:rsidR="00011F30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January 2014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4047B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December 2016</w:t>
      </w:r>
      <w:proofErr w:type="gramEnd"/>
      <w:r w:rsidR="00C4047B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. Selected</w:t>
      </w:r>
      <w:r w:rsidR="00011F30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45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patients were enrolled in this study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based on the inclusion and exclusion criteria.</w:t>
      </w:r>
      <w:r w:rsidR="00011F30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All patients above 16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years of age with a history of pain in right iliac </w:t>
      </w:r>
      <w:proofErr w:type="spellStart"/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fossa</w:t>
      </w:r>
      <w:proofErr w:type="spellEnd"/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less than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11F30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72 h</w:t>
      </w:r>
      <w:r w:rsidR="00F2102D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rs</w:t>
      </w:r>
      <w:r w:rsidR="00011F30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clinically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diagnosed as the first attack of appendicitis</w:t>
      </w:r>
      <w:r w:rsidR="00C4047B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were included in this study. Ultrasound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A37E0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of abdomen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was done for all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patients to confirm the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clinical diagnosis of acute appendicitis</w:t>
      </w:r>
      <w:r w:rsidR="00011F30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F57ADF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Patients having perforation, abscess, lump on clinical examination and radiological reports were excluded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57ADF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along with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patients unwilling for conservative</w:t>
      </w:r>
      <w:r w:rsidR="00F57ADF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management.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All patients meeting the inclusion criteria then admitted to the</w:t>
      </w:r>
      <w:r w:rsidR="00DB3C49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hospital and received intravenous antibiotics (</w:t>
      </w:r>
      <w:proofErr w:type="spellStart"/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cefotaxime</w:t>
      </w:r>
      <w:proofErr w:type="spellEnd"/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 g twice</w:t>
      </w:r>
      <w:r w:rsidR="00DB3C49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daily and </w:t>
      </w:r>
      <w:proofErr w:type="spellStart"/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metronidazole</w:t>
      </w:r>
      <w:proofErr w:type="spellEnd"/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infusion 500 mg/100 ml 3 times per day)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00758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for 5 days along with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intravenous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fluids, no oral i</w:t>
      </w:r>
      <w:r w:rsidR="00E00758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ntake with 6 hourly charts for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temperature, blood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pressure, pulse rate, respirator</w:t>
      </w:r>
      <w:r w:rsidR="00E00758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y rate and local abdominal sign. Patients who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did not respond to conservative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treatment or worsened were operated by appendectomy.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Patients were told to contact immediately if pain recurs, vomiting</w:t>
      </w:r>
      <w:r w:rsidR="00E00758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and feve</w:t>
      </w:r>
      <w:r w:rsidR="00E00758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r had occurred. Follow-up was done for one year at interval of three months.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Patients were told to inform us if they underwent</w:t>
      </w:r>
      <w:r w:rsidR="00E00758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 operation outside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DB3C49" w:rsidRPr="00856B2E" w:rsidRDefault="00C96653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56B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Statistical </w:t>
      </w:r>
      <w:proofErr w:type="spellStart"/>
      <w:r w:rsidRPr="00856B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analysis</w:t>
      </w:r>
      <w:proofErr w:type="gramStart"/>
      <w:r w:rsidR="00856B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Statistical</w:t>
      </w:r>
      <w:proofErr w:type="spellEnd"/>
      <w:proofErr w:type="gramEnd"/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package for social science version 20 (SPSS 20) was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used for both data entry and data analysis. Discrete variable presented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as number (%). Chi-square test (or fisher exact test when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appropriate) used to test the significance of association for the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discrete variable. </w:t>
      </w:r>
      <w:proofErr w:type="gramStart"/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p-value</w:t>
      </w:r>
      <w:proofErr w:type="gramEnd"/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&lt;0.05 were considered significant</w:t>
      </w:r>
      <w:r w:rsidRPr="007D5A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71FCB" w:rsidRDefault="00C96653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7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Results</w:t>
      </w:r>
    </w:p>
    <w:p w:rsidR="005F0182" w:rsidRDefault="00472993" w:rsidP="00E72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Out of 45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cases </w:t>
      </w:r>
      <w:r w:rsidR="00547A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27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patients were female</w:t>
      </w:r>
      <w:r w:rsidR="00377306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47A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and 18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patients were male</w:t>
      </w:r>
      <w:r w:rsidR="00302F6A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72C81" w:rsidRPr="00856B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(Figure</w:t>
      </w:r>
      <w:r w:rsidR="00547AC4" w:rsidRPr="00856B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1)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547A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Age distribution is shown in </w:t>
      </w:r>
      <w:r w:rsidR="00547AC4" w:rsidRPr="00856B2E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="00E72C81" w:rsidRPr="00856B2E">
        <w:rPr>
          <w:rFonts w:ascii="Times New Roman" w:hAnsi="Times New Roman" w:cs="Times New Roman"/>
          <w:b/>
          <w:sz w:val="20"/>
          <w:szCs w:val="20"/>
        </w:rPr>
        <w:t>1</w:t>
      </w:r>
      <w:r w:rsidR="00547A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47A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Age 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range</w:t>
      </w:r>
      <w:r w:rsidR="00547A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between 16 and 60 years. Th</w:t>
      </w:r>
      <w:r w:rsidR="00547A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e maximum number of patients (42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%) belonged to age</w:t>
      </w:r>
      <w:r w:rsidR="00F43FD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group 20</w:t>
      </w:r>
      <w:r w:rsidR="00547A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29 years.</w:t>
      </w:r>
      <w:r w:rsidR="00F43FD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47A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30 (66.6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%) patients presented with signs and symptoms of</w:t>
      </w:r>
      <w:r w:rsidR="00F43FD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acute appendicitis to the hospital with time interval </w:t>
      </w:r>
      <w:r w:rsidR="00547A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&lt;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24 h</w:t>
      </w:r>
      <w:r w:rsidR="00547A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rs,8 (17.7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%)</w:t>
      </w:r>
      <w:r w:rsidR="00F43FD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patients presented with time interval 24</w:t>
      </w:r>
      <w:r w:rsidR="00547A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48 h</w:t>
      </w:r>
      <w:r w:rsidR="00547A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rs and 7 (15.5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%) patients</w:t>
      </w:r>
      <w:r w:rsidR="00F43FD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presented with time interval 48</w:t>
      </w:r>
      <w:r w:rsidR="00547A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72 h</w:t>
      </w:r>
      <w:r w:rsidR="00547A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rs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shown in </w:t>
      </w:r>
      <w:r w:rsidR="00C96653" w:rsidRPr="00856B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Table </w:t>
      </w:r>
      <w:r w:rsidR="00E72C81" w:rsidRPr="00856B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F43FD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47A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Out of 45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patients</w:t>
      </w:r>
      <w:r w:rsidR="00547A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47AC4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34 (75.5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%) patients </w:t>
      </w:r>
      <w:r w:rsidR="00146E7A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were successfully managed 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with </w:t>
      </w:r>
      <w:r w:rsidR="00146E7A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conservatively. I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 the remaining </w:t>
      </w:r>
      <w:r w:rsidR="00146E7A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11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(24.4%) pati</w:t>
      </w:r>
      <w:r w:rsidR="00146E7A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ents, conservative treatment failed. F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ailure</w:t>
      </w:r>
      <w:r w:rsidR="00F43FD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46E7A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to respond to treatment was seen in 5 patients (11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%) </w:t>
      </w:r>
      <w:r w:rsidR="00146E7A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during initial admission 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whereas</w:t>
      </w:r>
      <w:r w:rsidR="00F43FD2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recurrence was seen in</w:t>
      </w:r>
      <w:r w:rsidR="00146E7A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</w:t>
      </w:r>
      <w:r w:rsidR="00C96653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patients (13.3%) cases </w:t>
      </w:r>
      <w:r w:rsidR="00146E7A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during follow up period </w:t>
      </w:r>
      <w:r w:rsidR="002C3B05" w:rsidRPr="00856B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(Figure</w:t>
      </w:r>
      <w:r w:rsidR="00E72C81" w:rsidRPr="00856B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="00146E7A" w:rsidRPr="00856B2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r w:rsidR="001E124E" w:rsidRPr="00856B2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5F0182" w:rsidRDefault="005F0182" w:rsidP="00E72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D6224" w:rsidRPr="005F0182" w:rsidRDefault="005F0182" w:rsidP="00E72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</w:t>
      </w:r>
      <w:r w:rsidR="00E72C81">
        <w:rPr>
          <w:noProof/>
        </w:rPr>
        <w:drawing>
          <wp:inline distT="0" distB="0" distL="0" distR="0">
            <wp:extent cx="3344352" cy="3204376"/>
            <wp:effectExtent l="19050" t="0" r="27498" b="0"/>
            <wp:docPr id="13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D6224" w:rsidRDefault="00F74F71" w:rsidP="00F74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72C81" w:rsidRPr="00856B2E" w:rsidRDefault="00E72C81" w:rsidP="00E72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56B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                               </w:t>
      </w:r>
      <w:r w:rsidR="00856B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                 </w:t>
      </w:r>
      <w:r w:rsidRPr="00856B2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Figure 1 </w:t>
      </w:r>
      <w:r w:rsidRPr="00856B2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Sex distribution of the study                         </w:t>
      </w:r>
    </w:p>
    <w:p w:rsidR="008D6224" w:rsidRDefault="008D6224" w:rsidP="00F74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1BB3" w:rsidRDefault="00B91BB3" w:rsidP="00F74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2C81" w:rsidRPr="007F6DF9" w:rsidRDefault="00F74F71" w:rsidP="00E72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F6DF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Table </w:t>
      </w:r>
      <w:r w:rsidR="00E72C81" w:rsidRPr="007F6DF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</w:t>
      </w:r>
      <w:r w:rsidRPr="007F6D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C3B05" w:rsidRPr="007F6DF9">
        <w:rPr>
          <w:rFonts w:ascii="Times New Roman" w:hAnsi="Times New Roman" w:cs="Times New Roman"/>
          <w:color w:val="000000" w:themeColor="text1"/>
          <w:sz w:val="18"/>
          <w:szCs w:val="18"/>
        </w:rPr>
        <w:t>Age distribution of the study</w:t>
      </w:r>
      <w:r w:rsidR="00E72C81" w:rsidRPr="007F6DF9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      </w:t>
      </w:r>
      <w:r w:rsidR="007F6D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</w:t>
      </w:r>
      <w:r w:rsidR="00E72C81" w:rsidRPr="007F6D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72C81" w:rsidRPr="007F6DF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Table 2 </w:t>
      </w:r>
      <w:r w:rsidR="00E72C81" w:rsidRPr="007F6D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Number of the patients according to the </w:t>
      </w:r>
    </w:p>
    <w:p w:rsidR="00E72C81" w:rsidRPr="007F6DF9" w:rsidRDefault="00E72C81" w:rsidP="00E72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F6D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</w:t>
      </w:r>
      <w:r w:rsidR="007F6D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</w:t>
      </w:r>
      <w:r w:rsidRPr="007F6D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 w:rsidRPr="007F6DF9">
        <w:rPr>
          <w:rFonts w:ascii="Times New Roman" w:hAnsi="Times New Roman" w:cs="Times New Roman"/>
          <w:color w:val="000000" w:themeColor="text1"/>
          <w:sz w:val="18"/>
          <w:szCs w:val="18"/>
        </w:rPr>
        <w:t>duration</w:t>
      </w:r>
      <w:proofErr w:type="gramEnd"/>
      <w:r w:rsidRPr="007F6D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of presenting symptoms</w:t>
      </w:r>
      <w:r w:rsidRPr="007F6DF9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tbl>
      <w:tblPr>
        <w:tblStyle w:val="TableGrid"/>
        <w:tblpPr w:leftFromText="180" w:rightFromText="180" w:vertAnchor="text" w:horzAnchor="margin" w:tblpX="108" w:tblpY="37"/>
        <w:tblW w:w="0" w:type="auto"/>
        <w:tblLook w:val="04A0"/>
      </w:tblPr>
      <w:tblGrid>
        <w:gridCol w:w="1458"/>
        <w:gridCol w:w="1525"/>
      </w:tblGrid>
      <w:tr w:rsidR="00E72C81" w:rsidTr="00E72C81">
        <w:tc>
          <w:tcPr>
            <w:tcW w:w="1458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Age (years)</w:t>
            </w:r>
          </w:p>
        </w:tc>
        <w:tc>
          <w:tcPr>
            <w:tcW w:w="1525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No. of patients (%)</w:t>
            </w:r>
          </w:p>
        </w:tc>
      </w:tr>
      <w:tr w:rsidR="00E72C81" w:rsidTr="00E72C81">
        <w:tc>
          <w:tcPr>
            <w:tcW w:w="1458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&lt;19</w:t>
            </w:r>
          </w:p>
        </w:tc>
        <w:tc>
          <w:tcPr>
            <w:tcW w:w="1525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(6.6)</w:t>
            </w:r>
          </w:p>
        </w:tc>
      </w:tr>
      <w:tr w:rsidR="00E72C81" w:rsidTr="00E72C81">
        <w:tc>
          <w:tcPr>
            <w:tcW w:w="1458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20-29 </w:t>
            </w: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525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19(42.2)</w:t>
            </w:r>
          </w:p>
        </w:tc>
      </w:tr>
      <w:tr w:rsidR="00E72C81" w:rsidTr="00E72C81">
        <w:tc>
          <w:tcPr>
            <w:tcW w:w="1458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30-39</w:t>
            </w:r>
          </w:p>
        </w:tc>
        <w:tc>
          <w:tcPr>
            <w:tcW w:w="1525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 (26.6)</w:t>
            </w:r>
          </w:p>
        </w:tc>
      </w:tr>
      <w:tr w:rsidR="00E72C81" w:rsidTr="00E72C81">
        <w:tc>
          <w:tcPr>
            <w:tcW w:w="1458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40-49</w:t>
            </w:r>
          </w:p>
        </w:tc>
        <w:tc>
          <w:tcPr>
            <w:tcW w:w="1525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(20)</w:t>
            </w:r>
          </w:p>
        </w:tc>
      </w:tr>
      <w:tr w:rsidR="00E72C81" w:rsidTr="00E72C81">
        <w:tc>
          <w:tcPr>
            <w:tcW w:w="1458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&gt;50</w:t>
            </w:r>
          </w:p>
        </w:tc>
        <w:tc>
          <w:tcPr>
            <w:tcW w:w="1525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2(4.4)</w:t>
            </w:r>
          </w:p>
        </w:tc>
      </w:tr>
      <w:tr w:rsidR="00E72C81" w:rsidTr="00E72C81">
        <w:tc>
          <w:tcPr>
            <w:tcW w:w="1458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525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45(100)</w:t>
            </w:r>
          </w:p>
        </w:tc>
      </w:tr>
    </w:tbl>
    <w:tbl>
      <w:tblPr>
        <w:tblStyle w:val="TableGrid"/>
        <w:tblpPr w:leftFromText="180" w:rightFromText="180" w:vertAnchor="text" w:horzAnchor="page" w:tblpX="5928" w:tblpY="200"/>
        <w:tblW w:w="0" w:type="auto"/>
        <w:tblLook w:val="04A0"/>
      </w:tblPr>
      <w:tblGrid>
        <w:gridCol w:w="1800"/>
        <w:gridCol w:w="2160"/>
      </w:tblGrid>
      <w:tr w:rsidR="00E72C81" w:rsidTr="00E72C81">
        <w:tc>
          <w:tcPr>
            <w:tcW w:w="1800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Hours of attack of appendicitis</w:t>
            </w:r>
          </w:p>
        </w:tc>
        <w:tc>
          <w:tcPr>
            <w:tcW w:w="2160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No. of the patients (%)</w:t>
            </w:r>
          </w:p>
        </w:tc>
      </w:tr>
      <w:tr w:rsidR="00E72C81" w:rsidTr="00E72C81">
        <w:tc>
          <w:tcPr>
            <w:tcW w:w="1800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&lt;24 h</w:t>
            </w:r>
          </w:p>
        </w:tc>
        <w:tc>
          <w:tcPr>
            <w:tcW w:w="2160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 (66.6)</w:t>
            </w:r>
          </w:p>
        </w:tc>
      </w:tr>
      <w:tr w:rsidR="00E72C81" w:rsidTr="00E72C81">
        <w:tc>
          <w:tcPr>
            <w:tcW w:w="1800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24-48 h</w:t>
            </w:r>
          </w:p>
        </w:tc>
        <w:tc>
          <w:tcPr>
            <w:tcW w:w="2160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 (17.7)</w:t>
            </w:r>
          </w:p>
        </w:tc>
      </w:tr>
      <w:tr w:rsidR="00E72C81" w:rsidTr="00E72C81">
        <w:tc>
          <w:tcPr>
            <w:tcW w:w="1800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48-72 h</w:t>
            </w:r>
          </w:p>
        </w:tc>
        <w:tc>
          <w:tcPr>
            <w:tcW w:w="2160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 (15.5)</w:t>
            </w:r>
          </w:p>
        </w:tc>
      </w:tr>
      <w:tr w:rsidR="00E72C81" w:rsidTr="00E72C81">
        <w:tc>
          <w:tcPr>
            <w:tcW w:w="1800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160" w:type="dxa"/>
          </w:tcPr>
          <w:p w:rsidR="00E72C81" w:rsidRPr="007F6DF9" w:rsidRDefault="00E72C81" w:rsidP="00E72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 (100)</w:t>
            </w:r>
          </w:p>
        </w:tc>
      </w:tr>
    </w:tbl>
    <w:p w:rsidR="00E72C81" w:rsidRPr="00A76DEA" w:rsidRDefault="00E72C81" w:rsidP="00E72C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4F71" w:rsidRPr="00F74F71" w:rsidRDefault="00F74F71" w:rsidP="00F74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6E7A" w:rsidRPr="00F74F71" w:rsidRDefault="00F74F71" w:rsidP="00146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</w:t>
      </w:r>
    </w:p>
    <w:p w:rsidR="00F74F71" w:rsidRPr="007D5A1D" w:rsidRDefault="007F6DF9" w:rsidP="00146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4F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4F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4F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4F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91BB3" w:rsidRPr="00B91BB3" w:rsidRDefault="00B91BB3" w:rsidP="00B91B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3B05" w:rsidRPr="007F6DF9" w:rsidRDefault="00195D2A" w:rsidP="00195D2A">
      <w:r>
        <w:lastRenderedPageBreak/>
        <w:t xml:space="preserve">                              </w:t>
      </w:r>
      <w:r w:rsidR="005D000A">
        <w:rPr>
          <w:noProof/>
        </w:rPr>
        <w:drawing>
          <wp:inline distT="0" distB="0" distL="0" distR="0">
            <wp:extent cx="4063475" cy="2441381"/>
            <wp:effectExtent l="19050" t="0" r="132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91BB3" w:rsidRPr="007F6DF9" w:rsidRDefault="00B91BB3" w:rsidP="00B91BB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</w:t>
      </w:r>
      <w:r w:rsidRPr="007F6DF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Figure 2 </w:t>
      </w:r>
      <w:r w:rsidRPr="007F6DF9">
        <w:rPr>
          <w:rFonts w:ascii="Times New Roman" w:hAnsi="Times New Roman" w:cs="Times New Roman"/>
          <w:color w:val="000000" w:themeColor="text1"/>
          <w:sz w:val="18"/>
          <w:szCs w:val="18"/>
        </w:rPr>
        <w:t>Outcome of conservative treatment</w:t>
      </w:r>
    </w:p>
    <w:p w:rsidR="00E209B1" w:rsidRPr="007F6DF9" w:rsidRDefault="00E209B1" w:rsidP="00E2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7F6DF9">
        <w:rPr>
          <w:rFonts w:ascii="Times New Roman" w:hAnsi="Times New Roman" w:cs="Times New Roman"/>
          <w:color w:val="000000" w:themeColor="text1"/>
          <w:sz w:val="20"/>
          <w:szCs w:val="20"/>
        </w:rPr>
        <w:t>Of  the</w:t>
      </w:r>
      <w:proofErr w:type="gramEnd"/>
      <w:r w:rsidRPr="007F6D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11 patients who failed to respond to conservative treatment, 5 patients were operated after 2 days of treatment, 2 patients were operated after completion of treatment course after 7 days and 4 patients were operated during the follow-up period of 1 year as shown in </w:t>
      </w:r>
      <w:r w:rsidRPr="007F6DF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Table </w:t>
      </w:r>
      <w:r w:rsidR="006570CF" w:rsidRPr="007F6DF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962691">
        <w:rPr>
          <w:rFonts w:ascii="Times New Roman" w:hAnsi="Times New Roman" w:cs="Times New Roman"/>
          <w:color w:val="000000" w:themeColor="text1"/>
          <w:sz w:val="20"/>
          <w:szCs w:val="20"/>
        </w:rPr>
        <w:t>. Among the operated patients</w:t>
      </w:r>
      <w:proofErr w:type="gramStart"/>
      <w:r w:rsidR="00962691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7F6DF9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proofErr w:type="gramEnd"/>
      <w:r w:rsidRPr="007F6D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</w:t>
      </w:r>
      <w:r w:rsidR="00962691">
        <w:rPr>
          <w:rFonts w:ascii="Times New Roman" w:hAnsi="Times New Roman" w:cs="Times New Roman"/>
          <w:color w:val="000000" w:themeColor="text1"/>
          <w:sz w:val="20"/>
          <w:szCs w:val="20"/>
        </w:rPr>
        <w:t>atient had perforated appendix,</w:t>
      </w:r>
      <w:r w:rsidRPr="007F6D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patient had appendicular abscess and 2 patients had appendicular lumps. </w:t>
      </w:r>
    </w:p>
    <w:p w:rsidR="009579FC" w:rsidRPr="007F6DF9" w:rsidRDefault="007F6DF9" w:rsidP="00E2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</w:t>
      </w:r>
      <w:r w:rsidR="00E209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524E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Table </w:t>
      </w:r>
      <w:r w:rsidR="006570CF" w:rsidRPr="007F6DF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3</w:t>
      </w:r>
      <w:r w:rsidR="00D524E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E209B1" w:rsidRPr="007F6DF9">
        <w:rPr>
          <w:rFonts w:ascii="Times New Roman" w:hAnsi="Times New Roman" w:cs="Times New Roman"/>
          <w:color w:val="000000" w:themeColor="text1"/>
          <w:sz w:val="18"/>
          <w:szCs w:val="18"/>
        </w:rPr>
        <w:t>Appendectomies after trial of conservative treatment</w:t>
      </w:r>
    </w:p>
    <w:tbl>
      <w:tblPr>
        <w:tblStyle w:val="TableGrid"/>
        <w:tblW w:w="0" w:type="auto"/>
        <w:tblInd w:w="558" w:type="dxa"/>
        <w:tblLook w:val="04A0"/>
      </w:tblPr>
      <w:tblGrid>
        <w:gridCol w:w="4230"/>
        <w:gridCol w:w="3690"/>
      </w:tblGrid>
      <w:tr w:rsidR="00E209B1" w:rsidTr="009579FC">
        <w:tc>
          <w:tcPr>
            <w:tcW w:w="4230" w:type="dxa"/>
          </w:tcPr>
          <w:p w:rsidR="00E209B1" w:rsidRPr="007F6DF9" w:rsidRDefault="00E209B1" w:rsidP="00E209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Time of interval appendectomy</w:t>
            </w:r>
          </w:p>
        </w:tc>
        <w:tc>
          <w:tcPr>
            <w:tcW w:w="3690" w:type="dxa"/>
          </w:tcPr>
          <w:p w:rsidR="00E209B1" w:rsidRPr="007F6DF9" w:rsidRDefault="00E209B1" w:rsidP="00E209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No. of the patients(n = 11)</w:t>
            </w:r>
          </w:p>
        </w:tc>
      </w:tr>
      <w:tr w:rsidR="00E209B1" w:rsidTr="009579FC">
        <w:tc>
          <w:tcPr>
            <w:tcW w:w="4230" w:type="dxa"/>
          </w:tcPr>
          <w:p w:rsidR="00E209B1" w:rsidRPr="007F6DF9" w:rsidRDefault="00E209B1" w:rsidP="00E209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Surgery after 48 h of treatment </w:t>
            </w: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3690" w:type="dxa"/>
          </w:tcPr>
          <w:p w:rsidR="00E209B1" w:rsidRPr="007F6DF9" w:rsidRDefault="00E209B1" w:rsidP="00E209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5</w:t>
            </w:r>
          </w:p>
        </w:tc>
      </w:tr>
      <w:tr w:rsidR="00E209B1" w:rsidTr="009579FC">
        <w:tc>
          <w:tcPr>
            <w:tcW w:w="4230" w:type="dxa"/>
          </w:tcPr>
          <w:p w:rsidR="00E209B1" w:rsidRPr="007F6DF9" w:rsidRDefault="00E209B1" w:rsidP="00E209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Appendectomy after 7 days of treatment</w:t>
            </w:r>
          </w:p>
        </w:tc>
        <w:tc>
          <w:tcPr>
            <w:tcW w:w="3690" w:type="dxa"/>
          </w:tcPr>
          <w:p w:rsidR="00E209B1" w:rsidRPr="007F6DF9" w:rsidRDefault="009579FC" w:rsidP="00E209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</w:t>
            </w:r>
            <w:r w:rsidR="00E209B1"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E209B1" w:rsidTr="009579FC">
        <w:tc>
          <w:tcPr>
            <w:tcW w:w="4230" w:type="dxa"/>
          </w:tcPr>
          <w:p w:rsidR="00E209B1" w:rsidRPr="007F6DF9" w:rsidRDefault="00E209B1" w:rsidP="00E209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Appendectomy within 1 year                </w:t>
            </w:r>
          </w:p>
        </w:tc>
        <w:tc>
          <w:tcPr>
            <w:tcW w:w="3690" w:type="dxa"/>
          </w:tcPr>
          <w:p w:rsidR="00E209B1" w:rsidRPr="007F6DF9" w:rsidRDefault="009579FC" w:rsidP="00E209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6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</w:t>
            </w:r>
          </w:p>
        </w:tc>
      </w:tr>
    </w:tbl>
    <w:p w:rsidR="00146E7A" w:rsidRPr="007D5A1D" w:rsidRDefault="00146E7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46E7A" w:rsidRPr="007D5A1D" w:rsidSect="007F6DF9">
          <w:type w:val="continuous"/>
          <w:pgSz w:w="11907" w:h="16839" w:code="9"/>
          <w:pgMar w:top="1418" w:right="1418" w:bottom="1418" w:left="1418" w:header="720" w:footer="720" w:gutter="0"/>
          <w:cols w:space="720"/>
          <w:docGrid w:linePitch="360"/>
        </w:sectPr>
      </w:pPr>
    </w:p>
    <w:p w:rsidR="00A76DEA" w:rsidRPr="007D5A1D" w:rsidRDefault="00A76DE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A76DEA" w:rsidRPr="007D5A1D" w:rsidSect="007F6DF9">
          <w:type w:val="continuous"/>
          <w:pgSz w:w="11907" w:h="16839" w:code="9"/>
          <w:pgMar w:top="1418" w:right="1418" w:bottom="1418" w:left="1418" w:header="720" w:footer="720" w:gutter="0"/>
          <w:cols w:space="720"/>
          <w:docGrid w:linePitch="360"/>
        </w:sectPr>
      </w:pPr>
    </w:p>
    <w:p w:rsidR="00FC59FB" w:rsidRDefault="00FC59FB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5A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Discussion</w:t>
      </w:r>
    </w:p>
    <w:p w:rsidR="00FC59FB" w:rsidRPr="005F0182" w:rsidRDefault="00AE0245" w:rsidP="00AE0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FC59FB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ppendectomy has been regarded as the gold</w:t>
      </w:r>
      <w:r w:rsidR="006570CF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C59FB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standard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treatment of acute appendicitis. The mortality rate of appendectomy ranges from 0.07 to 0.7 and from 0.5 to 2.4 without and with perforation, respectively.</w:t>
      </w:r>
      <w:r w:rsidR="004F0393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Antibiotic treatment can reduce the mortality and morbidity risk associated with surgery. </w:t>
      </w:r>
      <w:r w:rsidR="00FC59FB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Antibiotics give the chance to treat acute appendicitis when</w:t>
      </w:r>
      <w:r w:rsidR="004F0393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C59FB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surgical means are not readily accessible particularly in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rural areas of </w:t>
      </w:r>
      <w:r w:rsidR="00FC59FB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developing</w:t>
      </w:r>
      <w:r w:rsidR="004F0393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C59FB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countries and isolated areas. Conservative treatment is associated</w:t>
      </w:r>
      <w:r w:rsidR="004F0393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C59FB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with less co</w:t>
      </w:r>
      <w:r w:rsidR="009579FC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 effect balanced to surgery </w:t>
      </w:r>
      <w:r w:rsidR="009579FC" w:rsidRPr="005F018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="008D7667" w:rsidRPr="005F018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="00FC59FB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FC59FB" w:rsidRPr="005F0182" w:rsidRDefault="00FC59FB" w:rsidP="00AE0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the present study, </w:t>
      </w:r>
      <w:r w:rsidR="00AE0245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34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patients out of </w:t>
      </w:r>
      <w:r w:rsidR="00AE0245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45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patients were</w:t>
      </w:r>
      <w:r w:rsidR="007D5A1D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0245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successfully treated with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conservative method and </w:t>
      </w:r>
      <w:r w:rsidR="00AE0245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patients (11%) failed</w:t>
      </w:r>
      <w:r w:rsidR="007D5A1D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to respond to conservative treatment and had been operated and</w:t>
      </w:r>
      <w:r w:rsidR="007D5A1D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further </w:t>
      </w:r>
      <w:r w:rsidR="00AE0245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patients (13.3%) show</w:t>
      </w:r>
      <w:r w:rsidR="00AE0245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ed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recurrence of appendicitis during</w:t>
      </w:r>
      <w:r w:rsidR="007D5A1D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follow-up period. </w:t>
      </w:r>
      <w:r w:rsidR="00AE0245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Thus 11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patients failed to</w:t>
      </w:r>
      <w:r w:rsidR="00AE0245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respond and the failure rate was 24.4%. In a similar study done in</w:t>
      </w:r>
      <w:r w:rsidR="00962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Sahlgrenska</w:t>
      </w:r>
      <w:proofErr w:type="spellEnd"/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University Hospital (between May 2009 and February</w:t>
      </w:r>
      <w:r w:rsidR="007D5A1D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2010) involving 442 patients show that 342 patients (77.4%) treated</w:t>
      </w:r>
      <w:r w:rsidR="007D5A1D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conservatively successfully and 100 patients (22.6%) failed to</w:t>
      </w:r>
      <w:r w:rsidR="007D5A1D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res</w:t>
      </w:r>
      <w:r w:rsidR="009579FC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pond to conservative treatment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="008D7667" w:rsidRPr="005F018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, which nearly resemble our</w:t>
      </w:r>
      <w:r w:rsidR="007D5A1D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study results. Another study which was done in the surgical</w:t>
      </w:r>
      <w:r w:rsidR="009579FC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department of GMERS Medical College, </w:t>
      </w:r>
      <w:proofErr w:type="spellStart"/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Gandhinagar</w:t>
      </w:r>
      <w:proofErr w:type="spellEnd"/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between years</w:t>
      </w:r>
      <w:r w:rsidR="007D5A1D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2011</w:t>
      </w:r>
      <w:r w:rsidR="00AE0245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2013, that involve a sample of 30 patients undergoing conservative</w:t>
      </w:r>
      <w:r w:rsidR="007D5A1D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management show that 21 patients (70%) treated</w:t>
      </w:r>
      <w:r w:rsidR="00AE0245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conservatively successfully and 9 patients (30%) failed to respond</w:t>
      </w:r>
      <w:r w:rsidR="00AE0245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9FC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conservatively </w:t>
      </w:r>
      <w:r w:rsidR="008D7667" w:rsidRPr="005F018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13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. Our</w:t>
      </w:r>
      <w:r w:rsidR="00AE0245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study results also agree with a recent study done in India in 2016 by</w:t>
      </w:r>
      <w:r w:rsidR="007D5A1D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Gedam</w:t>
      </w:r>
      <w:proofErr w:type="spellEnd"/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PS. Et al which involved 71 patients and showed a successful</w:t>
      </w:r>
      <w:r w:rsidR="007D5A1D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rate 74.65%, treatment failure rate 14.08% and recurrence</w:t>
      </w:r>
      <w:r w:rsidR="00A71FCB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9FC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rate 13.11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="008D7667" w:rsidRPr="005F018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4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9579FC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used third generation cephalosporin and </w:t>
      </w:r>
      <w:proofErr w:type="spellStart"/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metronidazole</w:t>
      </w:r>
      <w:proofErr w:type="spellEnd"/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</w:t>
      </w:r>
      <w:r w:rsidR="007D5A1D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>all our patients</w:t>
      </w:r>
      <w:r w:rsidR="00AE0245"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similar to </w:t>
      </w:r>
      <w:r w:rsidRPr="005F01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most randomized control trials. </w:t>
      </w:r>
    </w:p>
    <w:p w:rsidR="00A71FCB" w:rsidRPr="007D5A1D" w:rsidRDefault="00FC59FB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5A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Conclusion</w:t>
      </w:r>
    </w:p>
    <w:p w:rsidR="00FC59FB" w:rsidRPr="00195D2A" w:rsidRDefault="00FC59FB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>Conservative treatment can be applied safely in</w:t>
      </w:r>
      <w:r w:rsidR="00C17A1A"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>the majority of cases of the first attack of uncomplicated acute</w:t>
      </w:r>
      <w:r w:rsidR="00E65145"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>appendicitis, avoiding appendectomy and its associated</w:t>
      </w:r>
      <w:r w:rsidR="00C17A1A"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morbidity and mortality. However, conservative treatment </w:t>
      </w:r>
      <w:r w:rsidR="00C17A1A"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needs </w:t>
      </w:r>
      <w:r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close monitoring and </w:t>
      </w:r>
      <w:r w:rsidR="00C17A1A"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follow up </w:t>
      </w:r>
      <w:r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>of the patients. Treatment</w:t>
      </w:r>
      <w:r w:rsidR="00E65145"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failure after conservative treatment is </w:t>
      </w:r>
      <w:r w:rsidR="00C17A1A"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</w:t>
      </w:r>
      <w:r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>low</w:t>
      </w:r>
      <w:r w:rsidR="00C17A1A"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incidence</w:t>
      </w:r>
      <w:r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acceptable</w:t>
      </w:r>
      <w:r w:rsidR="00C17A1A"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the patient</w:t>
      </w:r>
      <w:r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B91BB3" w:rsidRPr="00195D2A" w:rsidRDefault="00B91BB3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95D2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Conflict of interest:</w:t>
      </w:r>
      <w:r w:rsidR="00195D2A"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 conflict of interest associated with this work.</w:t>
      </w:r>
    </w:p>
    <w:p w:rsidR="00195D2A" w:rsidRDefault="00B91BB3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95D2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Ethical clearance:</w:t>
      </w:r>
      <w:r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Taken.</w:t>
      </w:r>
    </w:p>
    <w:p w:rsidR="00B91BB3" w:rsidRPr="00195D2A" w:rsidRDefault="00B91BB3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95D2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Financial support:</w:t>
      </w:r>
      <w:r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None</w:t>
      </w:r>
    </w:p>
    <w:p w:rsidR="00B91BB3" w:rsidRPr="00195D2A" w:rsidRDefault="00B91BB3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95D2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Contribution of Authors:</w:t>
      </w:r>
      <w:r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We declared that this work was done by the authors named in this article and all liabilities pertaining to claims relating to the content of this article</w:t>
      </w:r>
      <w:r w:rsidR="00FC6B16" w:rsidRPr="00195D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will be borne by the authors.</w:t>
      </w:r>
    </w:p>
    <w:p w:rsidR="00A71FCB" w:rsidRPr="008D7667" w:rsidRDefault="00A71FCB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A71FCB" w:rsidRPr="008D7667" w:rsidSect="007F6DF9">
          <w:type w:val="continuous"/>
          <w:pgSz w:w="11907" w:h="16839" w:code="9"/>
          <w:pgMar w:top="1418" w:right="1418" w:bottom="1418" w:left="1418" w:header="720" w:footer="720" w:gutter="0"/>
          <w:cols w:space="720"/>
          <w:docGrid w:linePitch="360"/>
        </w:sectPr>
      </w:pPr>
    </w:p>
    <w:p w:rsidR="00FC59FB" w:rsidRDefault="00FC59FB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1F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References</w:t>
      </w:r>
    </w:p>
    <w:p w:rsidR="008D7667" w:rsidRPr="00195D2A" w:rsidRDefault="008D7667" w:rsidP="008D7667">
      <w:pPr>
        <w:pStyle w:val="Default"/>
        <w:spacing w:after="59"/>
        <w:rPr>
          <w:sz w:val="16"/>
          <w:szCs w:val="16"/>
        </w:rPr>
      </w:pPr>
      <w:r w:rsidRPr="00195D2A">
        <w:rPr>
          <w:sz w:val="16"/>
          <w:szCs w:val="16"/>
        </w:rPr>
        <w:t xml:space="preserve">1. </w:t>
      </w:r>
      <w:proofErr w:type="spellStart"/>
      <w:r w:rsidRPr="00195D2A">
        <w:rPr>
          <w:sz w:val="16"/>
          <w:szCs w:val="16"/>
        </w:rPr>
        <w:t>Addiss</w:t>
      </w:r>
      <w:proofErr w:type="spellEnd"/>
      <w:r w:rsidRPr="00195D2A">
        <w:rPr>
          <w:sz w:val="16"/>
          <w:szCs w:val="16"/>
        </w:rPr>
        <w:t xml:space="preserve"> DG, Shaffer N, Fowler BS, </w:t>
      </w:r>
      <w:proofErr w:type="spellStart"/>
      <w:r w:rsidRPr="00195D2A">
        <w:rPr>
          <w:sz w:val="16"/>
          <w:szCs w:val="16"/>
        </w:rPr>
        <w:t>Tauxe</w:t>
      </w:r>
      <w:proofErr w:type="spellEnd"/>
      <w:r w:rsidRPr="00195D2A">
        <w:rPr>
          <w:sz w:val="16"/>
          <w:szCs w:val="16"/>
        </w:rPr>
        <w:t xml:space="preserve"> RV. </w:t>
      </w:r>
      <w:proofErr w:type="gramStart"/>
      <w:r w:rsidRPr="00195D2A">
        <w:rPr>
          <w:sz w:val="16"/>
          <w:szCs w:val="16"/>
        </w:rPr>
        <w:t>The epidemiology of appendicitis and appen</w:t>
      </w:r>
      <w:r w:rsidR="00FC6B16" w:rsidRPr="00195D2A">
        <w:rPr>
          <w:sz w:val="16"/>
          <w:szCs w:val="16"/>
        </w:rPr>
        <w:t>dectomy in US.</w:t>
      </w:r>
      <w:proofErr w:type="gramEnd"/>
      <w:r w:rsidR="00FC6B16" w:rsidRPr="00195D2A">
        <w:rPr>
          <w:sz w:val="16"/>
          <w:szCs w:val="16"/>
        </w:rPr>
        <w:t xml:space="preserve"> Am J </w:t>
      </w:r>
      <w:proofErr w:type="spellStart"/>
      <w:r w:rsidR="00FC6B16" w:rsidRPr="00195D2A">
        <w:rPr>
          <w:sz w:val="16"/>
          <w:szCs w:val="16"/>
        </w:rPr>
        <w:t>Epidemiol</w:t>
      </w:r>
      <w:proofErr w:type="spellEnd"/>
      <w:r w:rsidR="00FC6B16" w:rsidRPr="00195D2A">
        <w:rPr>
          <w:sz w:val="16"/>
          <w:szCs w:val="16"/>
        </w:rPr>
        <w:t xml:space="preserve"> 1990</w:t>
      </w:r>
      <w:proofErr w:type="gramStart"/>
      <w:r w:rsidR="00FC6B16" w:rsidRPr="00195D2A">
        <w:rPr>
          <w:sz w:val="16"/>
          <w:szCs w:val="16"/>
        </w:rPr>
        <w:t>;132:</w:t>
      </w:r>
      <w:r w:rsidRPr="00195D2A">
        <w:rPr>
          <w:sz w:val="16"/>
          <w:szCs w:val="16"/>
        </w:rPr>
        <w:t>910</w:t>
      </w:r>
      <w:proofErr w:type="gramEnd"/>
      <w:r w:rsidRPr="00195D2A">
        <w:rPr>
          <w:sz w:val="16"/>
          <w:szCs w:val="16"/>
        </w:rPr>
        <w:t xml:space="preserve">-23. </w:t>
      </w:r>
    </w:p>
    <w:p w:rsidR="008D7667" w:rsidRPr="00195D2A" w:rsidRDefault="008D7667" w:rsidP="008D7667">
      <w:pPr>
        <w:pStyle w:val="Default"/>
        <w:spacing w:after="59"/>
        <w:rPr>
          <w:sz w:val="16"/>
          <w:szCs w:val="16"/>
        </w:rPr>
      </w:pPr>
      <w:r w:rsidRPr="00195D2A">
        <w:rPr>
          <w:sz w:val="16"/>
          <w:szCs w:val="16"/>
        </w:rPr>
        <w:lastRenderedPageBreak/>
        <w:t xml:space="preserve">2. Raja AS, Wright C, </w:t>
      </w:r>
      <w:proofErr w:type="spellStart"/>
      <w:r w:rsidRPr="00195D2A">
        <w:rPr>
          <w:sz w:val="16"/>
          <w:szCs w:val="16"/>
        </w:rPr>
        <w:t>Sodickson</w:t>
      </w:r>
      <w:proofErr w:type="spellEnd"/>
      <w:r w:rsidRPr="00195D2A">
        <w:rPr>
          <w:sz w:val="16"/>
          <w:szCs w:val="16"/>
        </w:rPr>
        <w:t xml:space="preserve"> AD, Zane RD, Schiff GD, Hanson R, </w:t>
      </w:r>
      <w:proofErr w:type="spellStart"/>
      <w:r w:rsidRPr="00195D2A">
        <w:rPr>
          <w:sz w:val="16"/>
          <w:szCs w:val="16"/>
        </w:rPr>
        <w:t>Baeyens</w:t>
      </w:r>
      <w:proofErr w:type="spellEnd"/>
      <w:r w:rsidRPr="00195D2A">
        <w:rPr>
          <w:sz w:val="16"/>
          <w:szCs w:val="16"/>
        </w:rPr>
        <w:t xml:space="preserve"> PF, </w:t>
      </w:r>
      <w:proofErr w:type="spellStart"/>
      <w:r w:rsidRPr="00195D2A">
        <w:rPr>
          <w:sz w:val="16"/>
          <w:szCs w:val="16"/>
        </w:rPr>
        <w:t>Khorasani</w:t>
      </w:r>
      <w:proofErr w:type="spellEnd"/>
      <w:r w:rsidRPr="00195D2A">
        <w:rPr>
          <w:sz w:val="16"/>
          <w:szCs w:val="16"/>
        </w:rPr>
        <w:t xml:space="preserve"> R. Negative appendectomy rate in era of CT: An </w:t>
      </w:r>
      <w:r w:rsidR="00FC6B16" w:rsidRPr="00195D2A">
        <w:rPr>
          <w:sz w:val="16"/>
          <w:szCs w:val="16"/>
        </w:rPr>
        <w:t>18-year perspective: Radiology 2010;256(2):</w:t>
      </w:r>
      <w:r w:rsidRPr="00195D2A">
        <w:rPr>
          <w:sz w:val="16"/>
          <w:szCs w:val="16"/>
        </w:rPr>
        <w:t xml:space="preserve">460-5. </w:t>
      </w:r>
    </w:p>
    <w:p w:rsidR="008D7667" w:rsidRPr="00195D2A" w:rsidRDefault="008D7667" w:rsidP="008D7667">
      <w:pPr>
        <w:pStyle w:val="Default"/>
        <w:spacing w:after="59"/>
        <w:rPr>
          <w:sz w:val="16"/>
          <w:szCs w:val="16"/>
        </w:rPr>
      </w:pPr>
      <w:r w:rsidRPr="00195D2A">
        <w:rPr>
          <w:sz w:val="16"/>
          <w:szCs w:val="16"/>
        </w:rPr>
        <w:t xml:space="preserve">3. Colson M Skinner, </w:t>
      </w:r>
      <w:proofErr w:type="spellStart"/>
      <w:r w:rsidRPr="00195D2A">
        <w:rPr>
          <w:sz w:val="16"/>
          <w:szCs w:val="16"/>
        </w:rPr>
        <w:t>Dunnington</w:t>
      </w:r>
      <w:proofErr w:type="spellEnd"/>
      <w:r w:rsidRPr="00195D2A">
        <w:rPr>
          <w:sz w:val="16"/>
          <w:szCs w:val="16"/>
        </w:rPr>
        <w:t xml:space="preserve"> G. High negative appendectomy rates are no longer acceptable. Am J</w:t>
      </w:r>
      <w:r w:rsidR="00FC6B16" w:rsidRPr="00195D2A">
        <w:rPr>
          <w:sz w:val="16"/>
          <w:szCs w:val="16"/>
        </w:rPr>
        <w:t xml:space="preserve"> </w:t>
      </w:r>
      <w:proofErr w:type="spellStart"/>
      <w:r w:rsidR="00FC6B16" w:rsidRPr="00195D2A">
        <w:rPr>
          <w:sz w:val="16"/>
          <w:szCs w:val="16"/>
        </w:rPr>
        <w:t>Surg</w:t>
      </w:r>
      <w:proofErr w:type="spellEnd"/>
      <w:r w:rsidR="00FC6B16" w:rsidRPr="00195D2A">
        <w:rPr>
          <w:sz w:val="16"/>
          <w:szCs w:val="16"/>
        </w:rPr>
        <w:t xml:space="preserve"> 1997</w:t>
      </w:r>
      <w:proofErr w:type="gramStart"/>
      <w:r w:rsidR="00FC6B16" w:rsidRPr="00195D2A">
        <w:rPr>
          <w:sz w:val="16"/>
          <w:szCs w:val="16"/>
        </w:rPr>
        <w:t>;174:</w:t>
      </w:r>
      <w:r w:rsidRPr="00195D2A">
        <w:rPr>
          <w:sz w:val="16"/>
          <w:szCs w:val="16"/>
        </w:rPr>
        <w:t>723</w:t>
      </w:r>
      <w:proofErr w:type="gramEnd"/>
      <w:r w:rsidRPr="00195D2A">
        <w:rPr>
          <w:sz w:val="16"/>
          <w:szCs w:val="16"/>
        </w:rPr>
        <w:t xml:space="preserve">-7. </w:t>
      </w:r>
    </w:p>
    <w:p w:rsidR="00FC59FB" w:rsidRPr="00195D2A" w:rsidRDefault="008D7667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4.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Subramanian A, Liang MK. A 60-year literature review of stump appendicitis: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the need</w:t>
      </w:r>
      <w:r w:rsidR="00FC6B16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for a critical view. Am J </w:t>
      </w:r>
      <w:proofErr w:type="spellStart"/>
      <w:r w:rsidR="00FC6B16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Surg</w:t>
      </w:r>
      <w:proofErr w:type="spellEnd"/>
      <w:r w:rsidR="00FC6B16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2012</w:t>
      </w:r>
      <w:proofErr w:type="gramStart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;203:503</w:t>
      </w:r>
      <w:proofErr w:type="gramEnd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7.</w:t>
      </w:r>
    </w:p>
    <w:p w:rsidR="00FC59FB" w:rsidRPr="00195D2A" w:rsidRDefault="008D7667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5.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Ansaloni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L, Catena F,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Coccolini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F,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Ercolani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G,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Gazzotti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F,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Pasqualini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E, et al.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Surgery versus conservative antibiotic treatment in acute appendicitis: a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systematic review and meta-analysis of randomized controlled trials. Dig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Surg</w:t>
      </w:r>
      <w:proofErr w:type="spellEnd"/>
      <w:r w:rsidR="00FC6B16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2011</w:t>
      </w:r>
      <w:proofErr w:type="gram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;28:2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10</w:t>
      </w:r>
      <w:proofErr w:type="gramEnd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21.</w:t>
      </w:r>
    </w:p>
    <w:p w:rsidR="00FC59FB" w:rsidRPr="00195D2A" w:rsidRDefault="008D7667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6.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Styrud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J, Eriksson S, Nilsson I,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Ahlberg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G,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Haapaniemi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S,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Neovius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G, et al. Appendectomy</w:t>
      </w:r>
    </w:p>
    <w:p w:rsidR="00FC59FB" w:rsidRPr="00195D2A" w:rsidRDefault="00FC59FB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gramStart"/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versus</w:t>
      </w:r>
      <w:proofErr w:type="gramEnd"/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antibiotic treatment in acute appendicitis. A prospective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multicenter randomized controlled tria</w:t>
      </w:r>
      <w:r w:rsidR="00FC6B16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l. World J </w:t>
      </w:r>
      <w:proofErr w:type="spellStart"/>
      <w:r w:rsidR="00FC6B16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Surg</w:t>
      </w:r>
      <w:proofErr w:type="spellEnd"/>
      <w:r w:rsidR="00FC6B16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2006</w:t>
      </w:r>
      <w:proofErr w:type="gramStart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;30</w:t>
      </w:r>
      <w:proofErr w:type="gramEnd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(6):1033-</w:t>
      </w:r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7.</w:t>
      </w:r>
    </w:p>
    <w:p w:rsidR="00FC59FB" w:rsidRPr="00195D2A" w:rsidRDefault="009000FC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8D7667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7.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Shindoh J,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Niwa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H, Kawai K,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Ohata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K, Ishihara Y,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Takabayashi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N, et al. Predictive</w:t>
      </w:r>
    </w:p>
    <w:p w:rsidR="00FC59FB" w:rsidRPr="00195D2A" w:rsidRDefault="00FC59FB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gramStart"/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factors</w:t>
      </w:r>
      <w:proofErr w:type="gramEnd"/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for negative outcomes in initial non-operative management of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suspected appendicitis. J </w:t>
      </w:r>
      <w:proofErr w:type="spellStart"/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G</w:t>
      </w:r>
      <w:r w:rsidR="00FC6B16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astrointest</w:t>
      </w:r>
      <w:proofErr w:type="spellEnd"/>
      <w:r w:rsidR="00FC6B16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FC6B16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Surg</w:t>
      </w:r>
      <w:proofErr w:type="spellEnd"/>
      <w:r w:rsidR="00FC6B16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2010</w:t>
      </w:r>
      <w:proofErr w:type="gramStart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;14</w:t>
      </w:r>
      <w:proofErr w:type="gramEnd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(2):309-</w:t>
      </w:r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14.</w:t>
      </w:r>
    </w:p>
    <w:p w:rsidR="00FC59FB" w:rsidRPr="00195D2A" w:rsidRDefault="008D7667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8.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Liu K,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Fogg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L. Use of antibiotics alone for treatment of uncomplicated acute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appendicitis: a systematic review and meta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-analysis. Surgery 2011</w:t>
      </w:r>
      <w:proofErr w:type="gramStart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;150:673</w:t>
      </w:r>
      <w:proofErr w:type="gramEnd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83.</w:t>
      </w:r>
    </w:p>
    <w:p w:rsidR="00FC59FB" w:rsidRPr="00195D2A" w:rsidRDefault="008D7667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9.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Mason RJ. Surgery for appendicitis: is it necessary?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Surg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Infect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Larchmt</w:t>
      </w:r>
      <w:proofErr w:type="spellEnd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2008</w:t>
      </w:r>
      <w:proofErr w:type="gramStart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;9</w:t>
      </w:r>
      <w:proofErr w:type="gramEnd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(4):481-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8.</w:t>
      </w:r>
    </w:p>
    <w:p w:rsidR="00FC59FB" w:rsidRPr="00195D2A" w:rsidRDefault="008D7667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10.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Sakorafas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GH,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Mastoraki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Lappas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C,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Sampanis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Danias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N,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Smyrniotis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V,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et al. Conservative treatment of acute appendicitis: heresy or an effective and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acceptable alternative to surge</w:t>
      </w:r>
      <w:r w:rsidR="00FC6B16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ry? </w:t>
      </w:r>
      <w:proofErr w:type="spellStart"/>
      <w:r w:rsidR="00FC6B16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Eur</w:t>
      </w:r>
      <w:proofErr w:type="spellEnd"/>
      <w:r w:rsidR="00FC6B16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J </w:t>
      </w:r>
      <w:proofErr w:type="spellStart"/>
      <w:r w:rsidR="00FC6B16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Gastroenterol</w:t>
      </w:r>
      <w:proofErr w:type="spellEnd"/>
      <w:r w:rsidR="00FC6B16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FC6B16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Hepatol</w:t>
      </w:r>
      <w:proofErr w:type="spellEnd"/>
      <w:r w:rsidR="00FC6B16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2011</w:t>
      </w:r>
      <w:proofErr w:type="gram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;23</w:t>
      </w:r>
      <w:proofErr w:type="gram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(2):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121-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7.</w:t>
      </w:r>
    </w:p>
    <w:p w:rsidR="00FC59FB" w:rsidRPr="00195D2A" w:rsidRDefault="008D7667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11.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Hansson J,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Korner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U,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Khorram-Manesh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A, Solberg A,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Lundholm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K. Randomized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clinical trial of antibiotic therapy versus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appendicectomy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as primary treatment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of acute appendicitis in unselected patients. Br J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Surg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2009</w:t>
      </w:r>
      <w:proofErr w:type="gram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;96</w:t>
      </w:r>
      <w:proofErr w:type="gram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(5):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473-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81.</w:t>
      </w:r>
    </w:p>
    <w:p w:rsidR="00FC59FB" w:rsidRPr="00195D2A" w:rsidRDefault="008D7667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12.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Hansson J, </w:t>
      </w:r>
      <w:proofErr w:type="spellStart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K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or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ner</w:t>
      </w:r>
      <w:proofErr w:type="spellEnd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U, </w:t>
      </w:r>
      <w:proofErr w:type="spellStart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Ludwigs</w:t>
      </w:r>
      <w:proofErr w:type="spellEnd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K, </w:t>
      </w:r>
      <w:proofErr w:type="spellStart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Johnsson</w:t>
      </w:r>
      <w:proofErr w:type="spellEnd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E, </w:t>
      </w:r>
      <w:proofErr w:type="spellStart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J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onsson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C,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Lundholm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K. Antibiotics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as first-line therapy for acute appendicitis: evidence for a change in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clinical practic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e. World J </w:t>
      </w:r>
      <w:proofErr w:type="spellStart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Surg</w:t>
      </w:r>
      <w:proofErr w:type="spellEnd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2012</w:t>
      </w:r>
      <w:proofErr w:type="gramStart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;36</w:t>
      </w:r>
      <w:proofErr w:type="gramEnd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(9):2028-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36.</w:t>
      </w:r>
    </w:p>
    <w:p w:rsidR="00FC59FB" w:rsidRPr="00195D2A" w:rsidRDefault="008D7667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13.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Vaishnav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U,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Chauhan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H. Evaluation of conservative management of acute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appendicitis in tertiary c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are hospital. IAIM 2016</w:t>
      </w:r>
      <w:proofErr w:type="gramStart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;3</w:t>
      </w:r>
      <w:proofErr w:type="gramEnd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(2):41-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4.</w:t>
      </w:r>
    </w:p>
    <w:p w:rsidR="00FC59FB" w:rsidRPr="00195D2A" w:rsidRDefault="008D7667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14.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Gedam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BS,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Gujela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Bansod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PY, </w:t>
      </w:r>
      <w:proofErr w:type="spellStart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Akhta</w:t>
      </w:r>
      <w:proofErr w:type="spellEnd"/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M. Study of conservative treatment in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uncomplicated acute appendic</w:t>
      </w:r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itis. </w:t>
      </w:r>
      <w:proofErr w:type="spellStart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Int</w:t>
      </w:r>
      <w:proofErr w:type="spellEnd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Surg</w:t>
      </w:r>
      <w:proofErr w:type="spellEnd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J 2017</w:t>
      </w:r>
      <w:proofErr w:type="gramStart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;4</w:t>
      </w:r>
      <w:proofErr w:type="gramEnd"/>
      <w:r w:rsidR="00BB4B80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(4):1409-</w:t>
      </w:r>
      <w:r w:rsidR="00FC59FB" w:rsidRPr="00195D2A">
        <w:rPr>
          <w:rFonts w:ascii="Times New Roman" w:hAnsi="Times New Roman" w:cs="Times New Roman"/>
          <w:color w:val="000000" w:themeColor="text1"/>
          <w:sz w:val="16"/>
          <w:szCs w:val="16"/>
        </w:rPr>
        <w:t>16.</w:t>
      </w:r>
    </w:p>
    <w:p w:rsidR="00C96653" w:rsidRPr="00195D2A" w:rsidRDefault="00C96653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C96653" w:rsidRPr="008D7667" w:rsidRDefault="00C96653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6653" w:rsidRDefault="00C96653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DEA" w:rsidRDefault="00A76DE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DEA" w:rsidRDefault="00A76DE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DEA" w:rsidRDefault="00A76DE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DEA" w:rsidRDefault="00A76DE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DEA" w:rsidRDefault="00A76DE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DEA" w:rsidRDefault="00A76DE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DEA" w:rsidRDefault="00A76DE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DEA" w:rsidRDefault="00A76DE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DEA" w:rsidRDefault="00A76DE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DEA" w:rsidRDefault="00A76DE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DEA" w:rsidRDefault="00A76DE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DEA" w:rsidRDefault="00A76DE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DEA" w:rsidRDefault="00A76DE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DEA" w:rsidRDefault="00A76DE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DEA" w:rsidRDefault="00A76DE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DEA" w:rsidRDefault="00A76DE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DEA" w:rsidRDefault="00A76DE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6DEA" w:rsidRDefault="00A76DEA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323F" w:rsidRDefault="0066323F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323F" w:rsidRDefault="0066323F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323F" w:rsidRDefault="0066323F" w:rsidP="003773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6323F" w:rsidSect="007F6DF9">
      <w:type w:val="continuous"/>
      <w:pgSz w:w="11907" w:h="16839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907"/>
    <w:multiLevelType w:val="hybridMultilevel"/>
    <w:tmpl w:val="D0CC9D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D237A4"/>
    <w:multiLevelType w:val="hybridMultilevel"/>
    <w:tmpl w:val="818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71630"/>
    <w:multiLevelType w:val="hybridMultilevel"/>
    <w:tmpl w:val="1B700B8E"/>
    <w:lvl w:ilvl="0" w:tplc="C7941538">
      <w:start w:val="1"/>
      <w:numFmt w:val="lowerLetter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C3CD2"/>
    <w:multiLevelType w:val="hybridMultilevel"/>
    <w:tmpl w:val="98D80E40"/>
    <w:lvl w:ilvl="0" w:tplc="21529214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6653"/>
    <w:rsid w:val="0000729B"/>
    <w:rsid w:val="00011F30"/>
    <w:rsid w:val="001320CB"/>
    <w:rsid w:val="00146E7A"/>
    <w:rsid w:val="00174B08"/>
    <w:rsid w:val="00195D2A"/>
    <w:rsid w:val="001A6CDD"/>
    <w:rsid w:val="001E124E"/>
    <w:rsid w:val="00254C55"/>
    <w:rsid w:val="0028336F"/>
    <w:rsid w:val="002871FF"/>
    <w:rsid w:val="002A0A41"/>
    <w:rsid w:val="002C3B05"/>
    <w:rsid w:val="003024F0"/>
    <w:rsid w:val="00302F6A"/>
    <w:rsid w:val="00327EC4"/>
    <w:rsid w:val="0033471B"/>
    <w:rsid w:val="003710BF"/>
    <w:rsid w:val="00377306"/>
    <w:rsid w:val="0037755A"/>
    <w:rsid w:val="00472993"/>
    <w:rsid w:val="004F0393"/>
    <w:rsid w:val="00516946"/>
    <w:rsid w:val="00547AC4"/>
    <w:rsid w:val="0058145B"/>
    <w:rsid w:val="00591F94"/>
    <w:rsid w:val="00596562"/>
    <w:rsid w:val="005C636F"/>
    <w:rsid w:val="005D000A"/>
    <w:rsid w:val="005F0182"/>
    <w:rsid w:val="005F411B"/>
    <w:rsid w:val="00607D01"/>
    <w:rsid w:val="00621922"/>
    <w:rsid w:val="006570CF"/>
    <w:rsid w:val="0066323F"/>
    <w:rsid w:val="006E55ED"/>
    <w:rsid w:val="007A37E0"/>
    <w:rsid w:val="007C1049"/>
    <w:rsid w:val="007D5A1D"/>
    <w:rsid w:val="007F6DF9"/>
    <w:rsid w:val="00811DAA"/>
    <w:rsid w:val="00856B2E"/>
    <w:rsid w:val="00883901"/>
    <w:rsid w:val="008D6224"/>
    <w:rsid w:val="008D7667"/>
    <w:rsid w:val="008E120C"/>
    <w:rsid w:val="008F67B6"/>
    <w:rsid w:val="009000FC"/>
    <w:rsid w:val="00925C3D"/>
    <w:rsid w:val="009579FC"/>
    <w:rsid w:val="00962691"/>
    <w:rsid w:val="00970869"/>
    <w:rsid w:val="00981A6E"/>
    <w:rsid w:val="009B15B6"/>
    <w:rsid w:val="00A43C0B"/>
    <w:rsid w:val="00A552CA"/>
    <w:rsid w:val="00A71FCB"/>
    <w:rsid w:val="00A76DEA"/>
    <w:rsid w:val="00AB52B5"/>
    <w:rsid w:val="00AE0245"/>
    <w:rsid w:val="00B41720"/>
    <w:rsid w:val="00B91BB3"/>
    <w:rsid w:val="00B93E7D"/>
    <w:rsid w:val="00BB4B80"/>
    <w:rsid w:val="00C17A1A"/>
    <w:rsid w:val="00C4047B"/>
    <w:rsid w:val="00C561D2"/>
    <w:rsid w:val="00C6241B"/>
    <w:rsid w:val="00C96653"/>
    <w:rsid w:val="00CC295A"/>
    <w:rsid w:val="00CD49B2"/>
    <w:rsid w:val="00D524E3"/>
    <w:rsid w:val="00D66C07"/>
    <w:rsid w:val="00DB3C49"/>
    <w:rsid w:val="00DF1804"/>
    <w:rsid w:val="00E00758"/>
    <w:rsid w:val="00E209B1"/>
    <w:rsid w:val="00E54EB8"/>
    <w:rsid w:val="00E65145"/>
    <w:rsid w:val="00E72C81"/>
    <w:rsid w:val="00E8723D"/>
    <w:rsid w:val="00ED11F9"/>
    <w:rsid w:val="00F2102D"/>
    <w:rsid w:val="00F43FD2"/>
    <w:rsid w:val="00F4497F"/>
    <w:rsid w:val="00F55B1C"/>
    <w:rsid w:val="00F57ADF"/>
    <w:rsid w:val="00F634BA"/>
    <w:rsid w:val="00F74F71"/>
    <w:rsid w:val="00FC59FB"/>
    <w:rsid w:val="00FC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9FB"/>
    <w:pPr>
      <w:ind w:left="720"/>
      <w:contextualSpacing/>
    </w:pPr>
  </w:style>
  <w:style w:type="paragraph" w:customStyle="1" w:styleId="Default">
    <w:name w:val="Default"/>
    <w:rsid w:val="008D7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24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2F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mailto:ppbarua2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devidgmc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tx1"/>
            </a:solidFill>
          </c:spPr>
          <c:cat>
            <c:strRef>
              <c:f>Sheet1!$A$2:$A$5</c:f>
              <c:strCache>
                <c:ptCount val="2"/>
                <c:pt idx="0">
                  <c:v>Female 60%</c:v>
                </c:pt>
                <c:pt idx="1">
                  <c:v>Male 40%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27</c:v>
                </c:pt>
                <c:pt idx="1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2"/>
                <c:pt idx="0">
                  <c:v>Female 60%</c:v>
                </c:pt>
                <c:pt idx="1">
                  <c:v>Male 40%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2"/>
                <c:pt idx="0">
                  <c:v>Female 60%</c:v>
                </c:pt>
                <c:pt idx="1">
                  <c:v>Male 40%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shape val="cylinder"/>
        <c:axId val="38817152"/>
        <c:axId val="62071936"/>
        <c:axId val="0"/>
      </c:bar3DChart>
      <c:catAx>
        <c:axId val="38817152"/>
        <c:scaling>
          <c:orientation val="minMax"/>
        </c:scaling>
        <c:axPos val="b"/>
        <c:numFmt formatCode="General" sourceLinked="1"/>
        <c:tickLblPos val="nextTo"/>
        <c:crossAx val="62071936"/>
        <c:crosses val="autoZero"/>
        <c:auto val="1"/>
        <c:lblAlgn val="ctr"/>
        <c:lblOffset val="100"/>
      </c:catAx>
      <c:valAx>
        <c:axId val="62071936"/>
        <c:scaling>
          <c:orientation val="minMax"/>
        </c:scaling>
        <c:axPos val="l"/>
        <c:majorGridlines/>
        <c:numFmt formatCode="General" sourceLinked="1"/>
        <c:tickLblPos val="nextTo"/>
        <c:crossAx val="3881715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cat>
            <c:strRef>
              <c:f>Sheet1!$A$2:$A$5</c:f>
              <c:strCache>
                <c:ptCount val="3"/>
                <c:pt idx="0">
                  <c:v>Successful 75.5%</c:v>
                </c:pt>
                <c:pt idx="1">
                  <c:v>Treatment failure 11%</c:v>
                </c:pt>
                <c:pt idx="2">
                  <c:v>Recurrence 13.3%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 formatCode="0.00%">
                  <c:v>0.75500000000000089</c:v>
                </c:pt>
                <c:pt idx="1">
                  <c:v>0.11</c:v>
                </c:pt>
                <c:pt idx="2" formatCode="0.00%">
                  <c:v>0.13300000000000001</c:v>
                </c:pt>
              </c:numCache>
            </c:numRef>
          </c:val>
        </c:ser>
        <c:firstSliceAng val="0"/>
      </c:pieChart>
    </c:plotArea>
    <c:legend>
      <c:legendPos val="r"/>
      <c:legendEntry>
        <c:idx val="3"/>
        <c:delete val="1"/>
      </c:legendEntry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30C1A-B516-4EA5-A00B-B317E5FA8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2018-12-03T10:33:00Z</dcterms:created>
  <dcterms:modified xsi:type="dcterms:W3CDTF">2018-12-05T08:44:00Z</dcterms:modified>
</cp:coreProperties>
</file>