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9BA" w:rsidRPr="00804A16" w:rsidRDefault="000E036E" w:rsidP="00804A16">
      <w:pPr>
        <w:jc w:val="both"/>
        <w:rPr>
          <w:b/>
          <w:sz w:val="28"/>
          <w:szCs w:val="28"/>
          <w:u w:val="single"/>
        </w:rPr>
      </w:pPr>
      <w:r w:rsidRPr="00804A16">
        <w:rPr>
          <w:b/>
          <w:sz w:val="28"/>
          <w:szCs w:val="28"/>
          <w:u w:val="single"/>
        </w:rPr>
        <w:t>Trends</w:t>
      </w:r>
      <w:r w:rsidR="00D629BA" w:rsidRPr="00804A16">
        <w:rPr>
          <w:b/>
          <w:sz w:val="28"/>
          <w:szCs w:val="28"/>
          <w:u w:val="single"/>
        </w:rPr>
        <w:t xml:space="preserve"> &amp; Pattern in Unnatural female death case</w:t>
      </w:r>
      <w:r w:rsidRPr="00804A16">
        <w:rPr>
          <w:b/>
          <w:sz w:val="28"/>
          <w:szCs w:val="28"/>
          <w:u w:val="single"/>
        </w:rPr>
        <w:t>s due to burn: A one year retro</w:t>
      </w:r>
      <w:r w:rsidR="00D629BA" w:rsidRPr="00804A16">
        <w:rPr>
          <w:b/>
          <w:sz w:val="28"/>
          <w:szCs w:val="28"/>
          <w:u w:val="single"/>
        </w:rPr>
        <w:t xml:space="preserve">spective study </w:t>
      </w:r>
    </w:p>
    <w:p w:rsidR="00D629BA" w:rsidRPr="000E036E" w:rsidRDefault="00355D70" w:rsidP="00804A16">
      <w:pPr>
        <w:jc w:val="both"/>
      </w:pPr>
      <w:r w:rsidRPr="000E036E">
        <w:t>*</w:t>
      </w:r>
      <w:proofErr w:type="spellStart"/>
      <w:proofErr w:type="gramStart"/>
      <w:r w:rsidR="00D629BA" w:rsidRPr="000E036E">
        <w:t>Manjit</w:t>
      </w:r>
      <w:proofErr w:type="spellEnd"/>
      <w:r w:rsidR="00D629BA" w:rsidRPr="000E036E">
        <w:t xml:space="preserve"> </w:t>
      </w:r>
      <w:r w:rsidR="00804A16">
        <w:t xml:space="preserve"> </w:t>
      </w:r>
      <w:proofErr w:type="spellStart"/>
      <w:r w:rsidR="00D629BA" w:rsidRPr="000E036E">
        <w:t>Nayak</w:t>
      </w:r>
      <w:proofErr w:type="spellEnd"/>
      <w:proofErr w:type="gramEnd"/>
      <w:r w:rsidR="00D629BA" w:rsidRPr="000E036E">
        <w:t>*</w:t>
      </w:r>
      <w:r w:rsidRPr="000E036E">
        <w:t>*</w:t>
      </w:r>
      <w:r w:rsidR="00D629BA" w:rsidRPr="000E036E">
        <w:t xml:space="preserve"> </w:t>
      </w:r>
      <w:proofErr w:type="spellStart"/>
      <w:r w:rsidR="00D629BA" w:rsidRPr="000E036E">
        <w:t>Saumil</w:t>
      </w:r>
      <w:proofErr w:type="spellEnd"/>
      <w:r w:rsidR="00D629BA" w:rsidRPr="000E036E">
        <w:t xml:space="preserve"> </w:t>
      </w:r>
      <w:r w:rsidR="00804A16">
        <w:t xml:space="preserve"> </w:t>
      </w:r>
      <w:r w:rsidR="00D629BA" w:rsidRPr="000E036E">
        <w:t>Merchant*</w:t>
      </w:r>
      <w:r w:rsidRPr="000E036E">
        <w:t>*</w:t>
      </w:r>
      <w:r w:rsidR="00D629BA" w:rsidRPr="000E036E">
        <w:t xml:space="preserve">*Kalpesh </w:t>
      </w:r>
      <w:r w:rsidR="00804A16">
        <w:t xml:space="preserve"> </w:t>
      </w:r>
      <w:r w:rsidR="00D629BA" w:rsidRPr="000E036E">
        <w:t>Shah</w:t>
      </w:r>
    </w:p>
    <w:p w:rsidR="00D629BA" w:rsidRPr="000E036E" w:rsidRDefault="00D629BA" w:rsidP="00804A16">
      <w:pPr>
        <w:jc w:val="both"/>
      </w:pPr>
      <w:r w:rsidRPr="000E036E">
        <w:t>*Tutor,</w:t>
      </w:r>
      <w:r w:rsidR="00804A16">
        <w:t xml:space="preserve"> </w:t>
      </w:r>
      <w:r w:rsidRPr="000E036E">
        <w:t>Department of Forensic Medicine &amp; Toxicology,</w:t>
      </w:r>
      <w:r w:rsidR="00804A16">
        <w:t xml:space="preserve"> </w:t>
      </w:r>
      <w:r w:rsidRPr="000E036E">
        <w:t xml:space="preserve">B.J Medical </w:t>
      </w:r>
      <w:proofErr w:type="gramStart"/>
      <w:r w:rsidRPr="000E036E">
        <w:t>college</w:t>
      </w:r>
      <w:r w:rsidR="00804A16">
        <w:t xml:space="preserve"> </w:t>
      </w:r>
      <w:r w:rsidRPr="000E036E">
        <w:t>,</w:t>
      </w:r>
      <w:proofErr w:type="gramEnd"/>
      <w:r w:rsidR="00804A16">
        <w:t xml:space="preserve"> </w:t>
      </w:r>
      <w:r w:rsidRPr="000E036E">
        <w:t>Ahmedabad</w:t>
      </w:r>
    </w:p>
    <w:p w:rsidR="00D629BA" w:rsidRPr="000E036E" w:rsidRDefault="00D629BA" w:rsidP="00804A16">
      <w:pPr>
        <w:jc w:val="both"/>
      </w:pPr>
      <w:r w:rsidRPr="000E036E">
        <w:t>**Professor &amp; Head, Department of Forensic Medicine &amp; Toxicology, AMC MET Medical College,</w:t>
      </w:r>
      <w:r w:rsidR="00804A16">
        <w:t xml:space="preserve"> </w:t>
      </w:r>
      <w:r w:rsidRPr="000E036E">
        <w:t>Ahmedabad</w:t>
      </w:r>
      <w:r w:rsidR="00804A16">
        <w:t xml:space="preserve"> </w:t>
      </w:r>
    </w:p>
    <w:p w:rsidR="00D629BA" w:rsidRPr="000E036E" w:rsidRDefault="00D629BA" w:rsidP="00804A16">
      <w:pPr>
        <w:jc w:val="both"/>
      </w:pPr>
      <w:r w:rsidRPr="000E036E">
        <w:t xml:space="preserve">*** Professor &amp; Head, Department of Forensic Medicine &amp; Toxicology, B.J Medical </w:t>
      </w:r>
      <w:proofErr w:type="gramStart"/>
      <w:r w:rsidRPr="000E036E">
        <w:t>college</w:t>
      </w:r>
      <w:proofErr w:type="gramEnd"/>
      <w:r w:rsidRPr="000E036E">
        <w:t>,</w:t>
      </w:r>
      <w:r w:rsidR="00804A16">
        <w:t xml:space="preserve"> </w:t>
      </w:r>
      <w:r w:rsidRPr="000E036E">
        <w:t>Ahmedabad</w:t>
      </w:r>
    </w:p>
    <w:p w:rsidR="001B1EF0" w:rsidRPr="000E036E" w:rsidRDefault="001B1EF0" w:rsidP="00804A16">
      <w:pPr>
        <w:jc w:val="both"/>
      </w:pPr>
    </w:p>
    <w:p w:rsidR="00D629BA" w:rsidRPr="00A15F4D" w:rsidRDefault="00D629BA" w:rsidP="00804A16">
      <w:pPr>
        <w:jc w:val="both"/>
        <w:rPr>
          <w:b/>
          <w:u w:val="single"/>
        </w:rPr>
      </w:pPr>
      <w:r w:rsidRPr="00A15F4D">
        <w:rPr>
          <w:b/>
          <w:u w:val="single"/>
        </w:rPr>
        <w:t>ABSTRACT</w:t>
      </w:r>
      <w:r w:rsidR="001B1EF0" w:rsidRPr="00A15F4D">
        <w:rPr>
          <w:b/>
          <w:u w:val="single"/>
        </w:rPr>
        <w:t>:</w:t>
      </w:r>
    </w:p>
    <w:p w:rsidR="001B1EF0" w:rsidRPr="000E036E" w:rsidRDefault="001B1EF0" w:rsidP="00804A16">
      <w:pPr>
        <w:jc w:val="both"/>
      </w:pPr>
    </w:p>
    <w:p w:rsidR="00D629BA" w:rsidRPr="000E036E" w:rsidRDefault="00D629BA" w:rsidP="00804A16">
      <w:pPr>
        <w:jc w:val="both"/>
      </w:pPr>
      <w:r w:rsidRPr="000E036E">
        <w:t>Burns are the injuries that are produced by application of dry heat such as flame, radiant heat or some heated soiled substance like metal or glass from the surface of the body resulting in tissue destruction. According to WHO estimates about 2</w:t>
      </w:r>
      <w:proofErr w:type="gramStart"/>
      <w:r w:rsidRPr="000E036E">
        <w:t>,65,000</w:t>
      </w:r>
      <w:proofErr w:type="gramEnd"/>
      <w:r w:rsidRPr="000E036E">
        <w:t xml:space="preserve"> deaths occur each year from fires alone globally, with more deaths from scalds, electrical burns, and other forms of burns for which data are not available. The majority of these deaths occur in low- and middle-income countries, with almost half occur in the WHO South-East Asia Region. In India around 7 million people suffer from burn injuries each year with 1.4 lakh deaths and 2.4 lakh people suffer with disability. Burn death rates have been decreasing in high income countries</w:t>
      </w:r>
      <w:proofErr w:type="gramStart"/>
      <w:r w:rsidRPr="000E036E">
        <w:t>.[</w:t>
      </w:r>
      <w:proofErr w:type="gramEnd"/>
      <w:r w:rsidRPr="000E036E">
        <w:t xml:space="preserve">1] Burn injury are higher in </w:t>
      </w:r>
      <w:r w:rsidR="00804A16">
        <w:t xml:space="preserve">females than </w:t>
      </w:r>
      <w:r w:rsidRPr="000E036E">
        <w:t>males. The higher risk for females is associated with open fire cooking, or unsafe cook stoves, loose clothing. Self-directed or interpersonal violence is also a factor for burn injur</w:t>
      </w:r>
      <w:r w:rsidR="00804A16">
        <w:t>ies. The present study is retro</w:t>
      </w:r>
      <w:r w:rsidRPr="000E036E">
        <w:t>spective study which was carried out in the Department of Forensic Medicine and Toxicology at B. J. Medical College and Civil Hospital, Ahmedabad during the period from January 2018 to December 2018 to determine trends &amp; pattern in unnatural female death due to burns cases and their practical approach to shrinkage the incidence of female burns cases as much as possible. In study we come across some particularized factor which exaggerated the recent condition in the society. The various facets are investigated and conferred in specifics.</w:t>
      </w:r>
    </w:p>
    <w:p w:rsidR="00CA4BD8" w:rsidRPr="000E036E" w:rsidRDefault="00CA4BD8" w:rsidP="00804A16">
      <w:pPr>
        <w:jc w:val="both"/>
      </w:pPr>
    </w:p>
    <w:p w:rsidR="00CA4BD8" w:rsidRPr="000E036E" w:rsidRDefault="00CA4BD8" w:rsidP="00804A16">
      <w:pPr>
        <w:jc w:val="both"/>
      </w:pPr>
    </w:p>
    <w:p w:rsidR="00CA4BD8" w:rsidRPr="000E036E" w:rsidRDefault="00CA4BD8" w:rsidP="00804A16">
      <w:pPr>
        <w:jc w:val="both"/>
      </w:pPr>
    </w:p>
    <w:p w:rsidR="001B1EF0" w:rsidRPr="000E036E" w:rsidRDefault="001B1EF0" w:rsidP="00804A16">
      <w:pPr>
        <w:jc w:val="both"/>
      </w:pPr>
    </w:p>
    <w:p w:rsidR="00804A16" w:rsidRDefault="00804A16" w:rsidP="00804A16">
      <w:pPr>
        <w:jc w:val="both"/>
      </w:pPr>
    </w:p>
    <w:p w:rsidR="00804A16" w:rsidRDefault="00804A16" w:rsidP="00804A16">
      <w:pPr>
        <w:jc w:val="both"/>
      </w:pPr>
    </w:p>
    <w:p w:rsidR="00804A16" w:rsidRDefault="00804A16" w:rsidP="00804A16">
      <w:pPr>
        <w:jc w:val="both"/>
        <w:rPr>
          <w:b/>
          <w:u w:val="single"/>
        </w:rPr>
      </w:pPr>
    </w:p>
    <w:p w:rsidR="004B38A0" w:rsidRPr="00A15F4D" w:rsidRDefault="001B1EF0" w:rsidP="00804A16">
      <w:pPr>
        <w:jc w:val="both"/>
        <w:rPr>
          <w:b/>
          <w:u w:val="single"/>
        </w:rPr>
      </w:pPr>
      <w:r w:rsidRPr="00A15F4D">
        <w:rPr>
          <w:b/>
          <w:u w:val="single"/>
        </w:rPr>
        <w:lastRenderedPageBreak/>
        <w:t>INTRODUCTION:</w:t>
      </w:r>
    </w:p>
    <w:p w:rsidR="00243F2C" w:rsidRPr="000E036E" w:rsidRDefault="00243F2C" w:rsidP="00804A16">
      <w:pPr>
        <w:jc w:val="both"/>
      </w:pPr>
      <w:r w:rsidRPr="000E036E">
        <w:t xml:space="preserve">Burns are a critical public health problem, causing deaths, disability and disfigurement. Globally, there are about 300,000 deaths due to burns every year. Of these, 95% take place in developing countries with Southeast Asia recording nearly 57% of deaths due to burns.1World Health </w:t>
      </w:r>
      <w:proofErr w:type="gramStart"/>
      <w:r w:rsidRPr="000E036E">
        <w:t>Organization(</w:t>
      </w:r>
      <w:proofErr w:type="gramEnd"/>
      <w:r w:rsidRPr="000E036E">
        <w:t xml:space="preserve">WHO). A who plan for burn </w:t>
      </w:r>
      <w:proofErr w:type="gramStart"/>
      <w:r w:rsidRPr="000E036E">
        <w:t>prevention  and</w:t>
      </w:r>
      <w:proofErr w:type="gramEnd"/>
      <w:r w:rsidRPr="000E036E">
        <w:t xml:space="preserve"> Care. 2008; WHO: Geneva.[2] Extrapolation of data from major hospitals indicates an estimation of 7 million burn incidents in India each year, making burn injuries the second largest group of injuries after road accidents. In 1998, India was the only country in the world where fire was among the 15 leading causes of death, according to WHO</w:t>
      </w:r>
      <w:proofErr w:type="gramStart"/>
      <w:r w:rsidRPr="000E036E">
        <w:t>.[</w:t>
      </w:r>
      <w:proofErr w:type="gramEnd"/>
      <w:r w:rsidRPr="000E036E">
        <w:t>3] However, the Government of India has not put in place a national injury surveillance system, hence the exact incidence of burn-related morbidity and mortality is not known. In 2010, the Government of India announced the National Programme for Prevention of Burn Injuries (NPPBI) which aims at prevention, burns injury management and establishment of a central burn registry, but its impact is not yet noticeable.[4]  A study of women’s health priorities based on the 2004 mortality estimates and disease burden of the WHO Global Burden of Diseases Study found that burns in young women were common in Southeast Asia, with it being the third cause of death for women aged 15–44, followed by self-inflicted injuries.[5] Burn-related injuries and deaths amongst women in India are likely to be caused by: kitchen accidents related to use of kerosene and flammability of garments; self-immolation or suicides; and homicides related to domestic violence. Evidence suggests that domestic violence (physical, sexual and emotional), which is widespread in India, could have an important role in these burn injuries</w:t>
      </w:r>
      <w:proofErr w:type="gramStart"/>
      <w:r w:rsidRPr="000E036E">
        <w:t>.[</w:t>
      </w:r>
      <w:proofErr w:type="gramEnd"/>
      <w:r w:rsidRPr="000E036E">
        <w:t>6]</w:t>
      </w:r>
    </w:p>
    <w:p w:rsidR="00243F2C" w:rsidRPr="000E036E" w:rsidRDefault="00243F2C" w:rsidP="00804A16">
      <w:pPr>
        <w:jc w:val="both"/>
      </w:pPr>
      <w:r w:rsidRPr="000E036E">
        <w:t xml:space="preserve"> The NCRB records show 122,877 cases of violence by husband or relatives, 8,455 dowry deaths and 2,233 suicides among women due to dowry harassment in 2014.8National Crime Records Bureau, Ministry of Home Affairs, </w:t>
      </w:r>
      <w:proofErr w:type="gramStart"/>
      <w:r w:rsidRPr="000E036E">
        <w:t>Government</w:t>
      </w:r>
      <w:proofErr w:type="gramEnd"/>
      <w:r w:rsidRPr="000E036E">
        <w:t xml:space="preserve"> of India. </w:t>
      </w:r>
      <w:proofErr w:type="gramStart"/>
      <w:r w:rsidRPr="000E036E">
        <w:t>Crimes in India and Accidental Deaths &amp; Suicides in India.</w:t>
      </w:r>
      <w:proofErr w:type="gramEnd"/>
      <w:r w:rsidRPr="000E036E">
        <w:t xml:space="preserve"> 2014.[7] The NCRB data is based on cases registered with the police and these numbers are therefore grossly underreported and may not provide accurate data on burn injuries. A burn injuries death is very excruciating but what compels or in what surroundings women commits suicide or homicide or those accidentally burned but most heinous is burning of newly married women i.e. homicidal burning. In this respect it is very difficult to find out the manner (Suicidal, Accidental and Homicidal) of burn injuries that in what circumstances the burn injuries took place, it can only be possible by meticulous investigation of scene of crime and interrogation of person concerned.</w:t>
      </w:r>
    </w:p>
    <w:p w:rsidR="00C431D1" w:rsidRPr="000E036E" w:rsidRDefault="00C431D1" w:rsidP="00804A16">
      <w:pPr>
        <w:jc w:val="both"/>
      </w:pPr>
      <w:r w:rsidRPr="00A15F4D">
        <w:rPr>
          <w:b/>
          <w:u w:val="single"/>
        </w:rPr>
        <w:t>Aims &amp; Objective</w:t>
      </w:r>
      <w:r w:rsidRPr="000E036E">
        <w:t>:</w:t>
      </w:r>
    </w:p>
    <w:p w:rsidR="00C431D1" w:rsidRPr="000E036E" w:rsidRDefault="00C431D1" w:rsidP="00804A16">
      <w:pPr>
        <w:jc w:val="both"/>
      </w:pPr>
      <w:r w:rsidRPr="000E036E">
        <w:t xml:space="preserve">To find out burn affect </w:t>
      </w:r>
      <w:r w:rsidR="00EF3B4C" w:rsidRPr="000E036E">
        <w:t>in respect to sex, religion, season, time of incidence, marital status, total body surface area distribution (TBSA), Duration of survival, alleged history , manner &amp; cause of death wise distribution</w:t>
      </w:r>
      <w:r w:rsidRPr="000E036E">
        <w:t xml:space="preserve"> and Its medico-legal consequence.</w:t>
      </w:r>
    </w:p>
    <w:p w:rsidR="00CA4BD8" w:rsidRPr="00A15F4D" w:rsidRDefault="00CA4BD8" w:rsidP="00804A16">
      <w:pPr>
        <w:jc w:val="both"/>
        <w:rPr>
          <w:b/>
          <w:u w:val="single"/>
        </w:rPr>
      </w:pPr>
      <w:r w:rsidRPr="00A15F4D">
        <w:rPr>
          <w:b/>
          <w:u w:val="single"/>
        </w:rPr>
        <w:t>Materials &amp; Method:</w:t>
      </w:r>
    </w:p>
    <w:p w:rsidR="00CA4BD8" w:rsidRDefault="00CA4BD8" w:rsidP="00804A16">
      <w:pPr>
        <w:jc w:val="both"/>
      </w:pPr>
      <w:r w:rsidRPr="000E036E">
        <w:t xml:space="preserve">This study was carried out in the Department of Forensic Medicine and Toxicology at B. J. Medical College and Civil Hospital, Ahmedabad during the period from January 2018 to December 2018.The </w:t>
      </w:r>
      <w:proofErr w:type="spellStart"/>
      <w:r w:rsidRPr="000E036E">
        <w:t>Proforma</w:t>
      </w:r>
      <w:proofErr w:type="spellEnd"/>
      <w:r w:rsidRPr="000E036E">
        <w:t xml:space="preserve"> of the study was prepared and numerous information and conclusions were collected &amp; analysed from Post-Mortem report records &amp; hospital data records. Data has been analysed in respect to sex, religion, season, time of incidence, marital status, total body surface area distribution </w:t>
      </w:r>
      <w:r w:rsidRPr="000E036E">
        <w:lastRenderedPageBreak/>
        <w:t xml:space="preserve">(TBSA), Duration of survival, alleged </w:t>
      </w:r>
      <w:proofErr w:type="gramStart"/>
      <w:r w:rsidRPr="000E036E">
        <w:t>history ,</w:t>
      </w:r>
      <w:proofErr w:type="gramEnd"/>
      <w:r w:rsidRPr="000E036E">
        <w:t xml:space="preserve"> manner &amp; cause of death wise distribution. The details were accumulated, tabulated, discussed &amp; concluded.</w:t>
      </w:r>
    </w:p>
    <w:p w:rsidR="005817B8" w:rsidRPr="000E036E" w:rsidRDefault="005817B8" w:rsidP="00804A16">
      <w:pPr>
        <w:jc w:val="both"/>
      </w:pPr>
    </w:p>
    <w:p w:rsidR="00054ADE" w:rsidRPr="005817B8" w:rsidRDefault="00054ADE" w:rsidP="00804A16">
      <w:pPr>
        <w:jc w:val="both"/>
        <w:rPr>
          <w:b/>
          <w:u w:val="single"/>
        </w:rPr>
      </w:pPr>
      <w:r w:rsidRPr="005817B8">
        <w:rPr>
          <w:b/>
          <w:u w:val="single"/>
        </w:rPr>
        <w:t>OBSERVATIONS &amp; RESULT:</w:t>
      </w:r>
    </w:p>
    <w:p w:rsidR="00054ADE" w:rsidRPr="000E036E" w:rsidRDefault="00054ADE" w:rsidP="00804A16">
      <w:pPr>
        <w:jc w:val="both"/>
      </w:pPr>
      <w:r w:rsidRPr="000E036E">
        <w:t xml:space="preserve">Total 3930 Autopsy </w:t>
      </w:r>
      <w:proofErr w:type="gramStart"/>
      <w:r w:rsidRPr="000E036E">
        <w:t>were</w:t>
      </w:r>
      <w:proofErr w:type="gramEnd"/>
      <w:r w:rsidRPr="000E036E">
        <w:t xml:space="preserve"> conducted in B.J Medical college, Ahmedabad during </w:t>
      </w:r>
      <w:proofErr w:type="spellStart"/>
      <w:r w:rsidRPr="000E036E">
        <w:t>during</w:t>
      </w:r>
      <w:proofErr w:type="spellEnd"/>
      <w:r w:rsidRPr="000E036E">
        <w:t xml:space="preserve"> the period from January 2018 to December 2018 among them 816 (20.76%) cases are unnatural female death cases. (Table no.1)</w:t>
      </w:r>
    </w:p>
    <w:p w:rsidR="00054ADE" w:rsidRPr="000E036E" w:rsidRDefault="00054ADE" w:rsidP="00804A16">
      <w:pPr>
        <w:jc w:val="both"/>
      </w:pPr>
    </w:p>
    <w:p w:rsidR="00054ADE" w:rsidRPr="000E036E" w:rsidRDefault="00054ADE" w:rsidP="00804A16">
      <w:pPr>
        <w:jc w:val="both"/>
      </w:pPr>
      <w:r w:rsidRPr="000E036E">
        <w:t>TABLE NO.1: TOTAL NUMBER OF AUTOPSY: UNNATURAL FEMALE DEATH RATIO</w:t>
      </w:r>
    </w:p>
    <w:tbl>
      <w:tblPr>
        <w:tblW w:w="5685" w:type="dxa"/>
        <w:tblInd w:w="93" w:type="dxa"/>
        <w:tblLook w:val="04A0" w:firstRow="1" w:lastRow="0" w:firstColumn="1" w:lastColumn="0" w:noHBand="0" w:noVBand="1"/>
      </w:tblPr>
      <w:tblGrid>
        <w:gridCol w:w="2709"/>
        <w:gridCol w:w="1417"/>
        <w:gridCol w:w="1559"/>
      </w:tblGrid>
      <w:tr w:rsidR="00054ADE" w:rsidRPr="000E036E" w:rsidTr="00DA0A11">
        <w:trPr>
          <w:trHeight w:val="375"/>
        </w:trPr>
        <w:tc>
          <w:tcPr>
            <w:tcW w:w="2709" w:type="dxa"/>
            <w:tcBorders>
              <w:top w:val="single" w:sz="4" w:space="0" w:color="auto"/>
              <w:left w:val="single" w:sz="4" w:space="0" w:color="auto"/>
              <w:bottom w:val="single" w:sz="4" w:space="0" w:color="auto"/>
              <w:right w:val="single" w:sz="6" w:space="0" w:color="auto"/>
            </w:tcBorders>
            <w:shd w:val="clear" w:color="000000" w:fill="F2F2F2"/>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val="en-US" w:eastAsia="en-IN"/>
              </w:rPr>
              <w:t> </w:t>
            </w:r>
          </w:p>
        </w:tc>
        <w:tc>
          <w:tcPr>
            <w:tcW w:w="1417" w:type="dxa"/>
            <w:tcBorders>
              <w:top w:val="single" w:sz="4" w:space="0" w:color="auto"/>
              <w:left w:val="single" w:sz="6" w:space="0" w:color="auto"/>
              <w:bottom w:val="single" w:sz="4" w:space="0" w:color="auto"/>
              <w:right w:val="single" w:sz="6" w:space="0" w:color="auto"/>
            </w:tcBorders>
            <w:shd w:val="clear" w:color="000000" w:fill="F2F2F2"/>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val="en-US" w:eastAsia="en-IN"/>
              </w:rPr>
              <w:t>No. of cases</w:t>
            </w:r>
          </w:p>
        </w:tc>
        <w:tc>
          <w:tcPr>
            <w:tcW w:w="1559" w:type="dxa"/>
            <w:tcBorders>
              <w:top w:val="single" w:sz="4" w:space="0" w:color="auto"/>
              <w:left w:val="single" w:sz="6" w:space="0" w:color="auto"/>
              <w:bottom w:val="single" w:sz="4" w:space="0" w:color="auto"/>
              <w:right w:val="single" w:sz="4" w:space="0" w:color="auto"/>
            </w:tcBorders>
            <w:shd w:val="clear" w:color="000000" w:fill="F2F2F2"/>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val="en-US" w:eastAsia="en-IN"/>
              </w:rPr>
              <w:t>Percentage (%)</w:t>
            </w:r>
          </w:p>
        </w:tc>
      </w:tr>
      <w:tr w:rsidR="00054ADE" w:rsidRPr="000E036E" w:rsidTr="009E1AA5">
        <w:trPr>
          <w:trHeight w:val="75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054ADE" w:rsidRPr="000E036E" w:rsidRDefault="00054ADE" w:rsidP="00804A16">
            <w:pPr>
              <w:jc w:val="both"/>
              <w:rPr>
                <w:rFonts w:eastAsia="Times New Roman"/>
                <w:bCs/>
                <w:color w:val="000000"/>
                <w:lang w:eastAsia="en-IN"/>
              </w:rPr>
            </w:pPr>
            <w:r w:rsidRPr="000E036E">
              <w:rPr>
                <w:rFonts w:eastAsia="Times New Roman"/>
                <w:bCs/>
                <w:color w:val="000000"/>
                <w:lang w:val="en-US" w:eastAsia="en-IN"/>
              </w:rPr>
              <w:t>Unnatural female deaths</w:t>
            </w:r>
          </w:p>
        </w:tc>
        <w:tc>
          <w:tcPr>
            <w:tcW w:w="1417" w:type="dxa"/>
            <w:tcBorders>
              <w:top w:val="nil"/>
              <w:left w:val="nil"/>
              <w:bottom w:val="single" w:sz="4" w:space="0" w:color="auto"/>
              <w:right w:val="single" w:sz="4" w:space="0" w:color="auto"/>
            </w:tcBorders>
            <w:shd w:val="clear" w:color="auto" w:fill="auto"/>
            <w:vAlign w:val="center"/>
            <w:hideMark/>
          </w:tcPr>
          <w:p w:rsidR="00054ADE" w:rsidRPr="000E036E" w:rsidRDefault="00054ADE" w:rsidP="00804A16">
            <w:pPr>
              <w:jc w:val="both"/>
              <w:rPr>
                <w:rFonts w:eastAsia="Times New Roman"/>
                <w:bCs/>
                <w:color w:val="000000"/>
                <w:lang w:eastAsia="en-IN"/>
              </w:rPr>
            </w:pPr>
            <w:r w:rsidRPr="000E036E">
              <w:rPr>
                <w:rFonts w:eastAsia="Times New Roman"/>
                <w:bCs/>
                <w:color w:val="000000"/>
                <w:lang w:val="en-US" w:eastAsia="en-IN"/>
              </w:rPr>
              <w:t>816</w:t>
            </w:r>
          </w:p>
        </w:tc>
        <w:tc>
          <w:tcPr>
            <w:tcW w:w="1559" w:type="dxa"/>
            <w:tcBorders>
              <w:top w:val="nil"/>
              <w:left w:val="nil"/>
              <w:bottom w:val="single" w:sz="4" w:space="0" w:color="auto"/>
              <w:right w:val="single" w:sz="4" w:space="0" w:color="auto"/>
            </w:tcBorders>
            <w:shd w:val="clear" w:color="auto" w:fill="auto"/>
            <w:vAlign w:val="center"/>
            <w:hideMark/>
          </w:tcPr>
          <w:p w:rsidR="00054ADE" w:rsidRPr="000E036E" w:rsidRDefault="00054ADE" w:rsidP="00804A16">
            <w:pPr>
              <w:jc w:val="both"/>
              <w:rPr>
                <w:rFonts w:eastAsia="Times New Roman"/>
                <w:bCs/>
                <w:color w:val="000000"/>
                <w:lang w:eastAsia="en-IN"/>
              </w:rPr>
            </w:pPr>
            <w:r w:rsidRPr="000E036E">
              <w:rPr>
                <w:rFonts w:eastAsia="Times New Roman"/>
                <w:bCs/>
                <w:color w:val="000000"/>
                <w:lang w:val="en-US" w:eastAsia="en-IN"/>
              </w:rPr>
              <w:t>20.76</w:t>
            </w:r>
          </w:p>
        </w:tc>
      </w:tr>
      <w:tr w:rsidR="00054ADE" w:rsidRPr="000E036E" w:rsidTr="009E1AA5">
        <w:trPr>
          <w:trHeight w:val="3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val="en-US" w:eastAsia="en-IN"/>
              </w:rPr>
              <w:t>Total Autopsy</w:t>
            </w:r>
          </w:p>
        </w:tc>
        <w:tc>
          <w:tcPr>
            <w:tcW w:w="1417" w:type="dxa"/>
            <w:tcBorders>
              <w:top w:val="nil"/>
              <w:left w:val="nil"/>
              <w:bottom w:val="single" w:sz="4" w:space="0" w:color="auto"/>
              <w:right w:val="single" w:sz="4" w:space="0" w:color="auto"/>
            </w:tcBorders>
            <w:shd w:val="clear" w:color="auto" w:fill="auto"/>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val="en-US" w:eastAsia="en-IN"/>
              </w:rPr>
              <w:t>3930</w:t>
            </w:r>
          </w:p>
        </w:tc>
        <w:tc>
          <w:tcPr>
            <w:tcW w:w="1559" w:type="dxa"/>
            <w:tcBorders>
              <w:top w:val="nil"/>
              <w:left w:val="nil"/>
              <w:bottom w:val="single" w:sz="4" w:space="0" w:color="auto"/>
              <w:right w:val="single" w:sz="4" w:space="0" w:color="auto"/>
            </w:tcBorders>
            <w:shd w:val="clear" w:color="auto" w:fill="auto"/>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val="en-US" w:eastAsia="en-IN"/>
              </w:rPr>
              <w:t>100</w:t>
            </w:r>
          </w:p>
        </w:tc>
      </w:tr>
    </w:tbl>
    <w:p w:rsidR="00054ADE" w:rsidRPr="000E036E" w:rsidRDefault="00054ADE" w:rsidP="00804A16">
      <w:pPr>
        <w:jc w:val="both"/>
      </w:pPr>
    </w:p>
    <w:p w:rsidR="00054ADE" w:rsidRPr="000E036E" w:rsidRDefault="00054ADE" w:rsidP="00804A16">
      <w:pPr>
        <w:jc w:val="both"/>
      </w:pPr>
      <w:r w:rsidRPr="000E036E">
        <w:t xml:space="preserve">Unnatural Female death cases due to burn(Thermal injury)(64.25%) are near to double than the unnatural death cases due to burn male death (35.75%) cases. It shows the definite crucial factor </w:t>
      </w:r>
      <w:proofErr w:type="gramStart"/>
      <w:r w:rsidRPr="000E036E">
        <w:t>in  gender</w:t>
      </w:r>
      <w:proofErr w:type="gramEnd"/>
      <w:r w:rsidRPr="000E036E">
        <w:t>-biased in the society.(Table no.2)</w:t>
      </w:r>
    </w:p>
    <w:p w:rsidR="00054ADE" w:rsidRPr="000E036E" w:rsidRDefault="00054ADE" w:rsidP="00804A16">
      <w:pPr>
        <w:jc w:val="both"/>
      </w:pPr>
    </w:p>
    <w:p w:rsidR="00054ADE" w:rsidRPr="000E036E" w:rsidRDefault="00054ADE" w:rsidP="00804A16">
      <w:pPr>
        <w:jc w:val="both"/>
      </w:pPr>
      <w:r w:rsidRPr="000E036E">
        <w:t>TABLE NO.2: MALE</w:t>
      </w:r>
      <w:proofErr w:type="gramStart"/>
      <w:r w:rsidRPr="000E036E">
        <w:t>:FEMALE</w:t>
      </w:r>
      <w:proofErr w:type="gramEnd"/>
      <w:r w:rsidRPr="000E036E">
        <w:t xml:space="preserve"> BURN CASES DISTRIBUTION</w:t>
      </w:r>
    </w:p>
    <w:tbl>
      <w:tblPr>
        <w:tblW w:w="3701" w:type="dxa"/>
        <w:tblInd w:w="93" w:type="dxa"/>
        <w:tblLook w:val="04A0" w:firstRow="1" w:lastRow="0" w:firstColumn="1" w:lastColumn="0" w:noHBand="0" w:noVBand="1"/>
      </w:tblPr>
      <w:tblGrid>
        <w:gridCol w:w="1008"/>
        <w:gridCol w:w="1417"/>
        <w:gridCol w:w="1276"/>
      </w:tblGrid>
      <w:tr w:rsidR="00054ADE" w:rsidRPr="000E036E" w:rsidTr="00957149">
        <w:trPr>
          <w:trHeight w:val="330"/>
        </w:trPr>
        <w:tc>
          <w:tcPr>
            <w:tcW w:w="1008"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Sex</w:t>
            </w:r>
          </w:p>
        </w:tc>
        <w:tc>
          <w:tcPr>
            <w:tcW w:w="1417" w:type="dxa"/>
            <w:tcBorders>
              <w:top w:val="single" w:sz="4" w:space="0" w:color="auto"/>
              <w:left w:val="nil"/>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Burn cases</w:t>
            </w:r>
          </w:p>
        </w:tc>
        <w:tc>
          <w:tcPr>
            <w:tcW w:w="1276" w:type="dxa"/>
            <w:tcBorders>
              <w:top w:val="single" w:sz="4" w:space="0" w:color="auto"/>
              <w:left w:val="nil"/>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Percentage</w:t>
            </w:r>
          </w:p>
        </w:tc>
      </w:tr>
      <w:tr w:rsidR="00054ADE" w:rsidRPr="000E036E" w:rsidTr="00957149">
        <w:trPr>
          <w:trHeight w:val="33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Male</w:t>
            </w:r>
          </w:p>
        </w:tc>
        <w:tc>
          <w:tcPr>
            <w:tcW w:w="1417"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212</w:t>
            </w:r>
          </w:p>
        </w:tc>
        <w:tc>
          <w:tcPr>
            <w:tcW w:w="1276"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35.75%</w:t>
            </w:r>
          </w:p>
        </w:tc>
      </w:tr>
      <w:tr w:rsidR="00054ADE" w:rsidRPr="000E036E" w:rsidTr="00957149">
        <w:trPr>
          <w:trHeight w:val="33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Female</w:t>
            </w:r>
          </w:p>
        </w:tc>
        <w:tc>
          <w:tcPr>
            <w:tcW w:w="1417"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381</w:t>
            </w:r>
          </w:p>
        </w:tc>
        <w:tc>
          <w:tcPr>
            <w:tcW w:w="1276"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64.25%</w:t>
            </w:r>
          </w:p>
        </w:tc>
      </w:tr>
      <w:tr w:rsidR="00054ADE" w:rsidRPr="000E036E" w:rsidTr="00957149">
        <w:trPr>
          <w:trHeight w:val="33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Total</w:t>
            </w:r>
          </w:p>
        </w:tc>
        <w:tc>
          <w:tcPr>
            <w:tcW w:w="1417"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593</w:t>
            </w:r>
          </w:p>
        </w:tc>
        <w:tc>
          <w:tcPr>
            <w:tcW w:w="1276"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100%</w:t>
            </w:r>
          </w:p>
        </w:tc>
      </w:tr>
    </w:tbl>
    <w:p w:rsidR="00054ADE" w:rsidRPr="000E036E" w:rsidRDefault="00054ADE" w:rsidP="00804A16">
      <w:pPr>
        <w:jc w:val="both"/>
      </w:pPr>
    </w:p>
    <w:p w:rsidR="00054ADE" w:rsidRPr="000E036E" w:rsidRDefault="00054ADE" w:rsidP="00804A16">
      <w:pPr>
        <w:jc w:val="both"/>
      </w:pPr>
      <w:r w:rsidRPr="000E036E">
        <w:t xml:space="preserve">Religion wise distribution of burn female cases shows more incident in Hindu </w:t>
      </w:r>
      <w:proofErr w:type="gramStart"/>
      <w:r w:rsidRPr="000E036E">
        <w:t>Female(</w:t>
      </w:r>
      <w:proofErr w:type="gramEnd"/>
      <w:r w:rsidRPr="000E036E">
        <w:t xml:space="preserve">48.81%), and Muslim Female(39.89%) than others. </w:t>
      </w:r>
      <w:proofErr w:type="gramStart"/>
      <w:r w:rsidRPr="000E036E">
        <w:t>Hence highest in the Hindu religion among all.</w:t>
      </w:r>
      <w:proofErr w:type="gramEnd"/>
      <w:r w:rsidRPr="000E036E">
        <w:t xml:space="preserve"> (Table no.3)</w:t>
      </w:r>
    </w:p>
    <w:p w:rsidR="00804A16" w:rsidRDefault="00804A16" w:rsidP="00804A16">
      <w:pPr>
        <w:jc w:val="both"/>
      </w:pPr>
    </w:p>
    <w:p w:rsidR="00804A16" w:rsidRDefault="00804A16" w:rsidP="00804A16">
      <w:pPr>
        <w:jc w:val="both"/>
      </w:pPr>
    </w:p>
    <w:p w:rsidR="00804A16" w:rsidRDefault="00804A16" w:rsidP="00804A16">
      <w:pPr>
        <w:jc w:val="both"/>
      </w:pPr>
    </w:p>
    <w:p w:rsidR="00804A16" w:rsidRDefault="00804A16" w:rsidP="00804A16">
      <w:pPr>
        <w:jc w:val="both"/>
      </w:pPr>
    </w:p>
    <w:p w:rsidR="00054ADE" w:rsidRPr="000E036E" w:rsidRDefault="00054ADE" w:rsidP="00804A16">
      <w:pPr>
        <w:jc w:val="both"/>
      </w:pPr>
      <w:r w:rsidRPr="000E036E">
        <w:lastRenderedPageBreak/>
        <w:t>TABLE NO.3: RELIGIONWISE DISTRIBUTION OF BURN CASES</w:t>
      </w:r>
    </w:p>
    <w:tbl>
      <w:tblPr>
        <w:tblW w:w="4040" w:type="dxa"/>
        <w:tblInd w:w="93" w:type="dxa"/>
        <w:tblLook w:val="04A0" w:firstRow="1" w:lastRow="0" w:firstColumn="1" w:lastColumn="0" w:noHBand="0" w:noVBand="1"/>
      </w:tblPr>
      <w:tblGrid>
        <w:gridCol w:w="1660"/>
        <w:gridCol w:w="1220"/>
        <w:gridCol w:w="1226"/>
      </w:tblGrid>
      <w:tr w:rsidR="00054ADE" w:rsidRPr="000E036E" w:rsidTr="00CD3AC4">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Religion</w:t>
            </w:r>
          </w:p>
        </w:tc>
        <w:tc>
          <w:tcPr>
            <w:tcW w:w="1220" w:type="dxa"/>
            <w:tcBorders>
              <w:top w:val="single" w:sz="4" w:space="0" w:color="auto"/>
              <w:left w:val="nil"/>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Burn Cases</w:t>
            </w:r>
          </w:p>
        </w:tc>
        <w:tc>
          <w:tcPr>
            <w:tcW w:w="1160" w:type="dxa"/>
            <w:tcBorders>
              <w:top w:val="single" w:sz="4" w:space="0" w:color="auto"/>
              <w:left w:val="nil"/>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Percentage</w:t>
            </w:r>
          </w:p>
        </w:tc>
      </w:tr>
      <w:tr w:rsidR="00054ADE" w:rsidRPr="000E036E" w:rsidTr="00CD3AC4">
        <w:trPr>
          <w:trHeight w:val="33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Hindu Female</w:t>
            </w:r>
          </w:p>
        </w:tc>
        <w:tc>
          <w:tcPr>
            <w:tcW w:w="122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186</w:t>
            </w:r>
          </w:p>
        </w:tc>
        <w:tc>
          <w:tcPr>
            <w:tcW w:w="116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48.81%</w:t>
            </w:r>
          </w:p>
        </w:tc>
      </w:tr>
      <w:tr w:rsidR="00054ADE" w:rsidRPr="000E036E" w:rsidTr="00CD3AC4">
        <w:trPr>
          <w:trHeight w:val="33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Muslim Female</w:t>
            </w:r>
          </w:p>
        </w:tc>
        <w:tc>
          <w:tcPr>
            <w:tcW w:w="122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152</w:t>
            </w:r>
          </w:p>
        </w:tc>
        <w:tc>
          <w:tcPr>
            <w:tcW w:w="116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39.89%</w:t>
            </w:r>
          </w:p>
        </w:tc>
      </w:tr>
      <w:tr w:rsidR="00054ADE" w:rsidRPr="000E036E" w:rsidTr="00CD3AC4">
        <w:trPr>
          <w:trHeight w:val="33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proofErr w:type="spellStart"/>
            <w:r w:rsidRPr="000E036E">
              <w:rPr>
                <w:rFonts w:eastAsia="Times New Roman"/>
                <w:color w:val="000000"/>
                <w:lang w:eastAsia="en-IN"/>
              </w:rPr>
              <w:t>chritian</w:t>
            </w:r>
            <w:proofErr w:type="spellEnd"/>
            <w:r w:rsidRPr="000E036E">
              <w:rPr>
                <w:rFonts w:eastAsia="Times New Roman"/>
                <w:color w:val="000000"/>
                <w:lang w:eastAsia="en-IN"/>
              </w:rPr>
              <w:t xml:space="preserve"> Female</w:t>
            </w:r>
          </w:p>
        </w:tc>
        <w:tc>
          <w:tcPr>
            <w:tcW w:w="122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38</w:t>
            </w:r>
          </w:p>
        </w:tc>
        <w:tc>
          <w:tcPr>
            <w:tcW w:w="116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9.97%</w:t>
            </w:r>
          </w:p>
        </w:tc>
      </w:tr>
      <w:tr w:rsidR="00054ADE" w:rsidRPr="000E036E" w:rsidTr="00CD3AC4">
        <w:trPr>
          <w:trHeight w:val="33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unspecified</w:t>
            </w:r>
          </w:p>
        </w:tc>
        <w:tc>
          <w:tcPr>
            <w:tcW w:w="122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5</w:t>
            </w:r>
          </w:p>
        </w:tc>
        <w:tc>
          <w:tcPr>
            <w:tcW w:w="116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1.31%</w:t>
            </w:r>
          </w:p>
        </w:tc>
      </w:tr>
      <w:tr w:rsidR="00054ADE" w:rsidRPr="000E036E" w:rsidTr="00CD3AC4">
        <w:trPr>
          <w:trHeight w:val="33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Total</w:t>
            </w:r>
          </w:p>
        </w:tc>
        <w:tc>
          <w:tcPr>
            <w:tcW w:w="122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381</w:t>
            </w:r>
          </w:p>
        </w:tc>
        <w:tc>
          <w:tcPr>
            <w:tcW w:w="116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100%</w:t>
            </w:r>
          </w:p>
        </w:tc>
      </w:tr>
    </w:tbl>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r w:rsidRPr="000E036E">
        <w:t>Unnatural burn(Thermal) injury cases are more predominant in winter(Nov-Feb) (46%)&amp; Summer(March-June)(40%) than in rainy  season(July-Oct)(14%).(Table no.4)</w:t>
      </w:r>
    </w:p>
    <w:p w:rsidR="00054ADE" w:rsidRPr="000E036E" w:rsidRDefault="00054ADE" w:rsidP="00804A16">
      <w:pPr>
        <w:jc w:val="both"/>
      </w:pPr>
      <w:r w:rsidRPr="000E036E">
        <w:t>TABLE NO.4: SEASONWISE DISTRIBUTION OF BURN CASES</w:t>
      </w:r>
    </w:p>
    <w:tbl>
      <w:tblPr>
        <w:tblW w:w="4108" w:type="dxa"/>
        <w:tblInd w:w="93" w:type="dxa"/>
        <w:tblLook w:val="04A0" w:firstRow="1" w:lastRow="0" w:firstColumn="1" w:lastColumn="0" w:noHBand="0" w:noVBand="1"/>
      </w:tblPr>
      <w:tblGrid>
        <w:gridCol w:w="1858"/>
        <w:gridCol w:w="1024"/>
        <w:gridCol w:w="1226"/>
      </w:tblGrid>
      <w:tr w:rsidR="00054ADE" w:rsidRPr="000E036E" w:rsidTr="00957149">
        <w:trPr>
          <w:trHeight w:val="330"/>
        </w:trPr>
        <w:tc>
          <w:tcPr>
            <w:tcW w:w="1858"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Time of season</w:t>
            </w:r>
          </w:p>
        </w:tc>
        <w:tc>
          <w:tcPr>
            <w:tcW w:w="1024" w:type="dxa"/>
            <w:tcBorders>
              <w:top w:val="single" w:sz="4" w:space="0" w:color="auto"/>
              <w:left w:val="nil"/>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burn cases</w:t>
            </w:r>
          </w:p>
        </w:tc>
        <w:tc>
          <w:tcPr>
            <w:tcW w:w="1226" w:type="dxa"/>
            <w:tcBorders>
              <w:top w:val="single" w:sz="4" w:space="0" w:color="auto"/>
              <w:left w:val="nil"/>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Percentage</w:t>
            </w:r>
          </w:p>
        </w:tc>
      </w:tr>
      <w:tr w:rsidR="00054ADE" w:rsidRPr="000E036E" w:rsidTr="00957149">
        <w:trPr>
          <w:trHeight w:val="33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Winter(Nov-</w:t>
            </w:r>
            <w:proofErr w:type="spellStart"/>
            <w:r w:rsidRPr="000E036E">
              <w:rPr>
                <w:rFonts w:eastAsia="Times New Roman"/>
                <w:color w:val="000000"/>
                <w:lang w:eastAsia="en-IN"/>
              </w:rPr>
              <w:t>feb</w:t>
            </w:r>
            <w:proofErr w:type="spellEnd"/>
            <w:r w:rsidRPr="000E036E">
              <w:rPr>
                <w:rFonts w:eastAsia="Times New Roman"/>
                <w:color w:val="000000"/>
                <w:lang w:eastAsia="en-IN"/>
              </w:rPr>
              <w:t>)</w:t>
            </w:r>
          </w:p>
        </w:tc>
        <w:tc>
          <w:tcPr>
            <w:tcW w:w="102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175</w:t>
            </w:r>
          </w:p>
        </w:tc>
        <w:tc>
          <w:tcPr>
            <w:tcW w:w="1226"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46%</w:t>
            </w:r>
          </w:p>
        </w:tc>
      </w:tr>
      <w:tr w:rsidR="00054ADE" w:rsidRPr="000E036E" w:rsidTr="00757D9D">
        <w:trPr>
          <w:trHeight w:val="577"/>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Summer(March-</w:t>
            </w:r>
            <w:proofErr w:type="spellStart"/>
            <w:r w:rsidRPr="000E036E">
              <w:rPr>
                <w:rFonts w:eastAsia="Times New Roman"/>
                <w:color w:val="000000"/>
                <w:lang w:eastAsia="en-IN"/>
              </w:rPr>
              <w:t>june</w:t>
            </w:r>
            <w:proofErr w:type="spellEnd"/>
            <w:r w:rsidRPr="000E036E">
              <w:rPr>
                <w:rFonts w:eastAsia="Times New Roman"/>
                <w:color w:val="000000"/>
                <w:lang w:eastAsia="en-IN"/>
              </w:rPr>
              <w:t>)</w:t>
            </w:r>
          </w:p>
        </w:tc>
        <w:tc>
          <w:tcPr>
            <w:tcW w:w="102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152</w:t>
            </w:r>
          </w:p>
        </w:tc>
        <w:tc>
          <w:tcPr>
            <w:tcW w:w="1226"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40%</w:t>
            </w:r>
          </w:p>
        </w:tc>
      </w:tr>
      <w:tr w:rsidR="00054ADE" w:rsidRPr="000E036E" w:rsidTr="00957149">
        <w:trPr>
          <w:trHeight w:val="33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Rainy(July-</w:t>
            </w:r>
            <w:proofErr w:type="spellStart"/>
            <w:r w:rsidRPr="000E036E">
              <w:rPr>
                <w:rFonts w:eastAsia="Times New Roman"/>
                <w:color w:val="000000"/>
                <w:lang w:eastAsia="en-IN"/>
              </w:rPr>
              <w:t>oct</w:t>
            </w:r>
            <w:proofErr w:type="spellEnd"/>
            <w:r w:rsidRPr="000E036E">
              <w:rPr>
                <w:rFonts w:eastAsia="Times New Roman"/>
                <w:color w:val="000000"/>
                <w:lang w:eastAsia="en-IN"/>
              </w:rPr>
              <w:t>)</w:t>
            </w:r>
          </w:p>
        </w:tc>
        <w:tc>
          <w:tcPr>
            <w:tcW w:w="102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54</w:t>
            </w:r>
          </w:p>
        </w:tc>
        <w:tc>
          <w:tcPr>
            <w:tcW w:w="1226"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14%</w:t>
            </w:r>
          </w:p>
        </w:tc>
      </w:tr>
      <w:tr w:rsidR="00054ADE" w:rsidRPr="000E036E" w:rsidTr="00957149">
        <w:trPr>
          <w:trHeight w:val="33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Total</w:t>
            </w:r>
          </w:p>
        </w:tc>
        <w:tc>
          <w:tcPr>
            <w:tcW w:w="102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381</w:t>
            </w:r>
          </w:p>
        </w:tc>
        <w:tc>
          <w:tcPr>
            <w:tcW w:w="1226"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100%</w:t>
            </w:r>
          </w:p>
        </w:tc>
      </w:tr>
    </w:tbl>
    <w:p w:rsidR="00054ADE" w:rsidRPr="000E036E" w:rsidRDefault="00054ADE" w:rsidP="00804A16">
      <w:pPr>
        <w:jc w:val="both"/>
      </w:pPr>
    </w:p>
    <w:p w:rsidR="00054ADE" w:rsidRPr="000E036E" w:rsidRDefault="00054ADE" w:rsidP="00804A16">
      <w:pPr>
        <w:jc w:val="both"/>
        <w:rPr>
          <w:rFonts w:eastAsia="Times New Roman"/>
          <w:color w:val="000000"/>
          <w:lang w:eastAsia="en-IN"/>
        </w:rPr>
      </w:pPr>
      <w:r w:rsidRPr="000E036E">
        <w:t xml:space="preserve">Incidence of unnatural female death due to burn cases are more prone in </w:t>
      </w:r>
      <w:r w:rsidRPr="000E036E">
        <w:rPr>
          <w:rFonts w:eastAsia="Times New Roman"/>
          <w:color w:val="000000"/>
          <w:lang w:eastAsia="en-IN"/>
        </w:rPr>
        <w:t>Morning(6am-12 pm)(37%) &amp; Evening(6pm-12am)(39%).(Table no.5) as they are more active in cooking related activities where incidence of accidental burns are more prominent.(</w:t>
      </w:r>
      <w:r w:rsidRPr="000E036E">
        <w:t>Table no.5)</w:t>
      </w:r>
    </w:p>
    <w:p w:rsidR="00054ADE" w:rsidRPr="000E036E" w:rsidRDefault="00054ADE" w:rsidP="00804A16">
      <w:pPr>
        <w:jc w:val="both"/>
      </w:pPr>
    </w:p>
    <w:p w:rsidR="00A76BB6" w:rsidRDefault="00A76BB6" w:rsidP="00804A16">
      <w:pPr>
        <w:jc w:val="both"/>
      </w:pPr>
    </w:p>
    <w:p w:rsidR="00A76BB6" w:rsidRDefault="00A76BB6" w:rsidP="00804A16">
      <w:pPr>
        <w:jc w:val="both"/>
      </w:pPr>
    </w:p>
    <w:p w:rsidR="00A76BB6" w:rsidRDefault="00A76BB6" w:rsidP="00804A16">
      <w:pPr>
        <w:jc w:val="both"/>
      </w:pPr>
    </w:p>
    <w:p w:rsidR="00054ADE" w:rsidRPr="000E036E" w:rsidRDefault="00054ADE" w:rsidP="00804A16">
      <w:pPr>
        <w:jc w:val="both"/>
      </w:pPr>
      <w:r w:rsidRPr="000E036E">
        <w:lastRenderedPageBreak/>
        <w:t xml:space="preserve">TABLE NO.5: TIME OF INCIDENCEWISE DISTRIBUTION OF BURN CASES </w:t>
      </w:r>
    </w:p>
    <w:tbl>
      <w:tblPr>
        <w:tblW w:w="3984" w:type="dxa"/>
        <w:tblInd w:w="93" w:type="dxa"/>
        <w:tblLook w:val="04A0" w:firstRow="1" w:lastRow="0" w:firstColumn="1" w:lastColumn="0" w:noHBand="0" w:noVBand="1"/>
      </w:tblPr>
      <w:tblGrid>
        <w:gridCol w:w="2000"/>
        <w:gridCol w:w="696"/>
        <w:gridCol w:w="1288"/>
      </w:tblGrid>
      <w:tr w:rsidR="00054ADE" w:rsidRPr="000E036E" w:rsidTr="00757D9D">
        <w:trPr>
          <w:trHeight w:val="330"/>
        </w:trPr>
        <w:tc>
          <w:tcPr>
            <w:tcW w:w="200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Time of incidence</w:t>
            </w:r>
          </w:p>
        </w:tc>
        <w:tc>
          <w:tcPr>
            <w:tcW w:w="696" w:type="dxa"/>
            <w:tcBorders>
              <w:top w:val="single" w:sz="4" w:space="0" w:color="auto"/>
              <w:left w:val="nil"/>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burn cases</w:t>
            </w:r>
          </w:p>
        </w:tc>
        <w:tc>
          <w:tcPr>
            <w:tcW w:w="1288" w:type="dxa"/>
            <w:tcBorders>
              <w:top w:val="single" w:sz="4" w:space="0" w:color="auto"/>
              <w:left w:val="nil"/>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Percentage</w:t>
            </w:r>
          </w:p>
        </w:tc>
      </w:tr>
      <w:tr w:rsidR="00054ADE" w:rsidRPr="000E036E" w:rsidTr="00757D9D">
        <w:trPr>
          <w:trHeight w:val="33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Morning(6am-12 pm)</w:t>
            </w:r>
          </w:p>
        </w:tc>
        <w:tc>
          <w:tcPr>
            <w:tcW w:w="696" w:type="dxa"/>
            <w:tcBorders>
              <w:top w:val="nil"/>
              <w:left w:val="nil"/>
              <w:bottom w:val="single" w:sz="4" w:space="0" w:color="auto"/>
              <w:right w:val="single" w:sz="4" w:space="0" w:color="auto"/>
            </w:tcBorders>
            <w:shd w:val="clear" w:color="auto" w:fill="auto"/>
            <w:noWrap/>
            <w:vAlign w:val="bottom"/>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140</w:t>
            </w:r>
          </w:p>
        </w:tc>
        <w:tc>
          <w:tcPr>
            <w:tcW w:w="1288" w:type="dxa"/>
            <w:tcBorders>
              <w:top w:val="nil"/>
              <w:left w:val="nil"/>
              <w:bottom w:val="single" w:sz="4" w:space="0" w:color="auto"/>
              <w:right w:val="single" w:sz="4" w:space="0" w:color="auto"/>
            </w:tcBorders>
            <w:shd w:val="clear" w:color="auto" w:fill="auto"/>
            <w:noWrap/>
            <w:vAlign w:val="bottom"/>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37%</w:t>
            </w:r>
          </w:p>
        </w:tc>
      </w:tr>
      <w:tr w:rsidR="00054ADE" w:rsidRPr="000E036E" w:rsidTr="00757D9D">
        <w:trPr>
          <w:trHeight w:val="33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Noon(12pm-6pm)</w:t>
            </w:r>
          </w:p>
        </w:tc>
        <w:tc>
          <w:tcPr>
            <w:tcW w:w="696"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49</w:t>
            </w:r>
          </w:p>
        </w:tc>
        <w:tc>
          <w:tcPr>
            <w:tcW w:w="1288"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13%</w:t>
            </w:r>
          </w:p>
        </w:tc>
      </w:tr>
      <w:tr w:rsidR="00054ADE" w:rsidRPr="000E036E" w:rsidTr="00757D9D">
        <w:trPr>
          <w:trHeight w:val="33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Evening(6pm-12am)</w:t>
            </w:r>
          </w:p>
        </w:tc>
        <w:tc>
          <w:tcPr>
            <w:tcW w:w="696"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148</w:t>
            </w:r>
          </w:p>
        </w:tc>
        <w:tc>
          <w:tcPr>
            <w:tcW w:w="1288"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39%</w:t>
            </w:r>
          </w:p>
        </w:tc>
        <w:bookmarkStart w:id="0" w:name="_GoBack"/>
        <w:bookmarkEnd w:id="0"/>
      </w:tr>
      <w:tr w:rsidR="00054ADE" w:rsidRPr="000E036E" w:rsidTr="00757D9D">
        <w:trPr>
          <w:trHeight w:val="33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Night(12am-6am)</w:t>
            </w:r>
          </w:p>
        </w:tc>
        <w:tc>
          <w:tcPr>
            <w:tcW w:w="696"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41</w:t>
            </w:r>
          </w:p>
        </w:tc>
        <w:tc>
          <w:tcPr>
            <w:tcW w:w="1288"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11%</w:t>
            </w:r>
          </w:p>
        </w:tc>
      </w:tr>
      <w:tr w:rsidR="00054ADE" w:rsidRPr="000E036E" w:rsidTr="00757D9D">
        <w:trPr>
          <w:trHeight w:val="33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Total</w:t>
            </w:r>
          </w:p>
        </w:tc>
        <w:tc>
          <w:tcPr>
            <w:tcW w:w="696"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381</w:t>
            </w:r>
          </w:p>
        </w:tc>
        <w:tc>
          <w:tcPr>
            <w:tcW w:w="1288"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100%</w:t>
            </w:r>
          </w:p>
        </w:tc>
      </w:tr>
    </w:tbl>
    <w:p w:rsidR="00054ADE" w:rsidRPr="000E036E" w:rsidRDefault="00054ADE" w:rsidP="00804A16">
      <w:pPr>
        <w:jc w:val="both"/>
      </w:pPr>
    </w:p>
    <w:p w:rsidR="00054ADE" w:rsidRPr="000E036E" w:rsidRDefault="00054ADE" w:rsidP="00804A16">
      <w:pPr>
        <w:jc w:val="both"/>
      </w:pPr>
      <w:r w:rsidRPr="000E036E">
        <w:t>Triple times of incidence of unnatural female death due to burn in female in married female (64%) than unmarried(23%) is noted as dowry and other social factors are responsible in married female.(Table no.6)</w:t>
      </w:r>
    </w:p>
    <w:p w:rsidR="00054ADE" w:rsidRPr="000E036E" w:rsidRDefault="00054ADE" w:rsidP="00804A16">
      <w:pPr>
        <w:jc w:val="both"/>
      </w:pPr>
      <w:r w:rsidRPr="000E036E">
        <w:t>TABLE NO.6</w:t>
      </w:r>
      <w:proofErr w:type="gramStart"/>
      <w:r w:rsidRPr="000E036E">
        <w:t>:MARITAL</w:t>
      </w:r>
      <w:proofErr w:type="gramEnd"/>
      <w:r w:rsidRPr="000E036E">
        <w:t xml:space="preserve"> STATUSWISE DISTRIBUTION OF BURN CASES</w:t>
      </w:r>
    </w:p>
    <w:tbl>
      <w:tblPr>
        <w:tblW w:w="3559" w:type="dxa"/>
        <w:tblInd w:w="93" w:type="dxa"/>
        <w:tblLook w:val="04A0" w:firstRow="1" w:lastRow="0" w:firstColumn="1" w:lastColumn="0" w:noHBand="0" w:noVBand="1"/>
      </w:tblPr>
      <w:tblGrid>
        <w:gridCol w:w="1291"/>
        <w:gridCol w:w="1134"/>
        <w:gridCol w:w="1226"/>
      </w:tblGrid>
      <w:tr w:rsidR="00054ADE" w:rsidRPr="000E036E" w:rsidTr="00CD3AC4">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Marital status</w:t>
            </w:r>
          </w:p>
        </w:tc>
        <w:tc>
          <w:tcPr>
            <w:tcW w:w="1134" w:type="dxa"/>
            <w:tcBorders>
              <w:top w:val="single" w:sz="4" w:space="0" w:color="auto"/>
              <w:left w:val="nil"/>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burn cases</w:t>
            </w:r>
          </w:p>
        </w:tc>
        <w:tc>
          <w:tcPr>
            <w:tcW w:w="1134" w:type="dxa"/>
            <w:tcBorders>
              <w:top w:val="single" w:sz="4" w:space="0" w:color="auto"/>
              <w:left w:val="nil"/>
              <w:bottom w:val="single" w:sz="4" w:space="0" w:color="auto"/>
              <w:right w:val="single" w:sz="4" w:space="0" w:color="auto"/>
            </w:tcBorders>
            <w:shd w:val="clear" w:color="000000" w:fill="EEECE1"/>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Percentage</w:t>
            </w:r>
          </w:p>
        </w:tc>
      </w:tr>
      <w:tr w:rsidR="00054ADE" w:rsidRPr="000E036E" w:rsidTr="00CD3AC4">
        <w:trPr>
          <w:trHeight w:val="33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married</w:t>
            </w:r>
          </w:p>
        </w:tc>
        <w:tc>
          <w:tcPr>
            <w:tcW w:w="113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244</w:t>
            </w:r>
          </w:p>
        </w:tc>
        <w:tc>
          <w:tcPr>
            <w:tcW w:w="113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64%</w:t>
            </w:r>
          </w:p>
        </w:tc>
      </w:tr>
      <w:tr w:rsidR="00054ADE" w:rsidRPr="000E036E" w:rsidTr="00CD3AC4">
        <w:trPr>
          <w:trHeight w:val="33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unmarried</w:t>
            </w:r>
          </w:p>
        </w:tc>
        <w:tc>
          <w:tcPr>
            <w:tcW w:w="113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88</w:t>
            </w:r>
          </w:p>
        </w:tc>
        <w:tc>
          <w:tcPr>
            <w:tcW w:w="113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23%</w:t>
            </w:r>
          </w:p>
        </w:tc>
      </w:tr>
      <w:tr w:rsidR="00054ADE" w:rsidRPr="000E036E" w:rsidTr="00CD3AC4">
        <w:trPr>
          <w:trHeight w:val="33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widow</w:t>
            </w:r>
          </w:p>
        </w:tc>
        <w:tc>
          <w:tcPr>
            <w:tcW w:w="113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49</w:t>
            </w:r>
          </w:p>
        </w:tc>
        <w:tc>
          <w:tcPr>
            <w:tcW w:w="113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9%</w:t>
            </w:r>
          </w:p>
        </w:tc>
      </w:tr>
      <w:tr w:rsidR="00054ADE" w:rsidRPr="000E036E" w:rsidTr="00CD3AC4">
        <w:trPr>
          <w:trHeight w:val="33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381</w:t>
            </w:r>
          </w:p>
        </w:tc>
        <w:tc>
          <w:tcPr>
            <w:tcW w:w="113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100%</w:t>
            </w:r>
          </w:p>
        </w:tc>
      </w:tr>
    </w:tbl>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r w:rsidRPr="000E036E">
        <w:t>Averagely 30-40% of Total body surface area (TBSA</w:t>
      </w:r>
      <w:proofErr w:type="gramStart"/>
      <w:r w:rsidRPr="000E036E">
        <w:t>)(</w:t>
      </w:r>
      <w:proofErr w:type="gramEnd"/>
      <w:r w:rsidRPr="000E036E">
        <w:t>21%) &amp; 40-50% of TBSA(20%) involved in unnatural female death cases and lesser in 10-20% (1%) &amp; &gt;80%(5%).(Table no.7)</w:t>
      </w:r>
    </w:p>
    <w:p w:rsidR="00054ADE" w:rsidRPr="000E036E" w:rsidRDefault="00054ADE" w:rsidP="00804A16">
      <w:pPr>
        <w:jc w:val="both"/>
      </w:pPr>
    </w:p>
    <w:p w:rsidR="00A76BB6" w:rsidRDefault="00A76BB6" w:rsidP="00804A16">
      <w:pPr>
        <w:jc w:val="both"/>
      </w:pPr>
    </w:p>
    <w:p w:rsidR="00054ADE" w:rsidRPr="000E036E" w:rsidRDefault="00054ADE" w:rsidP="00804A16">
      <w:pPr>
        <w:jc w:val="both"/>
      </w:pPr>
      <w:r w:rsidRPr="000E036E">
        <w:lastRenderedPageBreak/>
        <w:t>TABLE NO 7</w:t>
      </w:r>
      <w:proofErr w:type="gramStart"/>
      <w:r w:rsidRPr="000E036E">
        <w:t>:TOTAL</w:t>
      </w:r>
      <w:proofErr w:type="gramEnd"/>
      <w:r w:rsidRPr="000E036E">
        <w:t xml:space="preserve"> BODY SURFACE AREA INVOLVED:PERCENTAGEWISE DISTRIBUTION</w:t>
      </w:r>
    </w:p>
    <w:tbl>
      <w:tblPr>
        <w:tblW w:w="5118" w:type="dxa"/>
        <w:tblInd w:w="93" w:type="dxa"/>
        <w:tblLook w:val="04A0" w:firstRow="1" w:lastRow="0" w:firstColumn="1" w:lastColumn="0" w:noHBand="0" w:noVBand="1"/>
      </w:tblPr>
      <w:tblGrid>
        <w:gridCol w:w="2850"/>
        <w:gridCol w:w="851"/>
        <w:gridCol w:w="1417"/>
      </w:tblGrid>
      <w:tr w:rsidR="00054ADE" w:rsidRPr="000E036E" w:rsidTr="00CD3AC4">
        <w:trPr>
          <w:trHeight w:val="330"/>
        </w:trPr>
        <w:tc>
          <w:tcPr>
            <w:tcW w:w="285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054ADE" w:rsidRPr="000E036E" w:rsidRDefault="009E1AA5" w:rsidP="00804A16">
            <w:pPr>
              <w:jc w:val="both"/>
              <w:rPr>
                <w:rFonts w:eastAsia="Times New Roman"/>
                <w:color w:val="000000"/>
                <w:lang w:eastAsia="en-IN"/>
              </w:rPr>
            </w:pPr>
            <w:r w:rsidRPr="000E036E">
              <w:rPr>
                <w:rFonts w:eastAsia="Times New Roman"/>
                <w:color w:val="000000"/>
                <w:lang w:eastAsia="en-IN"/>
              </w:rPr>
              <w:t>Total body surface area involved</w:t>
            </w:r>
          </w:p>
        </w:tc>
        <w:tc>
          <w:tcPr>
            <w:tcW w:w="851" w:type="dxa"/>
            <w:tcBorders>
              <w:top w:val="single" w:sz="4" w:space="0" w:color="auto"/>
              <w:left w:val="nil"/>
              <w:bottom w:val="single" w:sz="4" w:space="0" w:color="auto"/>
              <w:right w:val="single" w:sz="4" w:space="0" w:color="auto"/>
            </w:tcBorders>
            <w:shd w:val="clear" w:color="000000" w:fill="EEECE1"/>
            <w:noWrap/>
            <w:vAlign w:val="bottom"/>
            <w:hideMark/>
          </w:tcPr>
          <w:p w:rsidR="00054ADE" w:rsidRPr="000E036E" w:rsidRDefault="009E1AA5" w:rsidP="00804A16">
            <w:pPr>
              <w:jc w:val="both"/>
              <w:rPr>
                <w:rFonts w:eastAsia="Times New Roman"/>
                <w:color w:val="000000"/>
                <w:lang w:eastAsia="en-IN"/>
              </w:rPr>
            </w:pPr>
            <w:r w:rsidRPr="000E036E">
              <w:rPr>
                <w:rFonts w:eastAsia="Times New Roman"/>
                <w:color w:val="000000"/>
                <w:lang w:eastAsia="en-IN"/>
              </w:rPr>
              <w:t>Cases</w:t>
            </w:r>
          </w:p>
        </w:tc>
        <w:tc>
          <w:tcPr>
            <w:tcW w:w="1417" w:type="dxa"/>
            <w:tcBorders>
              <w:top w:val="single" w:sz="4" w:space="0" w:color="auto"/>
              <w:left w:val="nil"/>
              <w:bottom w:val="single" w:sz="4" w:space="0" w:color="auto"/>
              <w:right w:val="single" w:sz="4" w:space="0" w:color="auto"/>
            </w:tcBorders>
            <w:shd w:val="clear" w:color="000000" w:fill="EEECE1"/>
            <w:noWrap/>
            <w:vAlign w:val="bottom"/>
            <w:hideMark/>
          </w:tcPr>
          <w:p w:rsidR="00054ADE" w:rsidRPr="000E036E" w:rsidRDefault="009E1AA5" w:rsidP="00804A16">
            <w:pPr>
              <w:jc w:val="both"/>
              <w:rPr>
                <w:rFonts w:eastAsia="Times New Roman"/>
                <w:color w:val="000000"/>
                <w:lang w:eastAsia="en-IN"/>
              </w:rPr>
            </w:pPr>
            <w:r w:rsidRPr="000E036E">
              <w:rPr>
                <w:rFonts w:eastAsia="Times New Roman"/>
                <w:color w:val="000000"/>
                <w:lang w:eastAsia="en-IN"/>
              </w:rPr>
              <w:t>Percentage</w:t>
            </w:r>
          </w:p>
        </w:tc>
      </w:tr>
      <w:tr w:rsidR="00054ADE" w:rsidRPr="000E036E" w:rsidTr="00CD3AC4">
        <w:trPr>
          <w:trHeight w:val="33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10-20%</w:t>
            </w:r>
          </w:p>
        </w:tc>
        <w:tc>
          <w:tcPr>
            <w:tcW w:w="851"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4</w:t>
            </w:r>
          </w:p>
        </w:tc>
        <w:tc>
          <w:tcPr>
            <w:tcW w:w="1417"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w:t>
            </w:r>
          </w:p>
        </w:tc>
      </w:tr>
      <w:tr w:rsidR="00054ADE" w:rsidRPr="000E036E" w:rsidTr="00CD3AC4">
        <w:trPr>
          <w:trHeight w:val="33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20-30%</w:t>
            </w:r>
          </w:p>
        </w:tc>
        <w:tc>
          <w:tcPr>
            <w:tcW w:w="851"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64</w:t>
            </w:r>
          </w:p>
        </w:tc>
        <w:tc>
          <w:tcPr>
            <w:tcW w:w="1417"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17%</w:t>
            </w:r>
          </w:p>
        </w:tc>
      </w:tr>
      <w:tr w:rsidR="00054ADE" w:rsidRPr="000E036E" w:rsidTr="00CD3AC4">
        <w:trPr>
          <w:trHeight w:val="33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30-40%</w:t>
            </w:r>
          </w:p>
        </w:tc>
        <w:tc>
          <w:tcPr>
            <w:tcW w:w="851"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82</w:t>
            </w:r>
          </w:p>
        </w:tc>
        <w:tc>
          <w:tcPr>
            <w:tcW w:w="1417"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21%</w:t>
            </w:r>
          </w:p>
        </w:tc>
      </w:tr>
      <w:tr w:rsidR="00054ADE" w:rsidRPr="000E036E" w:rsidTr="00CD3AC4">
        <w:trPr>
          <w:trHeight w:val="33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40-50%</w:t>
            </w:r>
          </w:p>
        </w:tc>
        <w:tc>
          <w:tcPr>
            <w:tcW w:w="851"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78</w:t>
            </w:r>
          </w:p>
        </w:tc>
        <w:tc>
          <w:tcPr>
            <w:tcW w:w="1417"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20%</w:t>
            </w:r>
          </w:p>
        </w:tc>
      </w:tr>
      <w:tr w:rsidR="00054ADE" w:rsidRPr="000E036E" w:rsidTr="00CD3AC4">
        <w:trPr>
          <w:trHeight w:val="33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50-60%</w:t>
            </w:r>
          </w:p>
        </w:tc>
        <w:tc>
          <w:tcPr>
            <w:tcW w:w="851"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56</w:t>
            </w:r>
          </w:p>
        </w:tc>
        <w:tc>
          <w:tcPr>
            <w:tcW w:w="1417"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14%</w:t>
            </w:r>
          </w:p>
        </w:tc>
      </w:tr>
      <w:tr w:rsidR="00054ADE" w:rsidRPr="000E036E" w:rsidTr="00CD3AC4">
        <w:trPr>
          <w:trHeight w:val="33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60-70%</w:t>
            </w:r>
          </w:p>
        </w:tc>
        <w:tc>
          <w:tcPr>
            <w:tcW w:w="851"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49</w:t>
            </w:r>
          </w:p>
        </w:tc>
        <w:tc>
          <w:tcPr>
            <w:tcW w:w="1417"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12%</w:t>
            </w:r>
          </w:p>
        </w:tc>
      </w:tr>
      <w:tr w:rsidR="00054ADE" w:rsidRPr="000E036E" w:rsidTr="00CD3AC4">
        <w:trPr>
          <w:trHeight w:val="33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70-80%</w:t>
            </w:r>
          </w:p>
        </w:tc>
        <w:tc>
          <w:tcPr>
            <w:tcW w:w="851"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26</w:t>
            </w:r>
          </w:p>
        </w:tc>
        <w:tc>
          <w:tcPr>
            <w:tcW w:w="1417"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7%</w:t>
            </w:r>
          </w:p>
        </w:tc>
      </w:tr>
      <w:tr w:rsidR="00054ADE" w:rsidRPr="000E036E" w:rsidTr="00CD3AC4">
        <w:trPr>
          <w:trHeight w:val="33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&gt;80%</w:t>
            </w:r>
          </w:p>
        </w:tc>
        <w:tc>
          <w:tcPr>
            <w:tcW w:w="851"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22</w:t>
            </w:r>
          </w:p>
        </w:tc>
        <w:tc>
          <w:tcPr>
            <w:tcW w:w="1417"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5%</w:t>
            </w:r>
          </w:p>
        </w:tc>
      </w:tr>
      <w:tr w:rsidR="00054ADE" w:rsidRPr="000E036E" w:rsidTr="00CD3AC4">
        <w:trPr>
          <w:trHeight w:val="33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Total</w:t>
            </w:r>
          </w:p>
        </w:tc>
        <w:tc>
          <w:tcPr>
            <w:tcW w:w="851"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381</w:t>
            </w:r>
          </w:p>
        </w:tc>
        <w:tc>
          <w:tcPr>
            <w:tcW w:w="1417"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100%</w:t>
            </w:r>
          </w:p>
        </w:tc>
      </w:tr>
    </w:tbl>
    <w:p w:rsidR="00054ADE" w:rsidRPr="000E036E" w:rsidRDefault="00054ADE" w:rsidP="00804A16">
      <w:pPr>
        <w:jc w:val="both"/>
      </w:pPr>
    </w:p>
    <w:p w:rsidR="00054ADE" w:rsidRPr="000E036E" w:rsidRDefault="00054ADE" w:rsidP="00804A16">
      <w:pPr>
        <w:jc w:val="both"/>
      </w:pPr>
      <w:r w:rsidRPr="000E036E">
        <w:t xml:space="preserve">Duration of survival after incidence of burn(Thermal) Injury is least in more than one month (5%) &amp; more in 12 to 24 hr(19%) &amp; 24 to 48 hr (17%) (Table no.8) </w:t>
      </w:r>
    </w:p>
    <w:p w:rsidR="00054ADE" w:rsidRPr="000E036E" w:rsidRDefault="00054ADE" w:rsidP="00804A16">
      <w:pPr>
        <w:jc w:val="both"/>
      </w:pPr>
      <w:r w:rsidRPr="000E036E">
        <w:t>TABLE NO 8: DURATION OF SURVIVAL AFTER INCIDENCE:</w:t>
      </w:r>
    </w:p>
    <w:tbl>
      <w:tblPr>
        <w:tblW w:w="6939" w:type="dxa"/>
        <w:tblInd w:w="-27" w:type="dxa"/>
        <w:tblLook w:val="04A0" w:firstRow="1" w:lastRow="0" w:firstColumn="1" w:lastColumn="0" w:noHBand="0" w:noVBand="1"/>
      </w:tblPr>
      <w:tblGrid>
        <w:gridCol w:w="3520"/>
        <w:gridCol w:w="2060"/>
        <w:gridCol w:w="1359"/>
      </w:tblGrid>
      <w:tr w:rsidR="00054ADE" w:rsidRPr="000E036E" w:rsidTr="00CD3AC4">
        <w:trPr>
          <w:trHeight w:val="345"/>
        </w:trPr>
        <w:tc>
          <w:tcPr>
            <w:tcW w:w="3520" w:type="dxa"/>
            <w:tcBorders>
              <w:top w:val="single" w:sz="4" w:space="0" w:color="auto"/>
              <w:left w:val="single" w:sz="4" w:space="0" w:color="auto"/>
              <w:bottom w:val="single" w:sz="4" w:space="0" w:color="auto"/>
              <w:right w:val="single" w:sz="4" w:space="0" w:color="auto"/>
            </w:tcBorders>
            <w:shd w:val="clear" w:color="000000" w:fill="EEECE1"/>
            <w:hideMark/>
          </w:tcPr>
          <w:p w:rsidR="00054ADE" w:rsidRPr="000E036E" w:rsidRDefault="00054ADE" w:rsidP="00804A16">
            <w:pPr>
              <w:jc w:val="both"/>
              <w:rPr>
                <w:rFonts w:eastAsia="Times New Roman"/>
                <w:color w:val="333333"/>
                <w:lang w:eastAsia="en-IN"/>
              </w:rPr>
            </w:pPr>
            <w:r w:rsidRPr="000E036E">
              <w:rPr>
                <w:rFonts w:eastAsia="Times New Roman"/>
                <w:color w:val="333333"/>
                <w:lang w:eastAsia="en-IN"/>
              </w:rPr>
              <w:t>Duration of survival after incidence</w:t>
            </w:r>
          </w:p>
        </w:tc>
        <w:tc>
          <w:tcPr>
            <w:tcW w:w="2060" w:type="dxa"/>
            <w:tcBorders>
              <w:top w:val="single" w:sz="4" w:space="0" w:color="auto"/>
              <w:left w:val="nil"/>
              <w:bottom w:val="single" w:sz="4" w:space="0" w:color="auto"/>
              <w:right w:val="single" w:sz="4" w:space="0" w:color="auto"/>
            </w:tcBorders>
            <w:shd w:val="clear" w:color="000000" w:fill="EEECE1"/>
            <w:hideMark/>
          </w:tcPr>
          <w:p w:rsidR="00054ADE" w:rsidRPr="000E036E" w:rsidRDefault="00054ADE" w:rsidP="00804A16">
            <w:pPr>
              <w:jc w:val="both"/>
              <w:rPr>
                <w:rFonts w:eastAsia="Times New Roman"/>
                <w:color w:val="333333"/>
                <w:lang w:eastAsia="en-IN"/>
              </w:rPr>
            </w:pPr>
            <w:r w:rsidRPr="000E036E">
              <w:rPr>
                <w:rFonts w:eastAsia="Times New Roman"/>
                <w:color w:val="333333"/>
                <w:lang w:eastAsia="en-IN"/>
              </w:rPr>
              <w:t>Total burn cases</w:t>
            </w:r>
          </w:p>
        </w:tc>
        <w:tc>
          <w:tcPr>
            <w:tcW w:w="1359" w:type="dxa"/>
            <w:tcBorders>
              <w:top w:val="single" w:sz="4" w:space="0" w:color="auto"/>
              <w:left w:val="nil"/>
              <w:bottom w:val="single" w:sz="4" w:space="0" w:color="auto"/>
              <w:right w:val="single" w:sz="4" w:space="0" w:color="auto"/>
            </w:tcBorders>
            <w:shd w:val="clear" w:color="000000" w:fill="EEECE1"/>
            <w:hideMark/>
          </w:tcPr>
          <w:p w:rsidR="00054ADE" w:rsidRPr="000E036E" w:rsidRDefault="00054ADE" w:rsidP="00804A16">
            <w:pPr>
              <w:jc w:val="both"/>
              <w:rPr>
                <w:rFonts w:eastAsia="Times New Roman"/>
                <w:color w:val="333333"/>
                <w:lang w:eastAsia="en-IN"/>
              </w:rPr>
            </w:pPr>
            <w:r w:rsidRPr="000E036E">
              <w:rPr>
                <w:rFonts w:eastAsia="Times New Roman"/>
                <w:color w:val="333333"/>
                <w:lang w:eastAsia="en-IN"/>
              </w:rPr>
              <w:t>Percentage</w:t>
            </w:r>
          </w:p>
        </w:tc>
      </w:tr>
      <w:tr w:rsidR="00054ADE" w:rsidRPr="000E036E" w:rsidTr="00CD3AC4">
        <w:trPr>
          <w:trHeight w:val="345"/>
        </w:trPr>
        <w:tc>
          <w:tcPr>
            <w:tcW w:w="3520"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Brought dead</w:t>
            </w:r>
          </w:p>
        </w:tc>
        <w:tc>
          <w:tcPr>
            <w:tcW w:w="2060"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38</w:t>
            </w:r>
          </w:p>
        </w:tc>
        <w:tc>
          <w:tcPr>
            <w:tcW w:w="135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10%</w:t>
            </w:r>
          </w:p>
        </w:tc>
      </w:tr>
      <w:tr w:rsidR="00054ADE" w:rsidRPr="000E036E" w:rsidTr="00CD3AC4">
        <w:trPr>
          <w:trHeight w:val="345"/>
        </w:trPr>
        <w:tc>
          <w:tcPr>
            <w:tcW w:w="3520"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0 to 6 h</w:t>
            </w:r>
          </w:p>
        </w:tc>
        <w:tc>
          <w:tcPr>
            <w:tcW w:w="2060"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22</w:t>
            </w:r>
          </w:p>
        </w:tc>
        <w:tc>
          <w:tcPr>
            <w:tcW w:w="135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6%</w:t>
            </w:r>
          </w:p>
        </w:tc>
      </w:tr>
      <w:tr w:rsidR="00054ADE" w:rsidRPr="000E036E" w:rsidTr="00CD3AC4">
        <w:trPr>
          <w:trHeight w:val="330"/>
        </w:trPr>
        <w:tc>
          <w:tcPr>
            <w:tcW w:w="3520"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6 to 12 h</w:t>
            </w:r>
          </w:p>
        </w:tc>
        <w:tc>
          <w:tcPr>
            <w:tcW w:w="2060"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50</w:t>
            </w:r>
          </w:p>
        </w:tc>
        <w:tc>
          <w:tcPr>
            <w:tcW w:w="135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13%</w:t>
            </w:r>
          </w:p>
        </w:tc>
      </w:tr>
      <w:tr w:rsidR="00054ADE" w:rsidRPr="000E036E" w:rsidTr="00CD3AC4">
        <w:trPr>
          <w:trHeight w:val="330"/>
        </w:trPr>
        <w:tc>
          <w:tcPr>
            <w:tcW w:w="3520"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12 to 24 h</w:t>
            </w:r>
          </w:p>
        </w:tc>
        <w:tc>
          <w:tcPr>
            <w:tcW w:w="2060"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72</w:t>
            </w:r>
          </w:p>
        </w:tc>
        <w:tc>
          <w:tcPr>
            <w:tcW w:w="135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19%</w:t>
            </w:r>
          </w:p>
        </w:tc>
      </w:tr>
      <w:tr w:rsidR="00054ADE" w:rsidRPr="000E036E" w:rsidTr="00CD3AC4">
        <w:trPr>
          <w:trHeight w:val="330"/>
        </w:trPr>
        <w:tc>
          <w:tcPr>
            <w:tcW w:w="3520"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24 to 48 h</w:t>
            </w:r>
          </w:p>
        </w:tc>
        <w:tc>
          <w:tcPr>
            <w:tcW w:w="2060"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65</w:t>
            </w:r>
          </w:p>
        </w:tc>
        <w:tc>
          <w:tcPr>
            <w:tcW w:w="135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17%</w:t>
            </w:r>
          </w:p>
        </w:tc>
      </w:tr>
      <w:tr w:rsidR="00054ADE" w:rsidRPr="000E036E" w:rsidTr="00CD3AC4">
        <w:trPr>
          <w:trHeight w:val="330"/>
        </w:trPr>
        <w:tc>
          <w:tcPr>
            <w:tcW w:w="3520"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48 to 72 h</w:t>
            </w:r>
          </w:p>
        </w:tc>
        <w:tc>
          <w:tcPr>
            <w:tcW w:w="2060"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41</w:t>
            </w:r>
          </w:p>
        </w:tc>
        <w:tc>
          <w:tcPr>
            <w:tcW w:w="135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11%</w:t>
            </w:r>
          </w:p>
        </w:tc>
      </w:tr>
      <w:tr w:rsidR="00054ADE" w:rsidRPr="000E036E" w:rsidTr="00CD3AC4">
        <w:trPr>
          <w:trHeight w:val="330"/>
        </w:trPr>
        <w:tc>
          <w:tcPr>
            <w:tcW w:w="3520"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 days to 7 days</w:t>
            </w:r>
          </w:p>
        </w:tc>
        <w:tc>
          <w:tcPr>
            <w:tcW w:w="2060"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49</w:t>
            </w:r>
          </w:p>
        </w:tc>
        <w:tc>
          <w:tcPr>
            <w:tcW w:w="135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13%</w:t>
            </w:r>
          </w:p>
        </w:tc>
      </w:tr>
      <w:tr w:rsidR="00054ADE" w:rsidRPr="000E036E" w:rsidTr="00CD3AC4">
        <w:trPr>
          <w:trHeight w:val="330"/>
        </w:trPr>
        <w:tc>
          <w:tcPr>
            <w:tcW w:w="3520"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7 days to 1 month</w:t>
            </w:r>
          </w:p>
        </w:tc>
        <w:tc>
          <w:tcPr>
            <w:tcW w:w="2060"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22</w:t>
            </w:r>
          </w:p>
        </w:tc>
        <w:tc>
          <w:tcPr>
            <w:tcW w:w="135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6%</w:t>
            </w:r>
          </w:p>
        </w:tc>
      </w:tr>
      <w:tr w:rsidR="00054ADE" w:rsidRPr="000E036E" w:rsidTr="00CD3AC4">
        <w:trPr>
          <w:trHeight w:val="330"/>
        </w:trPr>
        <w:tc>
          <w:tcPr>
            <w:tcW w:w="3520"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More than 1 month</w:t>
            </w:r>
          </w:p>
        </w:tc>
        <w:tc>
          <w:tcPr>
            <w:tcW w:w="2060"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19</w:t>
            </w:r>
          </w:p>
        </w:tc>
        <w:tc>
          <w:tcPr>
            <w:tcW w:w="135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5%</w:t>
            </w:r>
          </w:p>
        </w:tc>
      </w:tr>
      <w:tr w:rsidR="00054ADE" w:rsidRPr="000E036E" w:rsidTr="00CD3AC4">
        <w:trPr>
          <w:trHeight w:val="509"/>
        </w:trPr>
        <w:tc>
          <w:tcPr>
            <w:tcW w:w="35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Total</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381</w:t>
            </w:r>
          </w:p>
        </w:tc>
        <w:tc>
          <w:tcPr>
            <w:tcW w:w="1359" w:type="dxa"/>
            <w:vMerge w:val="restart"/>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100%</w:t>
            </w:r>
          </w:p>
        </w:tc>
      </w:tr>
      <w:tr w:rsidR="00054ADE" w:rsidRPr="000E036E" w:rsidTr="00CD3AC4">
        <w:trPr>
          <w:trHeight w:val="509"/>
        </w:trPr>
        <w:tc>
          <w:tcPr>
            <w:tcW w:w="3520" w:type="dxa"/>
            <w:vMerge/>
            <w:tcBorders>
              <w:top w:val="nil"/>
              <w:left w:val="single" w:sz="4" w:space="0" w:color="auto"/>
              <w:bottom w:val="single" w:sz="4" w:space="0" w:color="000000"/>
              <w:right w:val="single" w:sz="4" w:space="0" w:color="auto"/>
            </w:tcBorders>
            <w:vAlign w:val="center"/>
            <w:hideMark/>
          </w:tcPr>
          <w:p w:rsidR="00054ADE" w:rsidRPr="000E036E" w:rsidRDefault="00054ADE" w:rsidP="00804A16">
            <w:pPr>
              <w:jc w:val="both"/>
              <w:rPr>
                <w:rFonts w:eastAsia="Times New Roman"/>
                <w:color w:val="000000"/>
                <w:lang w:eastAsia="en-IN"/>
              </w:rPr>
            </w:pPr>
          </w:p>
        </w:tc>
        <w:tc>
          <w:tcPr>
            <w:tcW w:w="2060" w:type="dxa"/>
            <w:vMerge/>
            <w:tcBorders>
              <w:top w:val="nil"/>
              <w:left w:val="single" w:sz="4" w:space="0" w:color="auto"/>
              <w:bottom w:val="single" w:sz="4" w:space="0" w:color="auto"/>
              <w:right w:val="single" w:sz="4" w:space="0" w:color="auto"/>
            </w:tcBorders>
            <w:vAlign w:val="center"/>
            <w:hideMark/>
          </w:tcPr>
          <w:p w:rsidR="00054ADE" w:rsidRPr="000E036E" w:rsidRDefault="00054ADE" w:rsidP="00804A16">
            <w:pPr>
              <w:jc w:val="both"/>
              <w:rPr>
                <w:rFonts w:eastAsia="Times New Roman"/>
                <w:color w:val="000000"/>
                <w:lang w:eastAsia="en-IN"/>
              </w:rPr>
            </w:pPr>
          </w:p>
        </w:tc>
        <w:tc>
          <w:tcPr>
            <w:tcW w:w="1359" w:type="dxa"/>
            <w:vMerge/>
            <w:tcBorders>
              <w:top w:val="nil"/>
              <w:left w:val="single" w:sz="4" w:space="0" w:color="auto"/>
              <w:bottom w:val="single" w:sz="4" w:space="0" w:color="auto"/>
              <w:right w:val="single" w:sz="4" w:space="0" w:color="auto"/>
            </w:tcBorders>
            <w:vAlign w:val="center"/>
            <w:hideMark/>
          </w:tcPr>
          <w:p w:rsidR="00054ADE" w:rsidRPr="000E036E" w:rsidRDefault="00054ADE" w:rsidP="00804A16">
            <w:pPr>
              <w:jc w:val="both"/>
              <w:rPr>
                <w:rFonts w:eastAsia="Times New Roman"/>
                <w:color w:val="000000"/>
                <w:lang w:eastAsia="en-IN"/>
              </w:rPr>
            </w:pPr>
          </w:p>
        </w:tc>
      </w:tr>
    </w:tbl>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r w:rsidRPr="000E036E">
        <w:t>Previous history of suicidal attempts (27%) are more leads to unnatural burn injury death cases, also psychiatric illness (10%), chronic illness (13%) are more to deal with suicidal female burn death cases.  (Table No.9)</w:t>
      </w:r>
    </w:p>
    <w:p w:rsidR="00054ADE" w:rsidRPr="000E036E" w:rsidRDefault="00054ADE" w:rsidP="00804A16">
      <w:pPr>
        <w:jc w:val="both"/>
      </w:pPr>
      <w:r w:rsidRPr="000E036E">
        <w:t>TABLE NO 9: ALLEGED HISTORY AS DISCUSSED WITH RELATIVE IN BURN CASES</w:t>
      </w:r>
    </w:p>
    <w:tbl>
      <w:tblPr>
        <w:tblW w:w="4960" w:type="dxa"/>
        <w:tblInd w:w="-27" w:type="dxa"/>
        <w:tblLook w:val="04A0" w:firstRow="1" w:lastRow="0" w:firstColumn="1" w:lastColumn="0" w:noHBand="0" w:noVBand="1"/>
      </w:tblPr>
      <w:tblGrid>
        <w:gridCol w:w="2613"/>
        <w:gridCol w:w="1121"/>
        <w:gridCol w:w="1226"/>
      </w:tblGrid>
      <w:tr w:rsidR="00054ADE" w:rsidRPr="000E036E" w:rsidTr="00CD3AC4">
        <w:trPr>
          <w:trHeight w:val="330"/>
        </w:trPr>
        <w:tc>
          <w:tcPr>
            <w:tcW w:w="2687" w:type="dxa"/>
            <w:tcBorders>
              <w:top w:val="single" w:sz="4" w:space="0" w:color="auto"/>
              <w:left w:val="single" w:sz="4" w:space="0" w:color="auto"/>
              <w:bottom w:val="single" w:sz="4" w:space="0" w:color="auto"/>
              <w:right w:val="single" w:sz="4" w:space="0" w:color="auto"/>
            </w:tcBorders>
            <w:shd w:val="clear" w:color="000000" w:fill="EEECE1"/>
            <w:hideMark/>
          </w:tcPr>
          <w:p w:rsidR="00054ADE" w:rsidRPr="000E036E" w:rsidRDefault="00054ADE" w:rsidP="00804A16">
            <w:pPr>
              <w:jc w:val="both"/>
              <w:rPr>
                <w:rFonts w:eastAsia="Times New Roman"/>
                <w:color w:val="333333"/>
                <w:lang w:eastAsia="en-IN"/>
              </w:rPr>
            </w:pPr>
            <w:r w:rsidRPr="000E036E">
              <w:rPr>
                <w:rFonts w:eastAsia="Times New Roman"/>
                <w:color w:val="333333"/>
                <w:lang w:eastAsia="en-IN"/>
              </w:rPr>
              <w:t>History</w:t>
            </w:r>
          </w:p>
        </w:tc>
        <w:tc>
          <w:tcPr>
            <w:tcW w:w="1134" w:type="dxa"/>
            <w:tcBorders>
              <w:top w:val="single" w:sz="4" w:space="0" w:color="auto"/>
              <w:left w:val="nil"/>
              <w:bottom w:val="single" w:sz="4" w:space="0" w:color="auto"/>
              <w:right w:val="single" w:sz="4" w:space="0" w:color="auto"/>
            </w:tcBorders>
            <w:shd w:val="clear" w:color="000000" w:fill="EEECE1"/>
            <w:hideMark/>
          </w:tcPr>
          <w:p w:rsidR="00054ADE" w:rsidRPr="000E036E" w:rsidRDefault="00054ADE" w:rsidP="00804A16">
            <w:pPr>
              <w:jc w:val="both"/>
              <w:rPr>
                <w:rFonts w:eastAsia="Times New Roman"/>
                <w:color w:val="333333"/>
                <w:lang w:eastAsia="en-IN"/>
              </w:rPr>
            </w:pPr>
            <w:r w:rsidRPr="000E036E">
              <w:rPr>
                <w:rFonts w:eastAsia="Times New Roman"/>
                <w:color w:val="333333"/>
                <w:lang w:eastAsia="en-IN"/>
              </w:rPr>
              <w:t>Female</w:t>
            </w:r>
          </w:p>
        </w:tc>
        <w:tc>
          <w:tcPr>
            <w:tcW w:w="1139" w:type="dxa"/>
            <w:tcBorders>
              <w:top w:val="single" w:sz="4" w:space="0" w:color="auto"/>
              <w:left w:val="nil"/>
              <w:bottom w:val="single" w:sz="4" w:space="0" w:color="auto"/>
              <w:right w:val="single" w:sz="4" w:space="0" w:color="auto"/>
            </w:tcBorders>
            <w:shd w:val="clear" w:color="000000" w:fill="EEECE1"/>
            <w:hideMark/>
          </w:tcPr>
          <w:p w:rsidR="00054ADE" w:rsidRPr="000E036E" w:rsidRDefault="00054ADE" w:rsidP="00804A16">
            <w:pPr>
              <w:jc w:val="both"/>
              <w:rPr>
                <w:rFonts w:eastAsia="Times New Roman"/>
                <w:color w:val="333333"/>
                <w:lang w:eastAsia="en-IN"/>
              </w:rPr>
            </w:pPr>
            <w:r w:rsidRPr="000E036E">
              <w:rPr>
                <w:rFonts w:eastAsia="Times New Roman"/>
                <w:color w:val="333333"/>
                <w:lang w:eastAsia="en-IN"/>
              </w:rPr>
              <w:t>Percentage</w:t>
            </w:r>
          </w:p>
        </w:tc>
      </w:tr>
      <w:tr w:rsidR="00054ADE" w:rsidRPr="000E036E" w:rsidTr="00CD3AC4">
        <w:trPr>
          <w:trHeight w:val="330"/>
        </w:trPr>
        <w:tc>
          <w:tcPr>
            <w:tcW w:w="2687"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Psychiatric illness</w:t>
            </w:r>
          </w:p>
        </w:tc>
        <w:tc>
          <w:tcPr>
            <w:tcW w:w="1134"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40</w:t>
            </w:r>
          </w:p>
        </w:tc>
        <w:tc>
          <w:tcPr>
            <w:tcW w:w="113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10%</w:t>
            </w:r>
          </w:p>
        </w:tc>
      </w:tr>
      <w:tr w:rsidR="00054ADE" w:rsidRPr="000E036E" w:rsidTr="00CD3AC4">
        <w:trPr>
          <w:trHeight w:val="330"/>
        </w:trPr>
        <w:tc>
          <w:tcPr>
            <w:tcW w:w="2687"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Chronic illness</w:t>
            </w:r>
          </w:p>
        </w:tc>
        <w:tc>
          <w:tcPr>
            <w:tcW w:w="1134"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57</w:t>
            </w:r>
          </w:p>
        </w:tc>
        <w:tc>
          <w:tcPr>
            <w:tcW w:w="113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13%</w:t>
            </w:r>
          </w:p>
        </w:tc>
      </w:tr>
      <w:tr w:rsidR="00054ADE" w:rsidRPr="000E036E" w:rsidTr="00CD3AC4">
        <w:trPr>
          <w:trHeight w:val="330"/>
        </w:trPr>
        <w:tc>
          <w:tcPr>
            <w:tcW w:w="2687"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Previous suicidal attempts</w:t>
            </w:r>
          </w:p>
        </w:tc>
        <w:tc>
          <w:tcPr>
            <w:tcW w:w="1134"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52</w:t>
            </w:r>
          </w:p>
        </w:tc>
        <w:tc>
          <w:tcPr>
            <w:tcW w:w="113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27%</w:t>
            </w:r>
          </w:p>
        </w:tc>
      </w:tr>
      <w:tr w:rsidR="00054ADE" w:rsidRPr="000E036E" w:rsidTr="00CD3AC4">
        <w:trPr>
          <w:trHeight w:val="330"/>
        </w:trPr>
        <w:tc>
          <w:tcPr>
            <w:tcW w:w="2687"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Addiction</w:t>
            </w:r>
          </w:p>
        </w:tc>
        <w:tc>
          <w:tcPr>
            <w:tcW w:w="1134"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60</w:t>
            </w:r>
          </w:p>
        </w:tc>
        <w:tc>
          <w:tcPr>
            <w:tcW w:w="113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15%</w:t>
            </w:r>
          </w:p>
        </w:tc>
      </w:tr>
      <w:tr w:rsidR="00054ADE" w:rsidRPr="000E036E" w:rsidTr="00CD3AC4">
        <w:trPr>
          <w:trHeight w:val="330"/>
        </w:trPr>
        <w:tc>
          <w:tcPr>
            <w:tcW w:w="2687"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NIL</w:t>
            </w:r>
          </w:p>
        </w:tc>
        <w:tc>
          <w:tcPr>
            <w:tcW w:w="1134"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172</w:t>
            </w:r>
          </w:p>
        </w:tc>
        <w:tc>
          <w:tcPr>
            <w:tcW w:w="113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45%</w:t>
            </w:r>
          </w:p>
        </w:tc>
      </w:tr>
      <w:tr w:rsidR="00054ADE" w:rsidRPr="000E036E" w:rsidTr="00CD3AC4">
        <w:trPr>
          <w:trHeight w:val="330"/>
        </w:trPr>
        <w:tc>
          <w:tcPr>
            <w:tcW w:w="2687" w:type="dxa"/>
            <w:tcBorders>
              <w:top w:val="nil"/>
              <w:left w:val="single" w:sz="4" w:space="0" w:color="auto"/>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Total</w:t>
            </w:r>
          </w:p>
        </w:tc>
        <w:tc>
          <w:tcPr>
            <w:tcW w:w="1134"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381</w:t>
            </w:r>
          </w:p>
        </w:tc>
        <w:tc>
          <w:tcPr>
            <w:tcW w:w="1139" w:type="dxa"/>
            <w:tcBorders>
              <w:top w:val="nil"/>
              <w:left w:val="nil"/>
              <w:bottom w:val="single" w:sz="4" w:space="0" w:color="auto"/>
              <w:right w:val="single" w:sz="4" w:space="0" w:color="auto"/>
            </w:tcBorders>
            <w:shd w:val="clear" w:color="000000" w:fill="FFFFFF"/>
            <w:vAlign w:val="center"/>
            <w:hideMark/>
          </w:tcPr>
          <w:p w:rsidR="00054ADE" w:rsidRPr="000E036E" w:rsidRDefault="00054ADE" w:rsidP="00804A16">
            <w:pPr>
              <w:jc w:val="both"/>
              <w:rPr>
                <w:rFonts w:eastAsia="Times New Roman"/>
                <w:lang w:eastAsia="en-IN"/>
              </w:rPr>
            </w:pPr>
            <w:r w:rsidRPr="000E036E">
              <w:rPr>
                <w:rFonts w:eastAsia="Times New Roman"/>
                <w:lang w:eastAsia="en-IN"/>
              </w:rPr>
              <w:t>100%</w:t>
            </w:r>
          </w:p>
        </w:tc>
      </w:tr>
    </w:tbl>
    <w:p w:rsidR="00054ADE" w:rsidRPr="000E036E" w:rsidRDefault="00054ADE" w:rsidP="00804A16">
      <w:pPr>
        <w:jc w:val="both"/>
      </w:pPr>
    </w:p>
    <w:p w:rsidR="00054ADE" w:rsidRPr="000E036E" w:rsidRDefault="00054ADE" w:rsidP="00804A16">
      <w:pPr>
        <w:jc w:val="both"/>
      </w:pPr>
      <w:r w:rsidRPr="000E036E">
        <w:t xml:space="preserve">Manner of death due to burn are more common in accidental </w:t>
      </w:r>
      <w:proofErr w:type="gramStart"/>
      <w:r w:rsidRPr="000E036E">
        <w:t>cases(</w:t>
      </w:r>
      <w:proofErr w:type="gramEnd"/>
      <w:r w:rsidRPr="000E036E">
        <w:t>41%),&amp; suicidal cases(24%) as per history taken by relatives &amp; Inquest papers.(Table no.10)</w:t>
      </w:r>
    </w:p>
    <w:p w:rsidR="00054ADE" w:rsidRPr="000E036E" w:rsidRDefault="00054ADE" w:rsidP="00804A16">
      <w:pPr>
        <w:jc w:val="both"/>
      </w:pPr>
      <w:r w:rsidRPr="000E036E">
        <w:t xml:space="preserve">TABLE NO 10: Manner of Death as per inquest &amp; history </w:t>
      </w:r>
    </w:p>
    <w:tbl>
      <w:tblPr>
        <w:tblW w:w="5402" w:type="dxa"/>
        <w:tblInd w:w="93" w:type="dxa"/>
        <w:tblLook w:val="04A0" w:firstRow="1" w:lastRow="0" w:firstColumn="1" w:lastColumn="0" w:noHBand="0" w:noVBand="1"/>
      </w:tblPr>
      <w:tblGrid>
        <w:gridCol w:w="2860"/>
        <w:gridCol w:w="1408"/>
        <w:gridCol w:w="1226"/>
      </w:tblGrid>
      <w:tr w:rsidR="00054ADE" w:rsidRPr="000E036E" w:rsidTr="00CD3AC4">
        <w:trPr>
          <w:trHeight w:val="330"/>
        </w:trPr>
        <w:tc>
          <w:tcPr>
            <w:tcW w:w="28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Manner of Death as per inquest</w:t>
            </w:r>
          </w:p>
        </w:tc>
        <w:tc>
          <w:tcPr>
            <w:tcW w:w="1408" w:type="dxa"/>
            <w:tcBorders>
              <w:top w:val="single" w:sz="4" w:space="0" w:color="auto"/>
              <w:left w:val="nil"/>
              <w:bottom w:val="single" w:sz="4" w:space="0" w:color="auto"/>
              <w:right w:val="single" w:sz="4" w:space="0" w:color="auto"/>
            </w:tcBorders>
            <w:shd w:val="clear" w:color="000000" w:fill="D9D9D9"/>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Female Burn cases</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Percentage</w:t>
            </w:r>
          </w:p>
        </w:tc>
      </w:tr>
      <w:tr w:rsidR="00054ADE" w:rsidRPr="000E036E" w:rsidTr="00CD3AC4">
        <w:trPr>
          <w:trHeight w:val="33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Accidental</w:t>
            </w:r>
          </w:p>
        </w:tc>
        <w:tc>
          <w:tcPr>
            <w:tcW w:w="1408"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156</w:t>
            </w:r>
          </w:p>
        </w:tc>
        <w:tc>
          <w:tcPr>
            <w:tcW w:w="113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41%</w:t>
            </w:r>
          </w:p>
        </w:tc>
      </w:tr>
      <w:tr w:rsidR="00054ADE" w:rsidRPr="000E036E" w:rsidTr="00CD3AC4">
        <w:trPr>
          <w:trHeight w:val="33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Homicidal</w:t>
            </w:r>
          </w:p>
        </w:tc>
        <w:tc>
          <w:tcPr>
            <w:tcW w:w="1408"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72</w:t>
            </w:r>
          </w:p>
        </w:tc>
        <w:tc>
          <w:tcPr>
            <w:tcW w:w="113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19%</w:t>
            </w:r>
          </w:p>
        </w:tc>
      </w:tr>
      <w:tr w:rsidR="00054ADE" w:rsidRPr="000E036E" w:rsidTr="00CD3AC4">
        <w:trPr>
          <w:trHeight w:val="33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Suicidal</w:t>
            </w:r>
          </w:p>
        </w:tc>
        <w:tc>
          <w:tcPr>
            <w:tcW w:w="1408"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91</w:t>
            </w:r>
          </w:p>
        </w:tc>
        <w:tc>
          <w:tcPr>
            <w:tcW w:w="113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24%</w:t>
            </w:r>
          </w:p>
        </w:tc>
      </w:tr>
      <w:tr w:rsidR="00054ADE" w:rsidRPr="000E036E" w:rsidTr="00CD3AC4">
        <w:trPr>
          <w:trHeight w:val="33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other not differentiated</w:t>
            </w:r>
          </w:p>
        </w:tc>
        <w:tc>
          <w:tcPr>
            <w:tcW w:w="1408"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62</w:t>
            </w:r>
          </w:p>
        </w:tc>
        <w:tc>
          <w:tcPr>
            <w:tcW w:w="113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16%</w:t>
            </w:r>
          </w:p>
        </w:tc>
      </w:tr>
      <w:tr w:rsidR="00054ADE" w:rsidRPr="000E036E" w:rsidTr="00CD3AC4">
        <w:trPr>
          <w:trHeight w:val="33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Total</w:t>
            </w:r>
          </w:p>
        </w:tc>
        <w:tc>
          <w:tcPr>
            <w:tcW w:w="1408"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381</w:t>
            </w:r>
          </w:p>
        </w:tc>
        <w:tc>
          <w:tcPr>
            <w:tcW w:w="1134"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100%</w:t>
            </w:r>
          </w:p>
        </w:tc>
      </w:tr>
    </w:tbl>
    <w:p w:rsidR="00A76BB6" w:rsidRDefault="00A76BB6" w:rsidP="00804A16">
      <w:pPr>
        <w:jc w:val="both"/>
      </w:pPr>
    </w:p>
    <w:p w:rsidR="00054ADE" w:rsidRPr="000E036E" w:rsidRDefault="00054ADE" w:rsidP="00804A16">
      <w:pPr>
        <w:jc w:val="both"/>
      </w:pPr>
      <w:r w:rsidRPr="000E036E">
        <w:lastRenderedPageBreak/>
        <w:t xml:space="preserve">Pie chart showing pattern of female </w:t>
      </w:r>
      <w:proofErr w:type="gramStart"/>
      <w:r w:rsidRPr="000E036E">
        <w:t>burn(</w:t>
      </w:r>
      <w:proofErr w:type="gramEnd"/>
      <w:r w:rsidRPr="000E036E">
        <w:t>Thermal) injury cases distribution.</w:t>
      </w:r>
    </w:p>
    <w:p w:rsidR="00054ADE" w:rsidRPr="000E036E" w:rsidRDefault="00054ADE" w:rsidP="00804A16">
      <w:pPr>
        <w:jc w:val="both"/>
      </w:pPr>
      <w:r w:rsidRPr="000E036E">
        <w:rPr>
          <w:noProof/>
          <w:lang w:eastAsia="en-IN"/>
        </w:rPr>
        <w:drawing>
          <wp:inline distT="0" distB="0" distL="0" distR="0" wp14:anchorId="6A2D1DF3" wp14:editId="5FE2D7E8">
            <wp:extent cx="3278038" cy="2268748"/>
            <wp:effectExtent l="0" t="0" r="1778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E036E">
        <w:t xml:space="preserve"> </w:t>
      </w:r>
    </w:p>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r w:rsidRPr="000E036E">
        <w:t>Cause of death in female burn cases distribution:</w:t>
      </w:r>
      <w:r w:rsidR="009E1AA5">
        <w:t xml:space="preserve"> </w:t>
      </w:r>
      <w:r w:rsidRPr="000E036E">
        <w:t>Table</w:t>
      </w:r>
    </w:p>
    <w:tbl>
      <w:tblPr>
        <w:tblW w:w="7132" w:type="dxa"/>
        <w:tblInd w:w="93" w:type="dxa"/>
        <w:tblLook w:val="04A0" w:firstRow="1" w:lastRow="0" w:firstColumn="1" w:lastColumn="0" w:noHBand="0" w:noVBand="1"/>
      </w:tblPr>
      <w:tblGrid>
        <w:gridCol w:w="2860"/>
        <w:gridCol w:w="2922"/>
        <w:gridCol w:w="1060"/>
        <w:gridCol w:w="1384"/>
      </w:tblGrid>
      <w:tr w:rsidR="00054ADE" w:rsidRPr="000E036E" w:rsidTr="00CD3AC4">
        <w:trPr>
          <w:trHeight w:val="330"/>
        </w:trPr>
        <w:tc>
          <w:tcPr>
            <w:tcW w:w="286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Cause of death</w:t>
            </w:r>
          </w:p>
        </w:tc>
        <w:tc>
          <w:tcPr>
            <w:tcW w:w="1932" w:type="dxa"/>
            <w:tcBorders>
              <w:top w:val="single" w:sz="4" w:space="0" w:color="auto"/>
              <w:left w:val="nil"/>
              <w:bottom w:val="single" w:sz="4" w:space="0" w:color="auto"/>
              <w:right w:val="single" w:sz="4" w:space="0" w:color="auto"/>
            </w:tcBorders>
            <w:shd w:val="clear" w:color="000000" w:fill="EEECE1"/>
            <w:noWrap/>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Due to</w:t>
            </w:r>
          </w:p>
        </w:tc>
        <w:tc>
          <w:tcPr>
            <w:tcW w:w="1060" w:type="dxa"/>
            <w:tcBorders>
              <w:top w:val="single" w:sz="4" w:space="0" w:color="auto"/>
              <w:left w:val="nil"/>
              <w:bottom w:val="single" w:sz="4" w:space="0" w:color="auto"/>
              <w:right w:val="single" w:sz="4" w:space="0" w:color="auto"/>
            </w:tcBorders>
            <w:shd w:val="clear" w:color="000000" w:fill="EEECE1"/>
            <w:noWrap/>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No. of cases</w:t>
            </w:r>
          </w:p>
        </w:tc>
        <w:tc>
          <w:tcPr>
            <w:tcW w:w="1280" w:type="dxa"/>
            <w:tcBorders>
              <w:top w:val="single" w:sz="4" w:space="0" w:color="auto"/>
              <w:left w:val="nil"/>
              <w:bottom w:val="single" w:sz="4" w:space="0" w:color="auto"/>
              <w:right w:val="single" w:sz="4" w:space="0" w:color="auto"/>
            </w:tcBorders>
            <w:shd w:val="clear" w:color="000000" w:fill="F2F2F2"/>
            <w:noWrap/>
            <w:vAlign w:val="bottom"/>
            <w:hideMark/>
          </w:tcPr>
          <w:p w:rsidR="00054ADE" w:rsidRPr="000E036E" w:rsidRDefault="009E1AA5" w:rsidP="00804A16">
            <w:pPr>
              <w:jc w:val="both"/>
              <w:rPr>
                <w:rFonts w:eastAsia="Times New Roman"/>
                <w:color w:val="000000"/>
                <w:lang w:eastAsia="en-IN"/>
              </w:rPr>
            </w:pPr>
            <w:r w:rsidRPr="000E036E">
              <w:rPr>
                <w:rFonts w:eastAsia="Times New Roman"/>
                <w:color w:val="000000"/>
                <w:lang w:eastAsia="en-IN"/>
              </w:rPr>
              <w:t>Percentage</w:t>
            </w:r>
            <w:r w:rsidR="00054ADE" w:rsidRPr="000E036E">
              <w:rPr>
                <w:rFonts w:eastAsia="Times New Roman"/>
                <w:color w:val="000000"/>
                <w:lang w:eastAsia="en-IN"/>
              </w:rPr>
              <w:t>%</w:t>
            </w:r>
          </w:p>
        </w:tc>
      </w:tr>
      <w:tr w:rsidR="00054ADE" w:rsidRPr="000E036E" w:rsidTr="00CD3AC4">
        <w:trPr>
          <w:trHeight w:val="509"/>
        </w:trPr>
        <w:tc>
          <w:tcPr>
            <w:tcW w:w="2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Burns</w:t>
            </w:r>
          </w:p>
        </w:tc>
        <w:tc>
          <w:tcPr>
            <w:tcW w:w="1932" w:type="dxa"/>
            <w:vMerge w:val="restart"/>
            <w:tcBorders>
              <w:top w:val="nil"/>
              <w:left w:val="single" w:sz="4" w:space="0" w:color="auto"/>
              <w:bottom w:val="single" w:sz="4" w:space="0" w:color="000000"/>
              <w:right w:val="single" w:sz="4" w:space="0" w:color="auto"/>
            </w:tcBorders>
            <w:shd w:val="clear" w:color="auto" w:fill="auto"/>
            <w:vAlign w:val="center"/>
            <w:hideMark/>
          </w:tcPr>
          <w:p w:rsidR="00054ADE" w:rsidRPr="000E036E" w:rsidRDefault="00054ADE" w:rsidP="00804A16">
            <w:pPr>
              <w:jc w:val="both"/>
              <w:rPr>
                <w:rFonts w:eastAsia="Times New Roman"/>
                <w:bCs/>
                <w:color w:val="000000"/>
                <w:lang w:eastAsia="en-IN"/>
              </w:rPr>
            </w:pPr>
            <w:proofErr w:type="spellStart"/>
            <w:r w:rsidRPr="000E036E">
              <w:rPr>
                <w:rFonts w:eastAsia="Times New Roman"/>
                <w:bCs/>
                <w:color w:val="000000"/>
                <w:lang w:eastAsia="en-IN"/>
              </w:rPr>
              <w:t>septicemia+pneumonia+acute</w:t>
            </w:r>
            <w:proofErr w:type="spellEnd"/>
            <w:r w:rsidRPr="000E036E">
              <w:rPr>
                <w:rFonts w:eastAsia="Times New Roman"/>
                <w:bCs/>
                <w:color w:val="000000"/>
                <w:lang w:eastAsia="en-IN"/>
              </w:rPr>
              <w:t xml:space="preserve"> renal failure</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106</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28%</w:t>
            </w:r>
          </w:p>
        </w:tc>
      </w:tr>
      <w:tr w:rsidR="00054ADE" w:rsidRPr="000E036E" w:rsidTr="00CD3AC4">
        <w:trPr>
          <w:trHeight w:val="509"/>
        </w:trPr>
        <w:tc>
          <w:tcPr>
            <w:tcW w:w="2860" w:type="dxa"/>
            <w:vMerge/>
            <w:tcBorders>
              <w:top w:val="nil"/>
              <w:left w:val="single" w:sz="4" w:space="0" w:color="auto"/>
              <w:bottom w:val="single" w:sz="4" w:space="0" w:color="auto"/>
              <w:right w:val="single" w:sz="4" w:space="0" w:color="auto"/>
            </w:tcBorders>
            <w:vAlign w:val="center"/>
            <w:hideMark/>
          </w:tcPr>
          <w:p w:rsidR="00054ADE" w:rsidRPr="000E036E" w:rsidRDefault="00054ADE" w:rsidP="00804A16">
            <w:pPr>
              <w:jc w:val="both"/>
              <w:rPr>
                <w:rFonts w:eastAsia="Times New Roman"/>
                <w:color w:val="000000"/>
                <w:lang w:eastAsia="en-IN"/>
              </w:rPr>
            </w:pPr>
          </w:p>
        </w:tc>
        <w:tc>
          <w:tcPr>
            <w:tcW w:w="1932" w:type="dxa"/>
            <w:vMerge/>
            <w:tcBorders>
              <w:top w:val="nil"/>
              <w:left w:val="single" w:sz="4" w:space="0" w:color="auto"/>
              <w:bottom w:val="single" w:sz="4" w:space="0" w:color="000000"/>
              <w:right w:val="single" w:sz="4" w:space="0" w:color="auto"/>
            </w:tcBorders>
            <w:vAlign w:val="center"/>
            <w:hideMark/>
          </w:tcPr>
          <w:p w:rsidR="00054ADE" w:rsidRPr="000E036E" w:rsidRDefault="00054ADE" w:rsidP="00804A16">
            <w:pPr>
              <w:jc w:val="both"/>
              <w:rPr>
                <w:rFonts w:eastAsia="Times New Roman"/>
                <w:bCs/>
                <w:color w:val="000000"/>
                <w:lang w:eastAsia="en-IN"/>
              </w:rPr>
            </w:pPr>
          </w:p>
        </w:tc>
        <w:tc>
          <w:tcPr>
            <w:tcW w:w="1060" w:type="dxa"/>
            <w:vMerge/>
            <w:tcBorders>
              <w:top w:val="nil"/>
              <w:left w:val="single" w:sz="4" w:space="0" w:color="auto"/>
              <w:bottom w:val="single" w:sz="4" w:space="0" w:color="000000"/>
              <w:right w:val="single" w:sz="4" w:space="0" w:color="auto"/>
            </w:tcBorders>
            <w:vAlign w:val="center"/>
            <w:hideMark/>
          </w:tcPr>
          <w:p w:rsidR="00054ADE" w:rsidRPr="000E036E" w:rsidRDefault="00054ADE" w:rsidP="00804A16">
            <w:pPr>
              <w:jc w:val="both"/>
              <w:rPr>
                <w:rFonts w:eastAsia="Times New Roman"/>
                <w:color w:val="000000"/>
                <w:lang w:eastAsia="en-IN"/>
              </w:rPr>
            </w:pPr>
          </w:p>
        </w:tc>
        <w:tc>
          <w:tcPr>
            <w:tcW w:w="1280" w:type="dxa"/>
            <w:vMerge/>
            <w:tcBorders>
              <w:top w:val="nil"/>
              <w:left w:val="single" w:sz="4" w:space="0" w:color="auto"/>
              <w:bottom w:val="single" w:sz="4" w:space="0" w:color="000000"/>
              <w:right w:val="single" w:sz="4" w:space="0" w:color="auto"/>
            </w:tcBorders>
            <w:vAlign w:val="center"/>
            <w:hideMark/>
          </w:tcPr>
          <w:p w:rsidR="00054ADE" w:rsidRPr="000E036E" w:rsidRDefault="00054ADE" w:rsidP="00804A16">
            <w:pPr>
              <w:jc w:val="both"/>
              <w:rPr>
                <w:rFonts w:eastAsia="Times New Roman"/>
                <w:color w:val="000000"/>
                <w:lang w:eastAsia="en-IN"/>
              </w:rPr>
            </w:pPr>
          </w:p>
        </w:tc>
      </w:tr>
      <w:tr w:rsidR="00054ADE" w:rsidRPr="000E036E" w:rsidTr="00CD3AC4">
        <w:trPr>
          <w:trHeight w:val="509"/>
        </w:trPr>
        <w:tc>
          <w:tcPr>
            <w:tcW w:w="2860" w:type="dxa"/>
            <w:vMerge/>
            <w:tcBorders>
              <w:top w:val="nil"/>
              <w:left w:val="single" w:sz="4" w:space="0" w:color="auto"/>
              <w:bottom w:val="single" w:sz="4" w:space="0" w:color="auto"/>
              <w:right w:val="single" w:sz="4" w:space="0" w:color="auto"/>
            </w:tcBorders>
            <w:vAlign w:val="center"/>
            <w:hideMark/>
          </w:tcPr>
          <w:p w:rsidR="00054ADE" w:rsidRPr="000E036E" w:rsidRDefault="00054ADE" w:rsidP="00804A16">
            <w:pPr>
              <w:jc w:val="both"/>
              <w:rPr>
                <w:rFonts w:eastAsia="Times New Roman"/>
                <w:color w:val="000000"/>
                <w:lang w:eastAsia="en-IN"/>
              </w:rPr>
            </w:pPr>
          </w:p>
        </w:tc>
        <w:tc>
          <w:tcPr>
            <w:tcW w:w="1932" w:type="dxa"/>
            <w:vMerge/>
            <w:tcBorders>
              <w:top w:val="nil"/>
              <w:left w:val="single" w:sz="4" w:space="0" w:color="auto"/>
              <w:bottom w:val="single" w:sz="4" w:space="0" w:color="000000"/>
              <w:right w:val="single" w:sz="4" w:space="0" w:color="auto"/>
            </w:tcBorders>
            <w:vAlign w:val="center"/>
            <w:hideMark/>
          </w:tcPr>
          <w:p w:rsidR="00054ADE" w:rsidRPr="000E036E" w:rsidRDefault="00054ADE" w:rsidP="00804A16">
            <w:pPr>
              <w:jc w:val="both"/>
              <w:rPr>
                <w:rFonts w:eastAsia="Times New Roman"/>
                <w:bCs/>
                <w:color w:val="000000"/>
                <w:lang w:eastAsia="en-IN"/>
              </w:rPr>
            </w:pPr>
          </w:p>
        </w:tc>
        <w:tc>
          <w:tcPr>
            <w:tcW w:w="1060" w:type="dxa"/>
            <w:vMerge/>
            <w:tcBorders>
              <w:top w:val="nil"/>
              <w:left w:val="single" w:sz="4" w:space="0" w:color="auto"/>
              <w:bottom w:val="single" w:sz="4" w:space="0" w:color="000000"/>
              <w:right w:val="single" w:sz="4" w:space="0" w:color="auto"/>
            </w:tcBorders>
            <w:vAlign w:val="center"/>
            <w:hideMark/>
          </w:tcPr>
          <w:p w:rsidR="00054ADE" w:rsidRPr="000E036E" w:rsidRDefault="00054ADE" w:rsidP="00804A16">
            <w:pPr>
              <w:jc w:val="both"/>
              <w:rPr>
                <w:rFonts w:eastAsia="Times New Roman"/>
                <w:color w:val="000000"/>
                <w:lang w:eastAsia="en-IN"/>
              </w:rPr>
            </w:pPr>
          </w:p>
        </w:tc>
        <w:tc>
          <w:tcPr>
            <w:tcW w:w="1280" w:type="dxa"/>
            <w:vMerge/>
            <w:tcBorders>
              <w:top w:val="nil"/>
              <w:left w:val="single" w:sz="4" w:space="0" w:color="auto"/>
              <w:bottom w:val="single" w:sz="4" w:space="0" w:color="000000"/>
              <w:right w:val="single" w:sz="4" w:space="0" w:color="auto"/>
            </w:tcBorders>
            <w:vAlign w:val="center"/>
            <w:hideMark/>
          </w:tcPr>
          <w:p w:rsidR="00054ADE" w:rsidRPr="000E036E" w:rsidRDefault="00054ADE" w:rsidP="00804A16">
            <w:pPr>
              <w:jc w:val="both"/>
              <w:rPr>
                <w:rFonts w:eastAsia="Times New Roman"/>
                <w:color w:val="000000"/>
                <w:lang w:eastAsia="en-IN"/>
              </w:rPr>
            </w:pPr>
          </w:p>
        </w:tc>
      </w:tr>
      <w:tr w:rsidR="00054ADE" w:rsidRPr="000E036E" w:rsidTr="00CD3AC4">
        <w:trPr>
          <w:trHeight w:val="330"/>
        </w:trPr>
        <w:tc>
          <w:tcPr>
            <w:tcW w:w="2860" w:type="dxa"/>
            <w:vMerge/>
            <w:tcBorders>
              <w:top w:val="nil"/>
              <w:left w:val="single" w:sz="4" w:space="0" w:color="auto"/>
              <w:bottom w:val="single" w:sz="4" w:space="0" w:color="auto"/>
              <w:right w:val="single" w:sz="4" w:space="0" w:color="auto"/>
            </w:tcBorders>
            <w:vAlign w:val="center"/>
            <w:hideMark/>
          </w:tcPr>
          <w:p w:rsidR="00054ADE" w:rsidRPr="000E036E" w:rsidRDefault="00054ADE" w:rsidP="00804A16">
            <w:pPr>
              <w:jc w:val="both"/>
              <w:rPr>
                <w:rFonts w:eastAsia="Times New Roman"/>
                <w:color w:val="000000"/>
                <w:lang w:eastAsia="en-IN"/>
              </w:rPr>
            </w:pPr>
          </w:p>
        </w:tc>
        <w:tc>
          <w:tcPr>
            <w:tcW w:w="1932" w:type="dxa"/>
            <w:tcBorders>
              <w:top w:val="nil"/>
              <w:left w:val="nil"/>
              <w:bottom w:val="single" w:sz="4" w:space="0" w:color="auto"/>
              <w:right w:val="single" w:sz="4" w:space="0" w:color="auto"/>
            </w:tcBorders>
            <w:shd w:val="clear" w:color="auto" w:fill="auto"/>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Exhaustion</w:t>
            </w:r>
          </w:p>
        </w:tc>
        <w:tc>
          <w:tcPr>
            <w:tcW w:w="1060" w:type="dxa"/>
            <w:tcBorders>
              <w:top w:val="nil"/>
              <w:left w:val="nil"/>
              <w:bottom w:val="single" w:sz="4" w:space="0" w:color="auto"/>
              <w:right w:val="single" w:sz="4" w:space="0" w:color="auto"/>
            </w:tcBorders>
            <w:shd w:val="clear" w:color="auto" w:fill="auto"/>
            <w:vAlign w:val="center"/>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30</w:t>
            </w:r>
          </w:p>
        </w:tc>
        <w:tc>
          <w:tcPr>
            <w:tcW w:w="128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8%</w:t>
            </w:r>
          </w:p>
        </w:tc>
      </w:tr>
      <w:tr w:rsidR="00054ADE" w:rsidRPr="000E036E" w:rsidTr="00CD3AC4">
        <w:trPr>
          <w:trHeight w:val="330"/>
        </w:trPr>
        <w:tc>
          <w:tcPr>
            <w:tcW w:w="2860" w:type="dxa"/>
            <w:vMerge/>
            <w:tcBorders>
              <w:top w:val="nil"/>
              <w:left w:val="single" w:sz="4" w:space="0" w:color="auto"/>
              <w:bottom w:val="single" w:sz="4" w:space="0" w:color="auto"/>
              <w:right w:val="single" w:sz="4" w:space="0" w:color="auto"/>
            </w:tcBorders>
            <w:vAlign w:val="center"/>
            <w:hideMark/>
          </w:tcPr>
          <w:p w:rsidR="00054ADE" w:rsidRPr="000E036E" w:rsidRDefault="00054ADE" w:rsidP="00804A16">
            <w:pPr>
              <w:jc w:val="both"/>
              <w:rPr>
                <w:rFonts w:eastAsia="Times New Roman"/>
                <w:color w:val="000000"/>
                <w:lang w:eastAsia="en-IN"/>
              </w:rPr>
            </w:pPr>
          </w:p>
        </w:tc>
        <w:tc>
          <w:tcPr>
            <w:tcW w:w="1932"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Neurogenic shock</w:t>
            </w:r>
          </w:p>
        </w:tc>
        <w:tc>
          <w:tcPr>
            <w:tcW w:w="106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98</w:t>
            </w:r>
          </w:p>
        </w:tc>
        <w:tc>
          <w:tcPr>
            <w:tcW w:w="128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25%</w:t>
            </w:r>
          </w:p>
        </w:tc>
      </w:tr>
      <w:tr w:rsidR="00054ADE" w:rsidRPr="000E036E" w:rsidTr="00CD3AC4">
        <w:trPr>
          <w:trHeight w:val="330"/>
        </w:trPr>
        <w:tc>
          <w:tcPr>
            <w:tcW w:w="2860" w:type="dxa"/>
            <w:vMerge/>
            <w:tcBorders>
              <w:top w:val="nil"/>
              <w:left w:val="single" w:sz="4" w:space="0" w:color="auto"/>
              <w:bottom w:val="single" w:sz="4" w:space="0" w:color="auto"/>
              <w:right w:val="single" w:sz="4" w:space="0" w:color="auto"/>
            </w:tcBorders>
            <w:vAlign w:val="center"/>
          </w:tcPr>
          <w:p w:rsidR="00054ADE" w:rsidRPr="000E036E" w:rsidRDefault="00054ADE" w:rsidP="00804A16">
            <w:pPr>
              <w:jc w:val="both"/>
              <w:rPr>
                <w:rFonts w:eastAsia="Times New Roman"/>
                <w:color w:val="000000"/>
                <w:lang w:eastAsia="en-IN"/>
              </w:rPr>
            </w:pPr>
          </w:p>
        </w:tc>
        <w:tc>
          <w:tcPr>
            <w:tcW w:w="1932" w:type="dxa"/>
            <w:tcBorders>
              <w:top w:val="nil"/>
              <w:left w:val="nil"/>
              <w:bottom w:val="single" w:sz="4" w:space="0" w:color="auto"/>
              <w:right w:val="single" w:sz="4" w:space="0" w:color="auto"/>
            </w:tcBorders>
            <w:shd w:val="clear" w:color="auto" w:fill="auto"/>
            <w:noWrap/>
            <w:vAlign w:val="bottom"/>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Electric shock</w:t>
            </w:r>
          </w:p>
        </w:tc>
        <w:tc>
          <w:tcPr>
            <w:tcW w:w="1060" w:type="dxa"/>
            <w:tcBorders>
              <w:top w:val="nil"/>
              <w:left w:val="nil"/>
              <w:bottom w:val="single" w:sz="4" w:space="0" w:color="auto"/>
              <w:right w:val="single" w:sz="4" w:space="0" w:color="auto"/>
            </w:tcBorders>
            <w:shd w:val="clear" w:color="auto" w:fill="auto"/>
            <w:noWrap/>
            <w:vAlign w:val="bottom"/>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27</w:t>
            </w:r>
          </w:p>
        </w:tc>
        <w:tc>
          <w:tcPr>
            <w:tcW w:w="1280" w:type="dxa"/>
            <w:tcBorders>
              <w:top w:val="nil"/>
              <w:left w:val="nil"/>
              <w:bottom w:val="single" w:sz="4" w:space="0" w:color="auto"/>
              <w:right w:val="single" w:sz="4" w:space="0" w:color="auto"/>
            </w:tcBorders>
            <w:shd w:val="clear" w:color="auto" w:fill="auto"/>
            <w:noWrap/>
            <w:vAlign w:val="bottom"/>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8%</w:t>
            </w:r>
          </w:p>
        </w:tc>
      </w:tr>
      <w:tr w:rsidR="00054ADE" w:rsidRPr="000E036E" w:rsidTr="00CD3AC4">
        <w:trPr>
          <w:trHeight w:val="330"/>
        </w:trPr>
        <w:tc>
          <w:tcPr>
            <w:tcW w:w="2860" w:type="dxa"/>
            <w:vMerge/>
            <w:tcBorders>
              <w:top w:val="nil"/>
              <w:left w:val="single" w:sz="4" w:space="0" w:color="auto"/>
              <w:bottom w:val="single" w:sz="4" w:space="0" w:color="auto"/>
              <w:right w:val="single" w:sz="4" w:space="0" w:color="auto"/>
            </w:tcBorders>
            <w:vAlign w:val="center"/>
            <w:hideMark/>
          </w:tcPr>
          <w:p w:rsidR="00054ADE" w:rsidRPr="000E036E" w:rsidRDefault="00054ADE" w:rsidP="00804A16">
            <w:pPr>
              <w:jc w:val="both"/>
              <w:rPr>
                <w:rFonts w:eastAsia="Times New Roman"/>
                <w:color w:val="000000"/>
                <w:lang w:eastAsia="en-IN"/>
              </w:rPr>
            </w:pPr>
          </w:p>
        </w:tc>
        <w:tc>
          <w:tcPr>
            <w:tcW w:w="1932"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asphyxia</w:t>
            </w:r>
          </w:p>
        </w:tc>
        <w:tc>
          <w:tcPr>
            <w:tcW w:w="106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41</w:t>
            </w:r>
          </w:p>
        </w:tc>
        <w:tc>
          <w:tcPr>
            <w:tcW w:w="128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11%</w:t>
            </w:r>
          </w:p>
        </w:tc>
      </w:tr>
      <w:tr w:rsidR="00054ADE" w:rsidRPr="000E036E" w:rsidTr="00CD3AC4">
        <w:trPr>
          <w:trHeight w:val="330"/>
        </w:trPr>
        <w:tc>
          <w:tcPr>
            <w:tcW w:w="2860" w:type="dxa"/>
            <w:vMerge/>
            <w:tcBorders>
              <w:top w:val="nil"/>
              <w:left w:val="single" w:sz="4" w:space="0" w:color="auto"/>
              <w:bottom w:val="single" w:sz="4" w:space="0" w:color="auto"/>
              <w:right w:val="single" w:sz="4" w:space="0" w:color="auto"/>
            </w:tcBorders>
            <w:vAlign w:val="center"/>
            <w:hideMark/>
          </w:tcPr>
          <w:p w:rsidR="00054ADE" w:rsidRPr="000E036E" w:rsidRDefault="00054ADE" w:rsidP="00804A16">
            <w:pPr>
              <w:jc w:val="both"/>
              <w:rPr>
                <w:rFonts w:eastAsia="Times New Roman"/>
                <w:color w:val="000000"/>
                <w:lang w:eastAsia="en-IN"/>
              </w:rPr>
            </w:pPr>
          </w:p>
        </w:tc>
        <w:tc>
          <w:tcPr>
            <w:tcW w:w="1932"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proofErr w:type="spellStart"/>
            <w:r w:rsidRPr="000E036E">
              <w:rPr>
                <w:rFonts w:eastAsia="Times New Roman"/>
                <w:color w:val="000000"/>
                <w:lang w:eastAsia="en-IN"/>
              </w:rPr>
              <w:t>hypovolumic</w:t>
            </w:r>
            <w:proofErr w:type="spellEnd"/>
            <w:r w:rsidRPr="000E036E">
              <w:rPr>
                <w:rFonts w:eastAsia="Times New Roman"/>
                <w:color w:val="000000"/>
                <w:lang w:eastAsia="en-IN"/>
              </w:rPr>
              <w:t xml:space="preserve"> shock</w:t>
            </w:r>
          </w:p>
        </w:tc>
        <w:tc>
          <w:tcPr>
            <w:tcW w:w="106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53</w:t>
            </w:r>
          </w:p>
        </w:tc>
        <w:tc>
          <w:tcPr>
            <w:tcW w:w="128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14%</w:t>
            </w:r>
          </w:p>
        </w:tc>
      </w:tr>
      <w:tr w:rsidR="00054ADE" w:rsidRPr="000E036E" w:rsidTr="00CD3AC4">
        <w:trPr>
          <w:trHeight w:val="330"/>
        </w:trPr>
        <w:tc>
          <w:tcPr>
            <w:tcW w:w="2860" w:type="dxa"/>
            <w:vMerge/>
            <w:tcBorders>
              <w:top w:val="nil"/>
              <w:left w:val="single" w:sz="4" w:space="0" w:color="auto"/>
              <w:bottom w:val="single" w:sz="4" w:space="0" w:color="auto"/>
              <w:right w:val="single" w:sz="4" w:space="0" w:color="auto"/>
            </w:tcBorders>
            <w:vAlign w:val="center"/>
            <w:hideMark/>
          </w:tcPr>
          <w:p w:rsidR="00054ADE" w:rsidRPr="000E036E" w:rsidRDefault="00054ADE" w:rsidP="00804A16">
            <w:pPr>
              <w:jc w:val="both"/>
              <w:rPr>
                <w:rFonts w:eastAsia="Times New Roman"/>
                <w:color w:val="000000"/>
                <w:lang w:eastAsia="en-IN"/>
              </w:rPr>
            </w:pPr>
          </w:p>
        </w:tc>
        <w:tc>
          <w:tcPr>
            <w:tcW w:w="1932"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Multi-organ failure</w:t>
            </w:r>
          </w:p>
        </w:tc>
        <w:tc>
          <w:tcPr>
            <w:tcW w:w="106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22</w:t>
            </w:r>
          </w:p>
        </w:tc>
        <w:tc>
          <w:tcPr>
            <w:tcW w:w="128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6%</w:t>
            </w:r>
          </w:p>
        </w:tc>
      </w:tr>
      <w:tr w:rsidR="00054ADE" w:rsidRPr="000E036E" w:rsidTr="00CD3AC4">
        <w:trPr>
          <w:trHeight w:val="33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Total</w:t>
            </w:r>
          </w:p>
        </w:tc>
        <w:tc>
          <w:tcPr>
            <w:tcW w:w="1932"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 </w:t>
            </w:r>
          </w:p>
        </w:tc>
        <w:tc>
          <w:tcPr>
            <w:tcW w:w="106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381</w:t>
            </w:r>
          </w:p>
        </w:tc>
        <w:tc>
          <w:tcPr>
            <w:tcW w:w="1280" w:type="dxa"/>
            <w:tcBorders>
              <w:top w:val="nil"/>
              <w:left w:val="nil"/>
              <w:bottom w:val="single" w:sz="4" w:space="0" w:color="auto"/>
              <w:right w:val="single" w:sz="4" w:space="0" w:color="auto"/>
            </w:tcBorders>
            <w:shd w:val="clear" w:color="auto" w:fill="auto"/>
            <w:noWrap/>
            <w:vAlign w:val="bottom"/>
            <w:hideMark/>
          </w:tcPr>
          <w:p w:rsidR="00054ADE" w:rsidRPr="000E036E" w:rsidRDefault="00054ADE" w:rsidP="00804A16">
            <w:pPr>
              <w:jc w:val="both"/>
              <w:rPr>
                <w:rFonts w:eastAsia="Times New Roman"/>
                <w:color w:val="000000"/>
                <w:lang w:eastAsia="en-IN"/>
              </w:rPr>
            </w:pPr>
            <w:r w:rsidRPr="000E036E">
              <w:rPr>
                <w:rFonts w:eastAsia="Times New Roman"/>
                <w:color w:val="000000"/>
                <w:lang w:eastAsia="en-IN"/>
              </w:rPr>
              <w:t>100%</w:t>
            </w:r>
          </w:p>
        </w:tc>
      </w:tr>
    </w:tbl>
    <w:p w:rsidR="00054ADE" w:rsidRPr="000E036E" w:rsidRDefault="00054ADE" w:rsidP="00804A16">
      <w:pPr>
        <w:jc w:val="both"/>
      </w:pPr>
    </w:p>
    <w:p w:rsidR="00A76BB6" w:rsidRDefault="00A76BB6" w:rsidP="00804A16">
      <w:pPr>
        <w:jc w:val="both"/>
      </w:pPr>
    </w:p>
    <w:p w:rsidR="00A76BB6" w:rsidRDefault="00A76BB6" w:rsidP="00804A16">
      <w:pPr>
        <w:jc w:val="both"/>
      </w:pPr>
    </w:p>
    <w:p w:rsidR="00A76BB6" w:rsidRDefault="00A76BB6" w:rsidP="00804A16">
      <w:pPr>
        <w:jc w:val="both"/>
      </w:pPr>
    </w:p>
    <w:p w:rsidR="00054ADE" w:rsidRPr="00A76BB6" w:rsidRDefault="00054ADE" w:rsidP="00804A16">
      <w:pPr>
        <w:jc w:val="both"/>
        <w:rPr>
          <w:b/>
        </w:rPr>
      </w:pPr>
      <w:r w:rsidRPr="00A76BB6">
        <w:rPr>
          <w:b/>
        </w:rPr>
        <w:lastRenderedPageBreak/>
        <w:t>Cause of death in female burn cases distribution: Chart</w:t>
      </w:r>
    </w:p>
    <w:p w:rsidR="00054ADE" w:rsidRPr="000E036E" w:rsidRDefault="00054ADE" w:rsidP="00804A16">
      <w:pPr>
        <w:jc w:val="both"/>
      </w:pPr>
      <w:r w:rsidRPr="000E036E">
        <w:rPr>
          <w:noProof/>
          <w:lang w:eastAsia="en-IN"/>
        </w:rPr>
        <w:drawing>
          <wp:inline distT="0" distB="0" distL="0" distR="0" wp14:anchorId="1C81B6F3" wp14:editId="37544FAF">
            <wp:extent cx="5917721" cy="2579298"/>
            <wp:effectExtent l="0" t="0" r="26035"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4ADE" w:rsidRPr="000E036E" w:rsidRDefault="00054ADE" w:rsidP="00804A16">
      <w:pPr>
        <w:jc w:val="both"/>
      </w:pPr>
      <w:r w:rsidRPr="000E036E">
        <w:t>Bar chart showing distribution of cause of death incidence in case of unnatural female death cases</w:t>
      </w:r>
    </w:p>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p>
    <w:p w:rsidR="00054ADE" w:rsidRPr="000E036E" w:rsidRDefault="00054ADE" w:rsidP="00804A16">
      <w:pPr>
        <w:jc w:val="both"/>
      </w:pPr>
    </w:p>
    <w:p w:rsidR="001C3CCE" w:rsidRPr="000E036E" w:rsidRDefault="001C3CCE" w:rsidP="00804A16">
      <w:pPr>
        <w:jc w:val="both"/>
      </w:pPr>
    </w:p>
    <w:p w:rsidR="001C3CCE" w:rsidRPr="000E036E" w:rsidRDefault="001C3CCE" w:rsidP="00804A16">
      <w:pPr>
        <w:jc w:val="both"/>
      </w:pPr>
    </w:p>
    <w:p w:rsidR="003C740D" w:rsidRPr="005817B8" w:rsidRDefault="003C740D" w:rsidP="00804A16">
      <w:pPr>
        <w:jc w:val="both"/>
        <w:rPr>
          <w:b/>
          <w:u w:val="single"/>
        </w:rPr>
      </w:pPr>
      <w:r w:rsidRPr="005817B8">
        <w:rPr>
          <w:b/>
          <w:u w:val="single"/>
        </w:rPr>
        <w:t xml:space="preserve">DISCUSSION: </w:t>
      </w:r>
    </w:p>
    <w:p w:rsidR="003C740D" w:rsidRPr="000E036E" w:rsidRDefault="003C740D" w:rsidP="00804A16">
      <w:pPr>
        <w:jc w:val="both"/>
      </w:pPr>
    </w:p>
    <w:p w:rsidR="003C740D" w:rsidRPr="000E036E" w:rsidRDefault="003C740D" w:rsidP="00804A16">
      <w:pPr>
        <w:jc w:val="both"/>
      </w:pPr>
      <w:r w:rsidRPr="000E036E">
        <w:t>The present retro-</w:t>
      </w:r>
      <w:proofErr w:type="spellStart"/>
      <w:r w:rsidRPr="000E036E">
        <w:t>spective</w:t>
      </w:r>
      <w:proofErr w:type="spellEnd"/>
      <w:r w:rsidRPr="000E036E">
        <w:t xml:space="preserve"> study which was carried out in the Department of Forensic Medicine and Toxicology at B. J. Medical College and Civil Hospital, Ahmedabad during the period from January 2018 to December 2018 to determine trends &amp; pattern in unnatural female death due to burns cases and their practical approach to shrinkage the incidence of female burns cases as much as possible. In study we come across some particularized factor which exaggerated the recent condition in the society.</w:t>
      </w:r>
    </w:p>
    <w:p w:rsidR="003C740D" w:rsidRPr="000E036E" w:rsidRDefault="003C740D" w:rsidP="00804A16">
      <w:pPr>
        <w:jc w:val="both"/>
      </w:pPr>
    </w:p>
    <w:p w:rsidR="003C740D" w:rsidRPr="000E036E" w:rsidRDefault="003C740D" w:rsidP="00804A16">
      <w:pPr>
        <w:jc w:val="both"/>
      </w:pPr>
      <w:r w:rsidRPr="000E036E">
        <w:t xml:space="preserve">In a total of 381 cases of burns, females formed the majority with 64.25% which is in harmony with the studies of Chawla et al, </w:t>
      </w:r>
      <w:proofErr w:type="spellStart"/>
      <w:r w:rsidRPr="000E036E">
        <w:t>Mazumdar</w:t>
      </w:r>
      <w:proofErr w:type="spellEnd"/>
      <w:r w:rsidRPr="000E036E">
        <w:t xml:space="preserve"> et al, Aggarwal and Chandra, </w:t>
      </w:r>
      <w:proofErr w:type="spellStart"/>
      <w:r w:rsidRPr="000E036E">
        <w:t>Doshi</w:t>
      </w:r>
      <w:proofErr w:type="spellEnd"/>
      <w:r w:rsidRPr="000E036E">
        <w:t xml:space="preserve">, </w:t>
      </w:r>
      <w:proofErr w:type="spellStart"/>
      <w:r w:rsidRPr="000E036E">
        <w:t>Ganguly</w:t>
      </w:r>
      <w:proofErr w:type="spellEnd"/>
      <w:r w:rsidRPr="000E036E">
        <w:t xml:space="preserve">, Sinha et al, </w:t>
      </w:r>
      <w:proofErr w:type="spellStart"/>
      <w:r w:rsidRPr="000E036E">
        <w:t>Haralkar</w:t>
      </w:r>
      <w:proofErr w:type="spellEnd"/>
      <w:r w:rsidRPr="000E036E">
        <w:t xml:space="preserve"> </w:t>
      </w:r>
      <w:proofErr w:type="spellStart"/>
      <w:r w:rsidRPr="000E036E">
        <w:t>andRayate</w:t>
      </w:r>
      <w:proofErr w:type="spellEnd"/>
      <w:r w:rsidRPr="000E036E">
        <w:t xml:space="preserve">, </w:t>
      </w:r>
      <w:proofErr w:type="spellStart"/>
      <w:r w:rsidRPr="000E036E">
        <w:t>Naralwar</w:t>
      </w:r>
      <w:proofErr w:type="spellEnd"/>
      <w:r w:rsidRPr="000E036E">
        <w:t xml:space="preserve"> and </w:t>
      </w:r>
      <w:proofErr w:type="spellStart"/>
      <w:r w:rsidRPr="000E036E">
        <w:t>Meshram</w:t>
      </w:r>
      <w:proofErr w:type="spellEnd"/>
      <w:r w:rsidRPr="000E036E">
        <w:t xml:space="preserve"> [7-14]. The reason may be accredited to the fact that women in India are accountable for the domestic duties including cooking where due to cultural and </w:t>
      </w:r>
      <w:r w:rsidRPr="000E036E">
        <w:lastRenderedPageBreak/>
        <w:t xml:space="preserve">religious motives they wear dangerously long and loose fitted clothing. This together with lack of safe installation of cooking appliances that involves </w:t>
      </w:r>
      <w:proofErr w:type="spellStart"/>
      <w:r w:rsidRPr="000E036E">
        <w:t>chullah</w:t>
      </w:r>
      <w:proofErr w:type="spellEnd"/>
      <w:r w:rsidRPr="000E036E">
        <w:t>, kerosene  stove burst and gas leakage, making them the more vulnerable gender.</w:t>
      </w:r>
    </w:p>
    <w:p w:rsidR="003C740D" w:rsidRPr="000E036E" w:rsidRDefault="003C740D" w:rsidP="00804A16">
      <w:pPr>
        <w:jc w:val="both"/>
      </w:pPr>
    </w:p>
    <w:p w:rsidR="003C740D" w:rsidRPr="000E036E" w:rsidRDefault="003C740D" w:rsidP="00804A16">
      <w:pPr>
        <w:jc w:val="both"/>
      </w:pPr>
      <w:r w:rsidRPr="000E036E">
        <w:t xml:space="preserve">Majority of the burn victims were Hindus (48.81%) of the total burn Female victims) which is similar to the findings </w:t>
      </w:r>
      <w:proofErr w:type="gramStart"/>
      <w:r w:rsidRPr="000E036E">
        <w:t>of  D</w:t>
      </w:r>
      <w:proofErr w:type="gramEnd"/>
      <w:r w:rsidRPr="000E036E">
        <w:t xml:space="preserve">. </w:t>
      </w:r>
      <w:proofErr w:type="spellStart"/>
      <w:r w:rsidRPr="000E036E">
        <w:t>Nath</w:t>
      </w:r>
      <w:proofErr w:type="spellEnd"/>
      <w:r w:rsidRPr="000E036E">
        <w:t xml:space="preserve"> </w:t>
      </w:r>
      <w:proofErr w:type="spellStart"/>
      <w:r w:rsidRPr="000E036E">
        <w:t>P.Singh</w:t>
      </w:r>
      <w:proofErr w:type="spellEnd"/>
      <w:r w:rsidRPr="000E036E">
        <w:t xml:space="preserve">[15,16]. The reason being Hinduism is the largest religion practised in India where the previous dowry system and “sati </w:t>
      </w:r>
      <w:proofErr w:type="spellStart"/>
      <w:r w:rsidRPr="000E036E">
        <w:t>pratha</w:t>
      </w:r>
      <w:proofErr w:type="spellEnd"/>
      <w:r w:rsidRPr="000E036E">
        <w:t xml:space="preserve">” still </w:t>
      </w:r>
      <w:proofErr w:type="spellStart"/>
      <w:r w:rsidRPr="000E036E">
        <w:t>excisted</w:t>
      </w:r>
      <w:proofErr w:type="spellEnd"/>
      <w:r w:rsidRPr="000E036E">
        <w:t xml:space="preserve"> in rural area.</w:t>
      </w:r>
    </w:p>
    <w:p w:rsidR="003C740D" w:rsidRPr="000E036E" w:rsidRDefault="003C740D" w:rsidP="00804A16">
      <w:pPr>
        <w:jc w:val="both"/>
      </w:pPr>
    </w:p>
    <w:p w:rsidR="003C740D" w:rsidRPr="000E036E" w:rsidRDefault="003C740D" w:rsidP="00804A16">
      <w:pPr>
        <w:jc w:val="both"/>
      </w:pPr>
      <w:r w:rsidRPr="000E036E">
        <w:t xml:space="preserve">Seasonal variations in our study showed that burn deaths occurred mostly in </w:t>
      </w:r>
      <w:proofErr w:type="gramStart"/>
      <w:r w:rsidRPr="000E036E">
        <w:t>winter(</w:t>
      </w:r>
      <w:proofErr w:type="gramEnd"/>
      <w:r w:rsidRPr="000E036E">
        <w:t>46%) followed by summer(40%). This might be due to the fact that, in winter, there is more need for hot water for bathing. The traditional kerosene stove; which is extensively used in the slum areas city for cooking and providing the necessary boiling water for bathing; lacks any safety measures more in Morning (37%) &amp; evening(39%)Thus, it is condemned to be responsible for much of the flame and scald burns in our country. This fact has been previously highlighted by the work of reporters from low income countries</w:t>
      </w:r>
      <w:proofErr w:type="gramStart"/>
      <w:r w:rsidRPr="000E036E">
        <w:t>.[</w:t>
      </w:r>
      <w:proofErr w:type="gramEnd"/>
      <w:r w:rsidRPr="000E036E">
        <w:t>17,18]</w:t>
      </w:r>
    </w:p>
    <w:p w:rsidR="003C740D" w:rsidRPr="000E036E" w:rsidRDefault="003C740D" w:rsidP="00804A16">
      <w:pPr>
        <w:jc w:val="both"/>
      </w:pPr>
    </w:p>
    <w:p w:rsidR="003C740D" w:rsidRPr="000E036E" w:rsidRDefault="003C740D" w:rsidP="00804A16">
      <w:pPr>
        <w:jc w:val="both"/>
      </w:pPr>
      <w:r w:rsidRPr="000E036E">
        <w:t xml:space="preserve">The domestic violence can be further reinforced by the marital status of the genders in this study in which, the majority of the female death due to burn victims were married (64%) than </w:t>
      </w:r>
      <w:proofErr w:type="gramStart"/>
      <w:r w:rsidRPr="000E036E">
        <w:t>unmarried(</w:t>
      </w:r>
      <w:proofErr w:type="gramEnd"/>
      <w:r w:rsidRPr="000E036E">
        <w:t>23%).[19] Averagely 30-40% of TBSA(21%) &amp; 40-50% of TBSA(20%) involved in unnatural female death cases.[15,16].</w:t>
      </w:r>
    </w:p>
    <w:p w:rsidR="003C740D" w:rsidRPr="000E036E" w:rsidRDefault="003C740D" w:rsidP="00804A16">
      <w:pPr>
        <w:jc w:val="both"/>
      </w:pPr>
      <w:r w:rsidRPr="000E036E">
        <w:t>Though the majority of the incidents are accidental in nature, suicidal and homicidal cases were also observed. As noted with other studies, accidental burning was the commonest manner of deaths due to burning followed by suicidal and homicidal burning. [20</w:t>
      </w:r>
      <w:proofErr w:type="gramStart"/>
      <w:r w:rsidRPr="000E036E">
        <w:t>,21,22,23</w:t>
      </w:r>
      <w:proofErr w:type="gramEnd"/>
      <w:r w:rsidRPr="000E036E">
        <w:t xml:space="preserve">]More incident noted in Previous suicidal attempts(27%) than </w:t>
      </w:r>
      <w:proofErr w:type="spellStart"/>
      <w:r w:rsidRPr="000E036E">
        <w:t>Phychiatric</w:t>
      </w:r>
      <w:proofErr w:type="spellEnd"/>
      <w:r w:rsidRPr="000E036E">
        <w:t xml:space="preserve"> illness(10%),chronic illness(13%),addiction(15%) and more in accidental(41%) than suicidal(24%)</w:t>
      </w:r>
    </w:p>
    <w:p w:rsidR="003C740D" w:rsidRPr="000E036E" w:rsidRDefault="003C740D" w:rsidP="00804A16">
      <w:pPr>
        <w:jc w:val="both"/>
      </w:pPr>
      <w:r w:rsidRPr="000E036E">
        <w:t xml:space="preserve">Shock is found to be the most common cause of death in most of the victims, which is similar to the findings of Chawla R, </w:t>
      </w:r>
      <w:proofErr w:type="spellStart"/>
      <w:r w:rsidRPr="000E036E">
        <w:t>Chanana</w:t>
      </w:r>
      <w:proofErr w:type="spellEnd"/>
      <w:r w:rsidRPr="000E036E">
        <w:t xml:space="preserve"> A, Rai H, Aggarwal A.D, </w:t>
      </w:r>
      <w:proofErr w:type="spellStart"/>
      <w:r w:rsidRPr="000E036E">
        <w:t>SinghH</w:t>
      </w:r>
      <w:proofErr w:type="spellEnd"/>
      <w:r w:rsidRPr="000E036E">
        <w:t xml:space="preserve">, Sharma and D. </w:t>
      </w:r>
      <w:proofErr w:type="spellStart"/>
      <w:r w:rsidRPr="000E036E">
        <w:t>Nath</w:t>
      </w:r>
      <w:proofErr w:type="spellEnd"/>
      <w:r w:rsidRPr="000E036E">
        <w:t xml:space="preserve">. [8,15,16] Shock (neurogenic[25%], hypovolemic[14%]) is more common in 1-2 day period after burn </w:t>
      </w:r>
      <w:proofErr w:type="spellStart"/>
      <w:r w:rsidRPr="000E036E">
        <w:t>injury.Any</w:t>
      </w:r>
      <w:proofErr w:type="spellEnd"/>
      <w:r w:rsidRPr="000E036E">
        <w:t xml:space="preserve"> kind of injury including burn injury was the common source of infection, which resulted in </w:t>
      </w:r>
      <w:proofErr w:type="spellStart"/>
      <w:r w:rsidRPr="000E036E">
        <w:t>septicaemia,pneumonia,renal</w:t>
      </w:r>
      <w:proofErr w:type="spellEnd"/>
      <w:r w:rsidRPr="000E036E">
        <w:t xml:space="preserve"> failure and </w:t>
      </w:r>
      <w:proofErr w:type="spellStart"/>
      <w:r w:rsidRPr="000E036E">
        <w:t>septicaemic</w:t>
      </w:r>
      <w:proofErr w:type="spellEnd"/>
      <w:r w:rsidRPr="000E036E">
        <w:t xml:space="preserve"> death. Lack of care on the part of the doctor was the main reasons for the </w:t>
      </w:r>
      <w:proofErr w:type="spellStart"/>
      <w:r w:rsidRPr="000E036E">
        <w:t>septicaemic</w:t>
      </w:r>
      <w:proofErr w:type="spellEnd"/>
      <w:r w:rsidRPr="000E036E">
        <w:t xml:space="preserve"> deaths in the burn victims.</w:t>
      </w:r>
    </w:p>
    <w:p w:rsidR="003C740D" w:rsidRPr="000E036E" w:rsidRDefault="003C740D" w:rsidP="00804A16">
      <w:pPr>
        <w:jc w:val="both"/>
      </w:pPr>
    </w:p>
    <w:p w:rsidR="001C3CCE" w:rsidRPr="000E036E" w:rsidRDefault="001C3CCE" w:rsidP="00804A16">
      <w:pPr>
        <w:jc w:val="both"/>
      </w:pPr>
    </w:p>
    <w:p w:rsidR="00A76BB6" w:rsidRDefault="00A76BB6" w:rsidP="00804A16">
      <w:pPr>
        <w:jc w:val="both"/>
        <w:rPr>
          <w:b/>
          <w:u w:val="single"/>
        </w:rPr>
      </w:pPr>
    </w:p>
    <w:p w:rsidR="00A76BB6" w:rsidRDefault="00A76BB6" w:rsidP="00804A16">
      <w:pPr>
        <w:jc w:val="both"/>
        <w:rPr>
          <w:b/>
          <w:u w:val="single"/>
        </w:rPr>
      </w:pPr>
    </w:p>
    <w:p w:rsidR="00A76BB6" w:rsidRDefault="00A76BB6" w:rsidP="00804A16">
      <w:pPr>
        <w:jc w:val="both"/>
        <w:rPr>
          <w:b/>
          <w:u w:val="single"/>
        </w:rPr>
      </w:pPr>
    </w:p>
    <w:p w:rsidR="00377D72" w:rsidRPr="005817B8" w:rsidRDefault="00377D72" w:rsidP="00804A16">
      <w:pPr>
        <w:jc w:val="both"/>
        <w:rPr>
          <w:b/>
          <w:u w:val="single"/>
        </w:rPr>
      </w:pPr>
      <w:r w:rsidRPr="005817B8">
        <w:rPr>
          <w:b/>
          <w:u w:val="single"/>
        </w:rPr>
        <w:lastRenderedPageBreak/>
        <w:t>CONCLUSION:</w:t>
      </w:r>
    </w:p>
    <w:p w:rsidR="00377D72" w:rsidRPr="000E036E" w:rsidRDefault="00377D72" w:rsidP="00804A16">
      <w:pPr>
        <w:pStyle w:val="ListParagraph"/>
        <w:numPr>
          <w:ilvl w:val="0"/>
          <w:numId w:val="2"/>
        </w:numPr>
        <w:jc w:val="both"/>
      </w:pPr>
      <w:proofErr w:type="gramStart"/>
      <w:r w:rsidRPr="000E036E">
        <w:t>Female(</w:t>
      </w:r>
      <w:proofErr w:type="gramEnd"/>
      <w:r w:rsidRPr="005817B8">
        <w:rPr>
          <w:rFonts w:eastAsia="Times New Roman"/>
          <w:color w:val="000000"/>
          <w:lang w:eastAsia="en-IN"/>
        </w:rPr>
        <w:t>64.25%)</w:t>
      </w:r>
      <w:r w:rsidRPr="000E036E">
        <w:t xml:space="preserve"> are more prone to death due to Burn (Thermal) injury than male(</w:t>
      </w:r>
      <w:r w:rsidRPr="005817B8">
        <w:rPr>
          <w:rFonts w:eastAsia="Times New Roman"/>
          <w:color w:val="000000"/>
          <w:lang w:eastAsia="en-IN"/>
        </w:rPr>
        <w:t>35.75%)</w:t>
      </w:r>
      <w:r w:rsidRPr="000E036E">
        <w:t xml:space="preserve"> in this retrospective study almost near double.</w:t>
      </w:r>
    </w:p>
    <w:p w:rsidR="00377D72" w:rsidRPr="000E036E" w:rsidRDefault="00377D72" w:rsidP="00804A16">
      <w:pPr>
        <w:pStyle w:val="ListParagraph"/>
        <w:numPr>
          <w:ilvl w:val="0"/>
          <w:numId w:val="2"/>
        </w:numPr>
        <w:jc w:val="both"/>
      </w:pPr>
      <w:r w:rsidRPr="000E036E">
        <w:t xml:space="preserve">Hindu </w:t>
      </w:r>
      <w:proofErr w:type="gramStart"/>
      <w:r w:rsidRPr="000E036E">
        <w:t>Female(</w:t>
      </w:r>
      <w:proofErr w:type="gramEnd"/>
      <w:r w:rsidRPr="005817B8">
        <w:rPr>
          <w:rFonts w:eastAsia="Times New Roman"/>
          <w:color w:val="000000"/>
          <w:lang w:eastAsia="en-IN"/>
        </w:rPr>
        <w:t>48.81%) &amp; Muslim female (39.89%)</w:t>
      </w:r>
      <w:r w:rsidRPr="000E036E">
        <w:t xml:space="preserve"> are more indulge to death due to Burn(Thermal) injury than others.</w:t>
      </w:r>
    </w:p>
    <w:p w:rsidR="00377D72" w:rsidRPr="000E036E" w:rsidRDefault="00377D72" w:rsidP="00804A16">
      <w:pPr>
        <w:pStyle w:val="ListParagraph"/>
        <w:numPr>
          <w:ilvl w:val="0"/>
          <w:numId w:val="2"/>
        </w:numPr>
        <w:jc w:val="both"/>
      </w:pPr>
      <w:r w:rsidRPr="000E036E">
        <w:t xml:space="preserve">There is increased incidence of death due to burn injury in </w:t>
      </w:r>
      <w:proofErr w:type="gramStart"/>
      <w:r w:rsidRPr="000E036E">
        <w:t>summer</w:t>
      </w:r>
      <w:r w:rsidRPr="005817B8">
        <w:rPr>
          <w:rFonts w:eastAsia="Times New Roman"/>
          <w:color w:val="000000"/>
          <w:lang w:eastAsia="en-IN"/>
        </w:rPr>
        <w:t>(</w:t>
      </w:r>
      <w:proofErr w:type="gramEnd"/>
      <w:r w:rsidRPr="005817B8">
        <w:rPr>
          <w:rFonts w:eastAsia="Times New Roman"/>
          <w:color w:val="000000"/>
          <w:lang w:eastAsia="en-IN"/>
        </w:rPr>
        <w:t>March-</w:t>
      </w:r>
      <w:proofErr w:type="spellStart"/>
      <w:r w:rsidRPr="005817B8">
        <w:rPr>
          <w:rFonts w:eastAsia="Times New Roman"/>
          <w:color w:val="000000"/>
          <w:lang w:eastAsia="en-IN"/>
        </w:rPr>
        <w:t>june</w:t>
      </w:r>
      <w:proofErr w:type="spellEnd"/>
      <w:r w:rsidRPr="005817B8">
        <w:rPr>
          <w:rFonts w:eastAsia="Times New Roman"/>
          <w:color w:val="000000"/>
          <w:lang w:eastAsia="en-IN"/>
        </w:rPr>
        <w:t>) (40%)</w:t>
      </w:r>
      <w:r w:rsidRPr="000E036E">
        <w:t xml:space="preserve"> &amp; winter </w:t>
      </w:r>
      <w:r w:rsidRPr="005817B8">
        <w:rPr>
          <w:rFonts w:eastAsia="Times New Roman"/>
          <w:color w:val="000000"/>
          <w:lang w:eastAsia="en-IN"/>
        </w:rPr>
        <w:t>(Nov-</w:t>
      </w:r>
      <w:proofErr w:type="spellStart"/>
      <w:r w:rsidRPr="005817B8">
        <w:rPr>
          <w:rFonts w:eastAsia="Times New Roman"/>
          <w:color w:val="000000"/>
          <w:lang w:eastAsia="en-IN"/>
        </w:rPr>
        <w:t>feb</w:t>
      </w:r>
      <w:proofErr w:type="spellEnd"/>
      <w:r w:rsidRPr="005817B8">
        <w:rPr>
          <w:rFonts w:eastAsia="Times New Roman"/>
          <w:color w:val="000000"/>
          <w:lang w:eastAsia="en-IN"/>
        </w:rPr>
        <w:t>)(46%)</w:t>
      </w:r>
      <w:r w:rsidRPr="000E036E">
        <w:t>than in rainy season.</w:t>
      </w:r>
    </w:p>
    <w:p w:rsidR="00377D72" w:rsidRPr="000E036E" w:rsidRDefault="00377D72" w:rsidP="00804A16">
      <w:pPr>
        <w:pStyle w:val="ListParagraph"/>
        <w:numPr>
          <w:ilvl w:val="0"/>
          <w:numId w:val="2"/>
        </w:numPr>
        <w:jc w:val="both"/>
      </w:pPr>
      <w:r w:rsidRPr="000E036E">
        <w:t>There is increased incide</w:t>
      </w:r>
      <w:r w:rsidR="003C740D" w:rsidRPr="000E036E">
        <w:t xml:space="preserve">nce of death due to burn in </w:t>
      </w:r>
      <w:proofErr w:type="gramStart"/>
      <w:r w:rsidR="003C740D" w:rsidRPr="000E036E">
        <w:t>Morning</w:t>
      </w:r>
      <w:r w:rsidRPr="000E036E">
        <w:t>(</w:t>
      </w:r>
      <w:proofErr w:type="gramEnd"/>
      <w:r w:rsidRPr="000E036E">
        <w:t>37%) &amp; evening(39%) as Female are more active in cooking  during this time period.</w:t>
      </w:r>
    </w:p>
    <w:p w:rsidR="00377D72" w:rsidRPr="000E036E" w:rsidRDefault="00377D72" w:rsidP="00804A16">
      <w:pPr>
        <w:pStyle w:val="ListParagraph"/>
        <w:numPr>
          <w:ilvl w:val="0"/>
          <w:numId w:val="2"/>
        </w:numPr>
        <w:jc w:val="both"/>
      </w:pPr>
      <w:r w:rsidRPr="000E036E">
        <w:t xml:space="preserve">Married </w:t>
      </w:r>
      <w:proofErr w:type="gramStart"/>
      <w:r w:rsidRPr="000E036E">
        <w:t>woman(</w:t>
      </w:r>
      <w:proofErr w:type="gramEnd"/>
      <w:r w:rsidRPr="000E036E">
        <w:t>64%) are more prone to thermal injury than unmarried  &amp; widow.</w:t>
      </w:r>
    </w:p>
    <w:p w:rsidR="00377D72" w:rsidRPr="000E036E" w:rsidRDefault="00377D72" w:rsidP="00804A16">
      <w:pPr>
        <w:pStyle w:val="ListParagraph"/>
        <w:numPr>
          <w:ilvl w:val="0"/>
          <w:numId w:val="2"/>
        </w:numPr>
        <w:jc w:val="both"/>
      </w:pPr>
      <w:r w:rsidRPr="000E036E">
        <w:t xml:space="preserve">Averagely 30-40% of </w:t>
      </w:r>
      <w:proofErr w:type="gramStart"/>
      <w:r w:rsidRPr="000E036E">
        <w:t>TBSA(</w:t>
      </w:r>
      <w:proofErr w:type="gramEnd"/>
      <w:r w:rsidRPr="000E036E">
        <w:t>21%) &amp; 40-50% of TBSA(20%) involved in unnatural female death cases.</w:t>
      </w:r>
    </w:p>
    <w:p w:rsidR="00377D72" w:rsidRPr="000E036E" w:rsidRDefault="00377D72" w:rsidP="00804A16">
      <w:pPr>
        <w:pStyle w:val="ListParagraph"/>
        <w:numPr>
          <w:ilvl w:val="0"/>
          <w:numId w:val="2"/>
        </w:numPr>
        <w:jc w:val="both"/>
      </w:pPr>
      <w:r w:rsidRPr="000E036E">
        <w:t>Duration of survival after incidence is least in more than one month.</w:t>
      </w:r>
    </w:p>
    <w:p w:rsidR="00377D72" w:rsidRPr="000E036E" w:rsidRDefault="00377D72" w:rsidP="00804A16">
      <w:pPr>
        <w:pStyle w:val="ListParagraph"/>
        <w:numPr>
          <w:ilvl w:val="0"/>
          <w:numId w:val="2"/>
        </w:numPr>
        <w:jc w:val="both"/>
      </w:pPr>
      <w:r w:rsidRPr="000E036E">
        <w:t xml:space="preserve">Alleged history of previously attempted suicidal attempt (27%) are more prone to </w:t>
      </w:r>
      <w:proofErr w:type="gramStart"/>
      <w:r w:rsidRPr="000E036E">
        <w:t>burn(</w:t>
      </w:r>
      <w:proofErr w:type="gramEnd"/>
      <w:r w:rsidRPr="000E036E">
        <w:t>Thermal) injury for unnatural female death.</w:t>
      </w:r>
    </w:p>
    <w:p w:rsidR="00377D72" w:rsidRPr="000E036E" w:rsidRDefault="00377D72" w:rsidP="00804A16">
      <w:pPr>
        <w:pStyle w:val="ListParagraph"/>
        <w:numPr>
          <w:ilvl w:val="0"/>
          <w:numId w:val="2"/>
        </w:numPr>
        <w:jc w:val="both"/>
      </w:pPr>
      <w:r w:rsidRPr="000E036E">
        <w:t>Accidental burn (41%) cases are more predisposed than others.</w:t>
      </w:r>
    </w:p>
    <w:p w:rsidR="00377D72" w:rsidRPr="000E036E" w:rsidRDefault="00377D72" w:rsidP="00804A16">
      <w:pPr>
        <w:pStyle w:val="ListParagraph"/>
        <w:numPr>
          <w:ilvl w:val="0"/>
          <w:numId w:val="2"/>
        </w:numPr>
        <w:jc w:val="both"/>
      </w:pPr>
      <w:r w:rsidRPr="000E036E">
        <w:t xml:space="preserve">Death due to burn are more (28%) in </w:t>
      </w:r>
      <w:proofErr w:type="spellStart"/>
      <w:r w:rsidRPr="000E036E">
        <w:t>septicaemia</w:t>
      </w:r>
      <w:proofErr w:type="gramStart"/>
      <w:r w:rsidRPr="000E036E">
        <w:t>,pneumonia</w:t>
      </w:r>
      <w:proofErr w:type="spellEnd"/>
      <w:proofErr w:type="gramEnd"/>
      <w:r w:rsidRPr="000E036E">
        <w:t xml:space="preserve"> ,acute renal injury &amp; Neurogenic shock (25%). </w:t>
      </w:r>
    </w:p>
    <w:p w:rsidR="000E036E" w:rsidRDefault="000E036E" w:rsidP="00804A16">
      <w:pPr>
        <w:jc w:val="both"/>
      </w:pPr>
    </w:p>
    <w:p w:rsidR="005817B8" w:rsidRDefault="005817B8" w:rsidP="00804A16">
      <w:pPr>
        <w:jc w:val="both"/>
      </w:pPr>
    </w:p>
    <w:p w:rsidR="005817B8" w:rsidRDefault="00BD2E58" w:rsidP="00804A16">
      <w:pPr>
        <w:jc w:val="both"/>
      </w:pPr>
      <w:r w:rsidRPr="00BD2E58">
        <w:rPr>
          <w:b/>
          <w:u w:val="single"/>
        </w:rPr>
        <w:t>CONFLICT OF INTEREST</w:t>
      </w:r>
      <w:proofErr w:type="gramStart"/>
      <w:r>
        <w:t>:NIL</w:t>
      </w:r>
      <w:proofErr w:type="gramEnd"/>
    </w:p>
    <w:p w:rsidR="00BD2E58" w:rsidRDefault="00BD2E58" w:rsidP="00804A16">
      <w:pPr>
        <w:jc w:val="both"/>
      </w:pPr>
      <w:r w:rsidRPr="00BD2E58">
        <w:rPr>
          <w:b/>
          <w:u w:val="single"/>
        </w:rPr>
        <w:t>STUDY FUNDING</w:t>
      </w:r>
      <w:proofErr w:type="gramStart"/>
      <w:r>
        <w:t>:NIL</w:t>
      </w:r>
      <w:proofErr w:type="gramEnd"/>
    </w:p>
    <w:p w:rsidR="005817B8" w:rsidRDefault="005817B8" w:rsidP="00804A16">
      <w:pPr>
        <w:jc w:val="both"/>
      </w:pPr>
    </w:p>
    <w:p w:rsidR="005817B8" w:rsidRPr="000E036E" w:rsidRDefault="005817B8" w:rsidP="00804A16">
      <w:pPr>
        <w:jc w:val="both"/>
      </w:pPr>
    </w:p>
    <w:p w:rsidR="00594BDC" w:rsidRPr="00594BDC" w:rsidRDefault="000E036E" w:rsidP="00804A16">
      <w:pPr>
        <w:jc w:val="both"/>
        <w:rPr>
          <w:b/>
          <w:u w:val="single"/>
        </w:rPr>
      </w:pPr>
      <w:r w:rsidRPr="005817B8">
        <w:rPr>
          <w:b/>
          <w:u w:val="single"/>
        </w:rPr>
        <w:t>BIBLIOGRAPHY</w:t>
      </w:r>
    </w:p>
    <w:p w:rsidR="00594BDC" w:rsidRPr="00D61FF7" w:rsidRDefault="00594BDC" w:rsidP="00804A16">
      <w:pPr>
        <w:pStyle w:val="NoSpacing"/>
        <w:jc w:val="both"/>
        <w:rPr>
          <w:color w:val="000000" w:themeColor="text1"/>
        </w:rPr>
      </w:pPr>
      <w:proofErr w:type="gramStart"/>
      <w:r w:rsidRPr="00D61FF7">
        <w:rPr>
          <w:color w:val="000000" w:themeColor="text1"/>
        </w:rPr>
        <w:t>1.National</w:t>
      </w:r>
      <w:proofErr w:type="gramEnd"/>
      <w:r w:rsidRPr="00D61FF7">
        <w:rPr>
          <w:color w:val="000000" w:themeColor="text1"/>
        </w:rPr>
        <w:t xml:space="preserve"> health portal: https://www.nhp.gov.in/disease/skin/burns published by: Zahid , CREATED / VALIDATED BY : Dr. </w:t>
      </w:r>
      <w:proofErr w:type="spellStart"/>
      <w:r w:rsidRPr="00D61FF7">
        <w:rPr>
          <w:color w:val="000000" w:themeColor="text1"/>
        </w:rPr>
        <w:t>Aruna</w:t>
      </w:r>
      <w:proofErr w:type="spellEnd"/>
      <w:r w:rsidRPr="00D61FF7">
        <w:rPr>
          <w:color w:val="000000" w:themeColor="text1"/>
        </w:rPr>
        <w:t xml:space="preserve"> </w:t>
      </w:r>
      <w:proofErr w:type="spellStart"/>
      <w:r w:rsidRPr="00D61FF7">
        <w:rPr>
          <w:color w:val="000000" w:themeColor="text1"/>
        </w:rPr>
        <w:t>Rastogi</w:t>
      </w:r>
      <w:proofErr w:type="spellEnd"/>
      <w:r w:rsidRPr="00D61FF7">
        <w:rPr>
          <w:color w:val="000000" w:themeColor="text1"/>
        </w:rPr>
        <w:t>, LAST UPDATED ON : Sep 06, 2016</w:t>
      </w:r>
    </w:p>
    <w:p w:rsidR="00594BDC" w:rsidRPr="00D61FF7" w:rsidRDefault="00594BDC" w:rsidP="00804A16">
      <w:pPr>
        <w:pStyle w:val="NoSpacing"/>
        <w:jc w:val="both"/>
        <w:rPr>
          <w:rStyle w:val="ref-overlay"/>
          <w:rFonts w:ascii="Times New Roman" w:hAnsi="Times New Roman" w:cs="Times New Roman"/>
          <w:color w:val="000000" w:themeColor="text1"/>
          <w:sz w:val="20"/>
          <w:szCs w:val="20"/>
          <w:shd w:val="clear" w:color="auto" w:fill="FFFFFF"/>
        </w:rPr>
      </w:pPr>
      <w:r w:rsidRPr="00D61FF7">
        <w:rPr>
          <w:color w:val="000000" w:themeColor="text1"/>
        </w:rPr>
        <w:t>2.</w:t>
      </w:r>
      <w:r w:rsidRPr="00D61FF7">
        <w:rPr>
          <w:rStyle w:val="ref-links"/>
          <w:rFonts w:ascii="Times New Roman" w:hAnsi="Times New Roman" w:cs="Times New Roman"/>
          <w:color w:val="000000" w:themeColor="text1"/>
          <w:sz w:val="20"/>
          <w:szCs w:val="20"/>
          <w:shd w:val="clear" w:color="auto" w:fill="FFFFFF"/>
        </w:rPr>
        <w:t xml:space="preserve"> </w:t>
      </w:r>
      <w:proofErr w:type="gramStart"/>
      <w:r w:rsidRPr="00D61FF7">
        <w:rPr>
          <w:rStyle w:val="ref-overlay"/>
          <w:rFonts w:ascii="Times New Roman" w:hAnsi="Times New Roman" w:cs="Times New Roman"/>
          <w:color w:val="000000" w:themeColor="text1"/>
          <w:sz w:val="20"/>
          <w:szCs w:val="20"/>
          <w:shd w:val="clear" w:color="auto" w:fill="FFFFFF"/>
        </w:rPr>
        <w:t>from</w:t>
      </w:r>
      <w:proofErr w:type="gramEnd"/>
      <w:r w:rsidRPr="00D61FF7">
        <w:rPr>
          <w:rStyle w:val="ref-overlay"/>
          <w:rFonts w:ascii="Times New Roman" w:hAnsi="Times New Roman" w:cs="Times New Roman"/>
          <w:color w:val="000000" w:themeColor="text1"/>
          <w:sz w:val="20"/>
          <w:szCs w:val="20"/>
          <w:shd w:val="clear" w:color="auto" w:fill="FFFFFF"/>
        </w:rPr>
        <w:t>:</w:t>
      </w:r>
      <w:hyperlink r:id="rId10" w:tgtFrame="_blank" w:history="1">
        <w:r w:rsidRPr="00D61FF7">
          <w:rPr>
            <w:rStyle w:val="Hyperlink"/>
            <w:rFonts w:ascii="Times New Roman" w:hAnsi="Times New Roman" w:cs="Times New Roman"/>
            <w:color w:val="000000" w:themeColor="text1"/>
            <w:sz w:val="20"/>
            <w:szCs w:val="20"/>
          </w:rPr>
          <w:t>http://whqlibdoc.who.int/publications/2008/9789241596299_eng.pdf</w:t>
        </w:r>
      </w:hyperlink>
    </w:p>
    <w:p w:rsidR="00594BDC" w:rsidRPr="00D61FF7" w:rsidRDefault="00594BDC" w:rsidP="00804A16">
      <w:pPr>
        <w:pStyle w:val="NoSpacing"/>
        <w:jc w:val="both"/>
        <w:rPr>
          <w:rStyle w:val="xlinks-container"/>
          <w:rFonts w:ascii="Times New Roman" w:hAnsi="Times New Roman" w:cs="Times New Roman"/>
          <w:color w:val="000000" w:themeColor="text1"/>
          <w:sz w:val="20"/>
          <w:szCs w:val="20"/>
        </w:rPr>
      </w:pPr>
      <w:r w:rsidRPr="00D61FF7">
        <w:rPr>
          <w:rStyle w:val="ref-overlay"/>
          <w:rFonts w:ascii="Times New Roman" w:hAnsi="Times New Roman" w:cs="Times New Roman"/>
          <w:color w:val="000000" w:themeColor="text1"/>
          <w:sz w:val="20"/>
          <w:szCs w:val="20"/>
          <w:shd w:val="clear" w:color="auto" w:fill="FFFFFF"/>
        </w:rPr>
        <w:t>3.</w:t>
      </w:r>
      <w:r w:rsidRPr="00D61FF7">
        <w:rPr>
          <w:rStyle w:val="Strong"/>
          <w:rFonts w:ascii="Times New Roman" w:hAnsi="Times New Roman" w:cs="Times New Roman"/>
          <w:color w:val="000000" w:themeColor="text1"/>
          <w:sz w:val="20"/>
          <w:szCs w:val="20"/>
        </w:rPr>
        <w:t xml:space="preserve"> </w:t>
      </w:r>
      <w:r w:rsidRPr="00D61FF7">
        <w:rPr>
          <w:rStyle w:val="nlmgiven-names"/>
          <w:rFonts w:ascii="Times New Roman" w:hAnsi="Times New Roman" w:cs="Times New Roman"/>
          <w:b/>
          <w:color w:val="000000" w:themeColor="text1"/>
          <w:sz w:val="20"/>
          <w:szCs w:val="20"/>
          <w:shd w:val="clear" w:color="auto" w:fill="FFFFFF"/>
        </w:rPr>
        <w:t>J.L.</w:t>
      </w:r>
      <w:r w:rsidRPr="00D61FF7">
        <w:rPr>
          <w:rStyle w:val="hlfld-contribauthor"/>
          <w:rFonts w:ascii="Times New Roman" w:hAnsi="Times New Roman" w:cs="Times New Roman"/>
          <w:b/>
          <w:color w:val="000000" w:themeColor="text1"/>
          <w:sz w:val="20"/>
          <w:szCs w:val="20"/>
          <w:shd w:val="clear" w:color="auto" w:fill="FFFFFF"/>
        </w:rPr>
        <w:t> Gupta</w:t>
      </w:r>
      <w:r w:rsidRPr="00D61FF7">
        <w:rPr>
          <w:rStyle w:val="ref-overlay"/>
          <w:rFonts w:ascii="Times New Roman" w:hAnsi="Times New Roman" w:cs="Times New Roman"/>
          <w:b/>
          <w:color w:val="000000" w:themeColor="text1"/>
          <w:sz w:val="20"/>
          <w:szCs w:val="20"/>
          <w:shd w:val="clear" w:color="auto" w:fill="FFFFFF"/>
        </w:rPr>
        <w:t>, </w:t>
      </w:r>
      <w:r w:rsidRPr="00D61FF7">
        <w:rPr>
          <w:rStyle w:val="nlmgiven-names"/>
          <w:rFonts w:ascii="Times New Roman" w:hAnsi="Times New Roman" w:cs="Times New Roman"/>
          <w:b/>
          <w:color w:val="000000" w:themeColor="text1"/>
          <w:sz w:val="20"/>
          <w:szCs w:val="20"/>
          <w:shd w:val="clear" w:color="auto" w:fill="FFFFFF"/>
        </w:rPr>
        <w:t>L.K.</w:t>
      </w:r>
      <w:r w:rsidRPr="00D61FF7">
        <w:rPr>
          <w:rStyle w:val="hlfld-contribauthor"/>
          <w:rFonts w:ascii="Times New Roman" w:hAnsi="Times New Roman" w:cs="Times New Roman"/>
          <w:b/>
          <w:color w:val="000000" w:themeColor="text1"/>
          <w:sz w:val="20"/>
          <w:szCs w:val="20"/>
          <w:shd w:val="clear" w:color="auto" w:fill="FFFFFF"/>
        </w:rPr>
        <w:t> </w:t>
      </w:r>
      <w:proofErr w:type="spellStart"/>
      <w:r w:rsidRPr="00D61FF7">
        <w:rPr>
          <w:rStyle w:val="hlfld-contribauthor"/>
          <w:rFonts w:ascii="Times New Roman" w:hAnsi="Times New Roman" w:cs="Times New Roman"/>
          <w:b/>
          <w:color w:val="000000" w:themeColor="text1"/>
          <w:sz w:val="20"/>
          <w:szCs w:val="20"/>
          <w:shd w:val="clear" w:color="auto" w:fill="FFFFFF"/>
        </w:rPr>
        <w:t>Makhija</w:t>
      </w:r>
      <w:proofErr w:type="spellEnd"/>
      <w:r w:rsidRPr="00D61FF7">
        <w:rPr>
          <w:rStyle w:val="ref-overlay"/>
          <w:rFonts w:ascii="Times New Roman" w:hAnsi="Times New Roman" w:cs="Times New Roman"/>
          <w:b/>
          <w:color w:val="000000" w:themeColor="text1"/>
          <w:sz w:val="20"/>
          <w:szCs w:val="20"/>
          <w:shd w:val="clear" w:color="auto" w:fill="FFFFFF"/>
        </w:rPr>
        <w:t>, </w:t>
      </w:r>
      <w:r w:rsidRPr="00D61FF7">
        <w:rPr>
          <w:rStyle w:val="nlmgiven-names"/>
          <w:rFonts w:ascii="Times New Roman" w:hAnsi="Times New Roman" w:cs="Times New Roman"/>
          <w:b/>
          <w:color w:val="000000" w:themeColor="text1"/>
          <w:sz w:val="20"/>
          <w:szCs w:val="20"/>
          <w:shd w:val="clear" w:color="auto" w:fill="FFFFFF"/>
        </w:rPr>
        <w:t>S.P.</w:t>
      </w:r>
      <w:r w:rsidRPr="00D61FF7">
        <w:rPr>
          <w:rStyle w:val="hlfld-contribauthor"/>
          <w:rFonts w:ascii="Times New Roman" w:hAnsi="Times New Roman" w:cs="Times New Roman"/>
          <w:b/>
          <w:color w:val="000000" w:themeColor="text1"/>
          <w:sz w:val="20"/>
          <w:szCs w:val="20"/>
          <w:shd w:val="clear" w:color="auto" w:fill="FFFFFF"/>
        </w:rPr>
        <w:t> Bajaj</w:t>
      </w:r>
      <w:r w:rsidRPr="00D61FF7">
        <w:rPr>
          <w:rStyle w:val="ref-overlay"/>
          <w:rFonts w:ascii="Times New Roman" w:hAnsi="Times New Roman" w:cs="Times New Roman"/>
          <w:color w:val="000000" w:themeColor="text1"/>
          <w:sz w:val="20"/>
          <w:szCs w:val="20"/>
          <w:shd w:val="clear" w:color="auto" w:fill="FFFFFF"/>
        </w:rPr>
        <w:t>. </w:t>
      </w:r>
      <w:proofErr w:type="gramStart"/>
      <w:r w:rsidRPr="00D61FF7">
        <w:rPr>
          <w:rStyle w:val="nlmarticle-title"/>
          <w:rFonts w:ascii="Times New Roman" w:hAnsi="Times New Roman" w:cs="Times New Roman"/>
          <w:color w:val="000000" w:themeColor="text1"/>
          <w:sz w:val="20"/>
          <w:szCs w:val="20"/>
          <w:shd w:val="clear" w:color="auto" w:fill="FFFFFF"/>
        </w:rPr>
        <w:t>National programme for prevention of burn injuries</w:t>
      </w:r>
      <w:r w:rsidRPr="00D61FF7">
        <w:rPr>
          <w:rStyle w:val="ref-overlay"/>
          <w:rFonts w:ascii="Times New Roman" w:hAnsi="Times New Roman" w:cs="Times New Roman"/>
          <w:color w:val="000000" w:themeColor="text1"/>
          <w:sz w:val="20"/>
          <w:szCs w:val="20"/>
          <w:shd w:val="clear" w:color="auto" w:fill="FFFFFF"/>
        </w:rPr>
        <w:t>.</w:t>
      </w:r>
      <w:proofErr w:type="gramEnd"/>
      <w:r w:rsidRPr="00D61FF7">
        <w:rPr>
          <w:rStyle w:val="ref-overlay"/>
          <w:rFonts w:ascii="Times New Roman" w:hAnsi="Times New Roman" w:cs="Times New Roman"/>
          <w:color w:val="000000" w:themeColor="text1"/>
          <w:sz w:val="20"/>
          <w:szCs w:val="20"/>
          <w:shd w:val="clear" w:color="auto" w:fill="FFFFFF"/>
        </w:rPr>
        <w:t xml:space="preserve"> </w:t>
      </w:r>
      <w:proofErr w:type="gramStart"/>
      <w:r w:rsidRPr="00D61FF7">
        <w:rPr>
          <w:rStyle w:val="ref-overlay"/>
          <w:rFonts w:ascii="Times New Roman" w:hAnsi="Times New Roman" w:cs="Times New Roman"/>
          <w:color w:val="000000" w:themeColor="text1"/>
          <w:sz w:val="20"/>
          <w:szCs w:val="20"/>
          <w:shd w:val="clear" w:color="auto" w:fill="FFFFFF"/>
        </w:rPr>
        <w:t>Indian Journal of Plastic Surgery.</w:t>
      </w:r>
      <w:proofErr w:type="gramEnd"/>
      <w:r w:rsidRPr="00D61FF7">
        <w:rPr>
          <w:rStyle w:val="ref-overlay"/>
          <w:rFonts w:ascii="Times New Roman" w:hAnsi="Times New Roman" w:cs="Times New Roman"/>
          <w:color w:val="000000" w:themeColor="text1"/>
          <w:sz w:val="20"/>
          <w:szCs w:val="20"/>
          <w:shd w:val="clear" w:color="auto" w:fill="FFFFFF"/>
        </w:rPr>
        <w:t xml:space="preserve"> </w:t>
      </w:r>
      <w:proofErr w:type="gramStart"/>
      <w:r w:rsidRPr="00D61FF7">
        <w:rPr>
          <w:rStyle w:val="ref-overlay"/>
          <w:rFonts w:ascii="Times New Roman" w:hAnsi="Times New Roman" w:cs="Times New Roman"/>
          <w:color w:val="000000" w:themeColor="text1"/>
          <w:sz w:val="20"/>
          <w:szCs w:val="20"/>
          <w:shd w:val="clear" w:color="auto" w:fill="FFFFFF"/>
        </w:rPr>
        <w:t>43: </w:t>
      </w:r>
      <w:r w:rsidRPr="00D61FF7">
        <w:rPr>
          <w:rStyle w:val="nlmyear"/>
          <w:rFonts w:ascii="Times New Roman" w:hAnsi="Times New Roman" w:cs="Times New Roman"/>
          <w:color w:val="000000" w:themeColor="text1"/>
          <w:sz w:val="20"/>
          <w:szCs w:val="20"/>
          <w:shd w:val="clear" w:color="auto" w:fill="FFFFFF"/>
        </w:rPr>
        <w:t>2010</w:t>
      </w:r>
      <w:r w:rsidRPr="00D61FF7">
        <w:rPr>
          <w:rStyle w:val="ref-overlay"/>
          <w:rFonts w:ascii="Times New Roman" w:hAnsi="Times New Roman" w:cs="Times New Roman"/>
          <w:color w:val="000000" w:themeColor="text1"/>
          <w:sz w:val="20"/>
          <w:szCs w:val="20"/>
          <w:shd w:val="clear" w:color="auto" w:fill="FFFFFF"/>
        </w:rPr>
        <w:t>; </w:t>
      </w:r>
      <w:r w:rsidRPr="00D61FF7">
        <w:rPr>
          <w:rStyle w:val="nlmfpage"/>
          <w:rFonts w:ascii="Times New Roman" w:hAnsi="Times New Roman" w:cs="Times New Roman"/>
          <w:color w:val="000000" w:themeColor="text1"/>
          <w:sz w:val="20"/>
          <w:szCs w:val="20"/>
          <w:shd w:val="clear" w:color="auto" w:fill="FFFFFF"/>
        </w:rPr>
        <w:t>S6</w:t>
      </w:r>
      <w:r w:rsidRPr="00D61FF7">
        <w:rPr>
          <w:rStyle w:val="ref-overlay"/>
          <w:rFonts w:ascii="Times New Roman" w:hAnsi="Times New Roman" w:cs="Times New Roman"/>
          <w:color w:val="000000" w:themeColor="text1"/>
          <w:sz w:val="20"/>
          <w:szCs w:val="20"/>
          <w:shd w:val="clear" w:color="auto" w:fill="FFFFFF"/>
        </w:rPr>
        <w:t>–</w:t>
      </w:r>
      <w:r w:rsidRPr="00D61FF7">
        <w:rPr>
          <w:rStyle w:val="nlmlpage"/>
          <w:rFonts w:ascii="Times New Roman" w:hAnsi="Times New Roman" w:cs="Times New Roman"/>
          <w:color w:val="000000" w:themeColor="text1"/>
          <w:sz w:val="20"/>
          <w:szCs w:val="20"/>
          <w:shd w:val="clear" w:color="auto" w:fill="FFFFFF"/>
        </w:rPr>
        <w:t>10</w:t>
      </w:r>
      <w:r w:rsidRPr="00D61FF7">
        <w:rPr>
          <w:rStyle w:val="ref-overlay"/>
          <w:rFonts w:ascii="Times New Roman" w:hAnsi="Times New Roman" w:cs="Times New Roman"/>
          <w:color w:val="000000" w:themeColor="text1"/>
          <w:sz w:val="20"/>
          <w:szCs w:val="20"/>
          <w:shd w:val="clear" w:color="auto" w:fill="FFFFFF"/>
        </w:rPr>
        <w:t>.</w:t>
      </w:r>
      <w:proofErr w:type="gramEnd"/>
    </w:p>
    <w:p w:rsidR="00594BDC" w:rsidRPr="00D61FF7" w:rsidRDefault="00594BDC" w:rsidP="00804A16">
      <w:pPr>
        <w:pStyle w:val="NoSpacing"/>
        <w:jc w:val="both"/>
        <w:rPr>
          <w:color w:val="000000" w:themeColor="text1"/>
        </w:rPr>
      </w:pPr>
      <w:r w:rsidRPr="00D61FF7">
        <w:rPr>
          <w:rStyle w:val="xlinks-container"/>
          <w:rFonts w:ascii="Times New Roman" w:hAnsi="Times New Roman" w:cs="Times New Roman"/>
          <w:color w:val="000000" w:themeColor="text1"/>
          <w:sz w:val="20"/>
          <w:szCs w:val="20"/>
        </w:rPr>
        <w:t>4.</w:t>
      </w:r>
      <w:r w:rsidRPr="00D61FF7">
        <w:rPr>
          <w:rStyle w:val="Strong"/>
          <w:rFonts w:ascii="Times New Roman" w:hAnsi="Times New Roman" w:cs="Times New Roman"/>
          <w:color w:val="000000" w:themeColor="text1"/>
          <w:sz w:val="20"/>
          <w:szCs w:val="20"/>
        </w:rPr>
        <w:t xml:space="preserve"> </w:t>
      </w:r>
      <w:r w:rsidRPr="00D61FF7">
        <w:rPr>
          <w:rStyle w:val="nlmgiven-names"/>
          <w:rFonts w:ascii="Times New Roman" w:hAnsi="Times New Roman" w:cs="Times New Roman"/>
          <w:b/>
          <w:color w:val="000000" w:themeColor="text1"/>
          <w:sz w:val="20"/>
          <w:szCs w:val="20"/>
          <w:shd w:val="clear" w:color="auto" w:fill="FFFFFF"/>
        </w:rPr>
        <w:t>E.G.</w:t>
      </w:r>
      <w:r w:rsidRPr="00D61FF7">
        <w:rPr>
          <w:rStyle w:val="hlfld-contribauthor"/>
          <w:rFonts w:ascii="Times New Roman" w:hAnsi="Times New Roman" w:cs="Times New Roman"/>
          <w:b/>
          <w:color w:val="000000" w:themeColor="text1"/>
          <w:sz w:val="20"/>
          <w:szCs w:val="20"/>
          <w:shd w:val="clear" w:color="auto" w:fill="FFFFFF"/>
        </w:rPr>
        <w:t> WHO</w:t>
      </w:r>
      <w:r w:rsidRPr="00D61FF7">
        <w:rPr>
          <w:rStyle w:val="ref-overlay"/>
          <w:rFonts w:ascii="Times New Roman" w:hAnsi="Times New Roman" w:cs="Times New Roman"/>
          <w:b/>
          <w:color w:val="000000" w:themeColor="text1"/>
          <w:sz w:val="20"/>
          <w:szCs w:val="20"/>
          <w:shd w:val="clear" w:color="auto" w:fill="FFFFFF"/>
        </w:rPr>
        <w:t>, </w:t>
      </w:r>
      <w:r w:rsidRPr="00D61FF7">
        <w:rPr>
          <w:rStyle w:val="hlfld-contribauthor"/>
          <w:rFonts w:ascii="Times New Roman" w:hAnsi="Times New Roman" w:cs="Times New Roman"/>
          <w:b/>
          <w:color w:val="000000" w:themeColor="text1"/>
          <w:sz w:val="20"/>
          <w:szCs w:val="20"/>
          <w:shd w:val="clear" w:color="auto" w:fill="FFFFFF"/>
        </w:rPr>
        <w:t>Krug</w:t>
      </w:r>
      <w:r w:rsidRPr="00D61FF7">
        <w:rPr>
          <w:rStyle w:val="ref-overlay"/>
          <w:rFonts w:ascii="Times New Roman" w:hAnsi="Times New Roman" w:cs="Times New Roman"/>
          <w:b/>
          <w:color w:val="000000" w:themeColor="text1"/>
          <w:sz w:val="20"/>
          <w:szCs w:val="20"/>
          <w:shd w:val="clear" w:color="auto" w:fill="FFFFFF"/>
        </w:rPr>
        <w:t>, </w:t>
      </w:r>
      <w:r w:rsidRPr="00D61FF7">
        <w:rPr>
          <w:rStyle w:val="nlmgiven-names"/>
          <w:rFonts w:ascii="Times New Roman" w:hAnsi="Times New Roman" w:cs="Times New Roman"/>
          <w:b/>
          <w:color w:val="000000" w:themeColor="text1"/>
          <w:sz w:val="20"/>
          <w:szCs w:val="20"/>
          <w:shd w:val="clear" w:color="auto" w:fill="FFFFFF"/>
        </w:rPr>
        <w:t>L.L.</w:t>
      </w:r>
      <w:r w:rsidRPr="00D61FF7">
        <w:rPr>
          <w:rStyle w:val="hlfld-contribauthor"/>
          <w:rFonts w:ascii="Times New Roman" w:hAnsi="Times New Roman" w:cs="Times New Roman"/>
          <w:b/>
          <w:color w:val="000000" w:themeColor="text1"/>
          <w:sz w:val="20"/>
          <w:szCs w:val="20"/>
          <w:shd w:val="clear" w:color="auto" w:fill="FFFFFF"/>
        </w:rPr>
        <w:t> Dahlberg</w:t>
      </w:r>
      <w:r w:rsidRPr="00D61FF7">
        <w:rPr>
          <w:rStyle w:val="ref-overlay"/>
          <w:rFonts w:ascii="Times New Roman" w:hAnsi="Times New Roman" w:cs="Times New Roman"/>
          <w:b/>
          <w:color w:val="000000" w:themeColor="text1"/>
          <w:sz w:val="20"/>
          <w:szCs w:val="20"/>
          <w:shd w:val="clear" w:color="auto" w:fill="FFFFFF"/>
        </w:rPr>
        <w:t>, </w:t>
      </w:r>
      <w:proofErr w:type="spellStart"/>
      <w:r w:rsidRPr="00D61FF7">
        <w:rPr>
          <w:rStyle w:val="nlmgiven-names"/>
          <w:rFonts w:ascii="Times New Roman" w:hAnsi="Times New Roman" w:cs="Times New Roman"/>
          <w:b/>
          <w:color w:val="000000" w:themeColor="text1"/>
          <w:sz w:val="20"/>
          <w:szCs w:val="20"/>
          <w:shd w:val="clear" w:color="auto" w:fill="FFFFFF"/>
        </w:rPr>
        <w:t>J.A.</w:t>
      </w:r>
      <w:r w:rsidRPr="00D61FF7">
        <w:rPr>
          <w:rStyle w:val="hlfld-contribauthor"/>
          <w:rFonts w:ascii="Times New Roman" w:hAnsi="Times New Roman" w:cs="Times New Roman"/>
          <w:b/>
          <w:color w:val="000000" w:themeColor="text1"/>
          <w:sz w:val="20"/>
          <w:szCs w:val="20"/>
          <w:shd w:val="clear" w:color="auto" w:fill="FFFFFF"/>
        </w:rPr>
        <w:t>Mercy</w:t>
      </w:r>
      <w:proofErr w:type="spellEnd"/>
      <w:r w:rsidRPr="00D61FF7">
        <w:rPr>
          <w:rStyle w:val="ref-overlay"/>
          <w:rFonts w:ascii="Times New Roman" w:hAnsi="Times New Roman" w:cs="Times New Roman"/>
          <w:color w:val="000000" w:themeColor="text1"/>
          <w:sz w:val="20"/>
          <w:szCs w:val="20"/>
          <w:shd w:val="clear" w:color="auto" w:fill="FFFFFF"/>
        </w:rPr>
        <w:t>. </w:t>
      </w:r>
      <w:proofErr w:type="gramStart"/>
      <w:r w:rsidRPr="00D61FF7">
        <w:rPr>
          <w:rStyle w:val="nlmarticle-title"/>
          <w:rFonts w:ascii="Times New Roman" w:hAnsi="Times New Roman" w:cs="Times New Roman"/>
          <w:color w:val="000000" w:themeColor="text1"/>
          <w:sz w:val="20"/>
          <w:szCs w:val="20"/>
          <w:shd w:val="clear" w:color="auto" w:fill="FFFFFF"/>
        </w:rPr>
        <w:t>World report on violence and health</w:t>
      </w:r>
      <w:r w:rsidRPr="00D61FF7">
        <w:rPr>
          <w:rStyle w:val="ref-overlay"/>
          <w:rFonts w:ascii="Times New Roman" w:hAnsi="Times New Roman" w:cs="Times New Roman"/>
          <w:color w:val="000000" w:themeColor="text1"/>
          <w:sz w:val="20"/>
          <w:szCs w:val="20"/>
          <w:shd w:val="clear" w:color="auto" w:fill="FFFFFF"/>
        </w:rPr>
        <w:t>.</w:t>
      </w:r>
      <w:proofErr w:type="gramEnd"/>
      <w:r w:rsidRPr="00D61FF7">
        <w:rPr>
          <w:rStyle w:val="ref-overlay"/>
          <w:rFonts w:ascii="Times New Roman" w:hAnsi="Times New Roman" w:cs="Times New Roman"/>
          <w:color w:val="000000" w:themeColor="text1"/>
          <w:sz w:val="20"/>
          <w:szCs w:val="20"/>
          <w:shd w:val="clear" w:color="auto" w:fill="FFFFFF"/>
        </w:rPr>
        <w:t> </w:t>
      </w:r>
      <w:r w:rsidRPr="00D61FF7">
        <w:rPr>
          <w:rStyle w:val="nlmyear"/>
          <w:rFonts w:ascii="Times New Roman" w:hAnsi="Times New Roman" w:cs="Times New Roman"/>
          <w:color w:val="000000" w:themeColor="text1"/>
          <w:sz w:val="20"/>
          <w:szCs w:val="20"/>
          <w:shd w:val="clear" w:color="auto" w:fill="FFFFFF"/>
        </w:rPr>
        <w:t>2002</w:t>
      </w:r>
      <w:r w:rsidRPr="00D61FF7">
        <w:rPr>
          <w:rStyle w:val="ref-overlay"/>
          <w:rFonts w:ascii="Times New Roman" w:hAnsi="Times New Roman" w:cs="Times New Roman"/>
          <w:color w:val="000000" w:themeColor="text1"/>
          <w:sz w:val="20"/>
          <w:szCs w:val="20"/>
          <w:shd w:val="clear" w:color="auto" w:fill="FFFFFF"/>
        </w:rPr>
        <w:t>; </w:t>
      </w:r>
      <w:r w:rsidRPr="00D61FF7">
        <w:rPr>
          <w:rStyle w:val="nlmpublisher-name"/>
          <w:rFonts w:ascii="Times New Roman" w:hAnsi="Times New Roman" w:cs="Times New Roman"/>
          <w:color w:val="000000" w:themeColor="text1"/>
          <w:sz w:val="20"/>
          <w:szCs w:val="20"/>
          <w:shd w:val="clear" w:color="auto" w:fill="FFFFFF"/>
        </w:rPr>
        <w:t>WHO</w:t>
      </w:r>
      <w:r w:rsidRPr="00D61FF7">
        <w:rPr>
          <w:rStyle w:val="ref-overlay"/>
          <w:rFonts w:ascii="Times New Roman" w:hAnsi="Times New Roman" w:cs="Times New Roman"/>
          <w:color w:val="000000" w:themeColor="text1"/>
          <w:sz w:val="20"/>
          <w:szCs w:val="20"/>
          <w:shd w:val="clear" w:color="auto" w:fill="FFFFFF"/>
        </w:rPr>
        <w:t>: </w:t>
      </w:r>
      <w:r w:rsidRPr="00D61FF7">
        <w:rPr>
          <w:rStyle w:val="nlmpublisher-loc"/>
          <w:rFonts w:ascii="Times New Roman" w:hAnsi="Times New Roman" w:cs="Times New Roman"/>
          <w:color w:val="000000" w:themeColor="text1"/>
          <w:sz w:val="20"/>
          <w:szCs w:val="20"/>
          <w:shd w:val="clear" w:color="auto" w:fill="FFFFFF"/>
        </w:rPr>
        <w:t>Geneva</w:t>
      </w:r>
      <w:r w:rsidRPr="00D61FF7">
        <w:rPr>
          <w:rStyle w:val="ref-overlay"/>
          <w:rFonts w:ascii="Times New Roman" w:hAnsi="Times New Roman" w:cs="Times New Roman"/>
          <w:color w:val="000000" w:themeColor="text1"/>
          <w:sz w:val="20"/>
          <w:szCs w:val="20"/>
          <w:shd w:val="clear" w:color="auto" w:fill="FFFFFF"/>
        </w:rPr>
        <w:t>.</w:t>
      </w:r>
      <w:r w:rsidRPr="00D61FF7">
        <w:rPr>
          <w:rStyle w:val="ref-links"/>
          <w:rFonts w:ascii="Times New Roman" w:hAnsi="Times New Roman" w:cs="Times New Roman"/>
          <w:color w:val="000000" w:themeColor="text1"/>
          <w:sz w:val="20"/>
          <w:szCs w:val="20"/>
          <w:shd w:val="clear" w:color="auto" w:fill="FFFFFF"/>
        </w:rPr>
        <w:t> </w:t>
      </w:r>
    </w:p>
    <w:p w:rsidR="00594BDC" w:rsidRPr="00D61FF7" w:rsidRDefault="00594BDC" w:rsidP="00804A16">
      <w:pPr>
        <w:pStyle w:val="NoSpacing"/>
        <w:jc w:val="both"/>
        <w:rPr>
          <w:color w:val="000000" w:themeColor="text1"/>
        </w:rPr>
      </w:pPr>
      <w:r w:rsidRPr="00D61FF7">
        <w:rPr>
          <w:color w:val="000000" w:themeColor="text1"/>
        </w:rPr>
        <w:t>5.</w:t>
      </w:r>
      <w:r w:rsidRPr="00D61FF7">
        <w:rPr>
          <w:rStyle w:val="Strong"/>
          <w:rFonts w:ascii="Times New Roman" w:hAnsi="Times New Roman" w:cs="Times New Roman"/>
          <w:color w:val="000000" w:themeColor="text1"/>
          <w:sz w:val="20"/>
          <w:szCs w:val="20"/>
        </w:rPr>
        <w:t xml:space="preserve"> </w:t>
      </w:r>
      <w:r w:rsidRPr="00D61FF7">
        <w:rPr>
          <w:rStyle w:val="nlmgiven-names"/>
          <w:rFonts w:ascii="Times New Roman" w:hAnsi="Times New Roman" w:cs="Times New Roman"/>
          <w:b/>
          <w:color w:val="000000" w:themeColor="text1"/>
          <w:sz w:val="20"/>
          <w:szCs w:val="20"/>
          <w:shd w:val="clear" w:color="auto" w:fill="FFFFFF"/>
        </w:rPr>
        <w:t>P.S.</w:t>
      </w:r>
      <w:r w:rsidRPr="00D61FF7">
        <w:rPr>
          <w:rStyle w:val="hlfld-contribauthor"/>
          <w:rFonts w:ascii="Times New Roman" w:hAnsi="Times New Roman" w:cs="Times New Roman"/>
          <w:b/>
          <w:color w:val="000000" w:themeColor="text1"/>
          <w:sz w:val="20"/>
          <w:szCs w:val="20"/>
          <w:shd w:val="clear" w:color="auto" w:fill="FFFFFF"/>
        </w:rPr>
        <w:t> Ribeiro</w:t>
      </w:r>
      <w:r w:rsidRPr="00D61FF7">
        <w:rPr>
          <w:rStyle w:val="ref-overlay"/>
          <w:rFonts w:ascii="Times New Roman" w:hAnsi="Times New Roman" w:cs="Times New Roman"/>
          <w:b/>
          <w:color w:val="000000" w:themeColor="text1"/>
          <w:sz w:val="20"/>
          <w:szCs w:val="20"/>
          <w:shd w:val="clear" w:color="auto" w:fill="FFFFFF"/>
        </w:rPr>
        <w:t>, </w:t>
      </w:r>
      <w:r w:rsidRPr="00D61FF7">
        <w:rPr>
          <w:rStyle w:val="nlmgiven-names"/>
          <w:rFonts w:ascii="Times New Roman" w:hAnsi="Times New Roman" w:cs="Times New Roman"/>
          <w:b/>
          <w:color w:val="000000" w:themeColor="text1"/>
          <w:sz w:val="20"/>
          <w:szCs w:val="20"/>
          <w:shd w:val="clear" w:color="auto" w:fill="FFFFFF"/>
        </w:rPr>
        <w:t>K.H.</w:t>
      </w:r>
      <w:r w:rsidRPr="00D61FF7">
        <w:rPr>
          <w:rStyle w:val="hlfld-contribauthor"/>
          <w:rFonts w:ascii="Times New Roman" w:hAnsi="Times New Roman" w:cs="Times New Roman"/>
          <w:b/>
          <w:color w:val="000000" w:themeColor="text1"/>
          <w:sz w:val="20"/>
          <w:szCs w:val="20"/>
          <w:shd w:val="clear" w:color="auto" w:fill="FFFFFF"/>
        </w:rPr>
        <w:t> Jacobsen</w:t>
      </w:r>
      <w:r w:rsidRPr="00D61FF7">
        <w:rPr>
          <w:rStyle w:val="ref-overlay"/>
          <w:rFonts w:ascii="Times New Roman" w:hAnsi="Times New Roman" w:cs="Times New Roman"/>
          <w:b/>
          <w:color w:val="000000" w:themeColor="text1"/>
          <w:sz w:val="20"/>
          <w:szCs w:val="20"/>
          <w:shd w:val="clear" w:color="auto" w:fill="FFFFFF"/>
        </w:rPr>
        <w:t>, </w:t>
      </w:r>
      <w:proofErr w:type="spellStart"/>
      <w:r w:rsidRPr="00D61FF7">
        <w:rPr>
          <w:rStyle w:val="nlmgiven-names"/>
          <w:rFonts w:ascii="Times New Roman" w:hAnsi="Times New Roman" w:cs="Times New Roman"/>
          <w:b/>
          <w:color w:val="000000" w:themeColor="text1"/>
          <w:sz w:val="20"/>
          <w:szCs w:val="20"/>
          <w:shd w:val="clear" w:color="auto" w:fill="FFFFFF"/>
        </w:rPr>
        <w:t>C.D.</w:t>
      </w:r>
      <w:r w:rsidRPr="00D61FF7">
        <w:rPr>
          <w:rStyle w:val="hlfld-contribauthor"/>
          <w:rFonts w:ascii="Times New Roman" w:hAnsi="Times New Roman" w:cs="Times New Roman"/>
          <w:b/>
          <w:color w:val="000000" w:themeColor="text1"/>
          <w:sz w:val="20"/>
          <w:szCs w:val="20"/>
          <w:shd w:val="clear" w:color="auto" w:fill="FFFFFF"/>
        </w:rPr>
        <w:t>Mathers</w:t>
      </w:r>
      <w:proofErr w:type="spellEnd"/>
      <w:r w:rsidRPr="00D61FF7">
        <w:rPr>
          <w:rStyle w:val="ref-overlay"/>
          <w:rFonts w:ascii="Times New Roman" w:hAnsi="Times New Roman" w:cs="Times New Roman"/>
          <w:color w:val="000000" w:themeColor="text1"/>
          <w:sz w:val="20"/>
          <w:szCs w:val="20"/>
          <w:shd w:val="clear" w:color="auto" w:fill="FFFFFF"/>
        </w:rPr>
        <w:t>. </w:t>
      </w:r>
      <w:r w:rsidRPr="00D61FF7">
        <w:rPr>
          <w:rStyle w:val="nlmarticle-title"/>
          <w:rFonts w:ascii="Times New Roman" w:hAnsi="Times New Roman" w:cs="Times New Roman"/>
          <w:color w:val="000000" w:themeColor="text1"/>
          <w:sz w:val="20"/>
          <w:szCs w:val="20"/>
          <w:shd w:val="clear" w:color="auto" w:fill="FFFFFF"/>
        </w:rPr>
        <w:t>Priorities for women’s health from the Global Burden of Disease study</w:t>
      </w:r>
      <w:r w:rsidRPr="00D61FF7">
        <w:rPr>
          <w:rStyle w:val="ref-overlay"/>
          <w:rFonts w:ascii="Times New Roman" w:hAnsi="Times New Roman" w:cs="Times New Roman"/>
          <w:color w:val="000000" w:themeColor="text1"/>
          <w:sz w:val="20"/>
          <w:szCs w:val="20"/>
          <w:shd w:val="clear" w:color="auto" w:fill="FFFFFF"/>
        </w:rPr>
        <w:t xml:space="preserve">. </w:t>
      </w:r>
      <w:proofErr w:type="gramStart"/>
      <w:r w:rsidRPr="00D61FF7">
        <w:rPr>
          <w:rStyle w:val="ref-overlay"/>
          <w:rFonts w:ascii="Times New Roman" w:hAnsi="Times New Roman" w:cs="Times New Roman"/>
          <w:color w:val="000000" w:themeColor="text1"/>
          <w:sz w:val="20"/>
          <w:szCs w:val="20"/>
          <w:shd w:val="clear" w:color="auto" w:fill="FFFFFF"/>
        </w:rPr>
        <w:t>International Journal of Gynaecology and Obstetrics.</w:t>
      </w:r>
      <w:proofErr w:type="gramEnd"/>
      <w:r w:rsidRPr="00D61FF7">
        <w:rPr>
          <w:rStyle w:val="ref-overlay"/>
          <w:rFonts w:ascii="Times New Roman" w:hAnsi="Times New Roman" w:cs="Times New Roman"/>
          <w:color w:val="000000" w:themeColor="text1"/>
          <w:sz w:val="20"/>
          <w:szCs w:val="20"/>
          <w:shd w:val="clear" w:color="auto" w:fill="FFFFFF"/>
        </w:rPr>
        <w:t xml:space="preserve"> 102: </w:t>
      </w:r>
      <w:r w:rsidRPr="00D61FF7">
        <w:rPr>
          <w:rStyle w:val="nlmyear"/>
          <w:rFonts w:ascii="Times New Roman" w:hAnsi="Times New Roman" w:cs="Times New Roman"/>
          <w:color w:val="000000" w:themeColor="text1"/>
          <w:sz w:val="20"/>
          <w:szCs w:val="20"/>
          <w:shd w:val="clear" w:color="auto" w:fill="FFFFFF"/>
        </w:rPr>
        <w:t>2008</w:t>
      </w:r>
      <w:r w:rsidRPr="00D61FF7">
        <w:rPr>
          <w:rStyle w:val="ref-overlay"/>
          <w:rFonts w:ascii="Times New Roman" w:hAnsi="Times New Roman" w:cs="Times New Roman"/>
          <w:color w:val="000000" w:themeColor="text1"/>
          <w:sz w:val="20"/>
          <w:szCs w:val="20"/>
          <w:shd w:val="clear" w:color="auto" w:fill="FFFFFF"/>
        </w:rPr>
        <w:t>; </w:t>
      </w:r>
      <w:r w:rsidRPr="00D61FF7">
        <w:rPr>
          <w:rStyle w:val="nlmfpage"/>
          <w:rFonts w:ascii="Times New Roman" w:hAnsi="Times New Roman" w:cs="Times New Roman"/>
          <w:color w:val="000000" w:themeColor="text1"/>
          <w:sz w:val="20"/>
          <w:szCs w:val="20"/>
          <w:shd w:val="clear" w:color="auto" w:fill="FFFFFF"/>
        </w:rPr>
        <w:t>82</w:t>
      </w:r>
      <w:r w:rsidRPr="00D61FF7">
        <w:rPr>
          <w:rStyle w:val="ref-overlay"/>
          <w:rFonts w:ascii="Times New Roman" w:hAnsi="Times New Roman" w:cs="Times New Roman"/>
          <w:color w:val="000000" w:themeColor="text1"/>
          <w:sz w:val="20"/>
          <w:szCs w:val="20"/>
          <w:shd w:val="clear" w:color="auto" w:fill="FFFFFF"/>
        </w:rPr>
        <w:t>–</w:t>
      </w:r>
      <w:r w:rsidRPr="00D61FF7">
        <w:rPr>
          <w:rStyle w:val="nlmlpage"/>
          <w:rFonts w:ascii="Times New Roman" w:hAnsi="Times New Roman" w:cs="Times New Roman"/>
          <w:color w:val="000000" w:themeColor="text1"/>
          <w:sz w:val="20"/>
          <w:szCs w:val="20"/>
          <w:shd w:val="clear" w:color="auto" w:fill="FFFFFF"/>
        </w:rPr>
        <w:t>90</w:t>
      </w:r>
      <w:r w:rsidRPr="00D61FF7">
        <w:rPr>
          <w:rStyle w:val="ref-overlay"/>
          <w:rFonts w:ascii="Times New Roman" w:hAnsi="Times New Roman" w:cs="Times New Roman"/>
          <w:color w:val="000000" w:themeColor="text1"/>
          <w:sz w:val="20"/>
          <w:szCs w:val="20"/>
          <w:shd w:val="clear" w:color="auto" w:fill="FFFFFF"/>
        </w:rPr>
        <w:t>.</w:t>
      </w:r>
      <w:r w:rsidRPr="00D61FF7">
        <w:rPr>
          <w:color w:val="000000" w:themeColor="text1"/>
        </w:rPr>
        <w:t xml:space="preserve"> </w:t>
      </w:r>
    </w:p>
    <w:p w:rsidR="00594BDC" w:rsidRPr="00D61FF7" w:rsidRDefault="00594BDC" w:rsidP="00804A16">
      <w:pPr>
        <w:pStyle w:val="NoSpacing"/>
        <w:jc w:val="both"/>
        <w:rPr>
          <w:color w:val="000000" w:themeColor="text1"/>
        </w:rPr>
      </w:pPr>
      <w:r w:rsidRPr="00D61FF7">
        <w:rPr>
          <w:color w:val="000000" w:themeColor="text1"/>
        </w:rPr>
        <w:t>6.</w:t>
      </w:r>
      <w:r w:rsidRPr="00D61FF7">
        <w:rPr>
          <w:rStyle w:val="Strong"/>
          <w:rFonts w:ascii="Times New Roman" w:hAnsi="Times New Roman" w:cs="Times New Roman"/>
          <w:color w:val="000000" w:themeColor="text1"/>
          <w:sz w:val="20"/>
          <w:szCs w:val="20"/>
        </w:rPr>
        <w:t xml:space="preserve"> </w:t>
      </w:r>
      <w:r w:rsidRPr="00D61FF7">
        <w:rPr>
          <w:rStyle w:val="nlmgiven-names"/>
          <w:rFonts w:ascii="Times New Roman" w:hAnsi="Times New Roman" w:cs="Times New Roman"/>
          <w:b/>
          <w:color w:val="000000" w:themeColor="text1"/>
          <w:sz w:val="20"/>
          <w:szCs w:val="20"/>
          <w:shd w:val="clear" w:color="auto" w:fill="FFFFFF"/>
        </w:rPr>
        <w:t>C.</w:t>
      </w:r>
      <w:r w:rsidRPr="00D61FF7">
        <w:rPr>
          <w:rStyle w:val="hlfld-contribauthor"/>
          <w:rFonts w:ascii="Times New Roman" w:hAnsi="Times New Roman" w:cs="Times New Roman"/>
          <w:b/>
          <w:color w:val="000000" w:themeColor="text1"/>
          <w:sz w:val="20"/>
          <w:szCs w:val="20"/>
          <w:shd w:val="clear" w:color="auto" w:fill="FFFFFF"/>
        </w:rPr>
        <w:t> Garcia-Moreno</w:t>
      </w:r>
      <w:r w:rsidRPr="00D61FF7">
        <w:rPr>
          <w:rStyle w:val="ref-overlay"/>
          <w:rFonts w:ascii="Times New Roman" w:hAnsi="Times New Roman" w:cs="Times New Roman"/>
          <w:color w:val="000000" w:themeColor="text1"/>
          <w:sz w:val="20"/>
          <w:szCs w:val="20"/>
          <w:shd w:val="clear" w:color="auto" w:fill="FFFFFF"/>
        </w:rPr>
        <w:t>. </w:t>
      </w:r>
      <w:proofErr w:type="gramStart"/>
      <w:r w:rsidRPr="00D61FF7">
        <w:rPr>
          <w:rStyle w:val="nlmarticle-title"/>
          <w:rFonts w:ascii="Times New Roman" w:hAnsi="Times New Roman" w:cs="Times New Roman"/>
          <w:color w:val="000000" w:themeColor="text1"/>
          <w:sz w:val="20"/>
          <w:szCs w:val="20"/>
          <w:shd w:val="clear" w:color="auto" w:fill="FFFFFF"/>
        </w:rPr>
        <w:t>Gender inequality and fire-related deaths in India</w:t>
      </w:r>
      <w:r w:rsidRPr="00D61FF7">
        <w:rPr>
          <w:rStyle w:val="ref-overlay"/>
          <w:rFonts w:ascii="Times New Roman" w:hAnsi="Times New Roman" w:cs="Times New Roman"/>
          <w:color w:val="000000" w:themeColor="text1"/>
          <w:sz w:val="20"/>
          <w:szCs w:val="20"/>
          <w:shd w:val="clear" w:color="auto" w:fill="FFFFFF"/>
        </w:rPr>
        <w:t>.</w:t>
      </w:r>
      <w:proofErr w:type="gramEnd"/>
      <w:r w:rsidRPr="00D61FF7">
        <w:rPr>
          <w:rStyle w:val="ref-overlay"/>
          <w:rFonts w:ascii="Times New Roman" w:hAnsi="Times New Roman" w:cs="Times New Roman"/>
          <w:color w:val="000000" w:themeColor="text1"/>
          <w:sz w:val="20"/>
          <w:szCs w:val="20"/>
          <w:shd w:val="clear" w:color="auto" w:fill="FFFFFF"/>
        </w:rPr>
        <w:t xml:space="preserve"> </w:t>
      </w:r>
      <w:proofErr w:type="gramStart"/>
      <w:r w:rsidRPr="00D61FF7">
        <w:rPr>
          <w:rStyle w:val="ref-overlay"/>
          <w:rFonts w:ascii="Times New Roman" w:hAnsi="Times New Roman" w:cs="Times New Roman"/>
          <w:color w:val="000000" w:themeColor="text1"/>
          <w:sz w:val="20"/>
          <w:szCs w:val="20"/>
          <w:shd w:val="clear" w:color="auto" w:fill="FFFFFF"/>
        </w:rPr>
        <w:t>Lancet.</w:t>
      </w:r>
      <w:proofErr w:type="gramEnd"/>
      <w:r w:rsidRPr="00D61FF7">
        <w:rPr>
          <w:rStyle w:val="ref-overlay"/>
          <w:rFonts w:ascii="Times New Roman" w:hAnsi="Times New Roman" w:cs="Times New Roman"/>
          <w:color w:val="000000" w:themeColor="text1"/>
          <w:sz w:val="20"/>
          <w:szCs w:val="20"/>
          <w:shd w:val="clear" w:color="auto" w:fill="FFFFFF"/>
        </w:rPr>
        <w:t xml:space="preserve"> 73(9671): </w:t>
      </w:r>
      <w:r w:rsidRPr="00D61FF7">
        <w:rPr>
          <w:rStyle w:val="nlmyear"/>
          <w:rFonts w:ascii="Times New Roman" w:hAnsi="Times New Roman" w:cs="Times New Roman"/>
          <w:color w:val="000000" w:themeColor="text1"/>
          <w:sz w:val="20"/>
          <w:szCs w:val="20"/>
          <w:shd w:val="clear" w:color="auto" w:fill="FFFFFF"/>
        </w:rPr>
        <w:t>2009</w:t>
      </w:r>
      <w:r w:rsidRPr="00D61FF7">
        <w:rPr>
          <w:rStyle w:val="ref-overlay"/>
          <w:rFonts w:ascii="Times New Roman" w:hAnsi="Times New Roman" w:cs="Times New Roman"/>
          <w:color w:val="000000" w:themeColor="text1"/>
          <w:sz w:val="20"/>
          <w:szCs w:val="20"/>
          <w:shd w:val="clear" w:color="auto" w:fill="FFFFFF"/>
        </w:rPr>
        <w:t>; </w:t>
      </w:r>
      <w:r w:rsidRPr="00D61FF7">
        <w:rPr>
          <w:rStyle w:val="nlmfpage"/>
          <w:rFonts w:ascii="Times New Roman" w:hAnsi="Times New Roman" w:cs="Times New Roman"/>
          <w:color w:val="000000" w:themeColor="text1"/>
          <w:sz w:val="20"/>
          <w:szCs w:val="20"/>
          <w:shd w:val="clear" w:color="auto" w:fill="FFFFFF"/>
        </w:rPr>
        <w:t>1230</w:t>
      </w:r>
      <w:r w:rsidRPr="00D61FF7">
        <w:rPr>
          <w:rStyle w:val="ref-overlay"/>
          <w:rFonts w:ascii="Times New Roman" w:hAnsi="Times New Roman" w:cs="Times New Roman"/>
          <w:color w:val="000000" w:themeColor="text1"/>
          <w:sz w:val="20"/>
          <w:szCs w:val="20"/>
          <w:shd w:val="clear" w:color="auto" w:fill="FFFFFF"/>
        </w:rPr>
        <w:t>–</w:t>
      </w:r>
      <w:r w:rsidRPr="00D61FF7">
        <w:rPr>
          <w:rStyle w:val="nlmlpage"/>
          <w:rFonts w:ascii="Times New Roman" w:hAnsi="Times New Roman" w:cs="Times New Roman"/>
          <w:color w:val="000000" w:themeColor="text1"/>
          <w:sz w:val="20"/>
          <w:szCs w:val="20"/>
          <w:shd w:val="clear" w:color="auto" w:fill="FFFFFF"/>
        </w:rPr>
        <w:t>1231</w:t>
      </w:r>
      <w:r w:rsidRPr="00D61FF7">
        <w:rPr>
          <w:rStyle w:val="ref-overlay"/>
          <w:rFonts w:ascii="Times New Roman" w:hAnsi="Times New Roman" w:cs="Times New Roman"/>
          <w:color w:val="000000" w:themeColor="text1"/>
          <w:sz w:val="20"/>
          <w:szCs w:val="20"/>
          <w:shd w:val="clear" w:color="auto" w:fill="FFFFFF"/>
        </w:rPr>
        <w:t>.</w:t>
      </w:r>
    </w:p>
    <w:p w:rsidR="00594BDC" w:rsidRPr="00D61FF7" w:rsidRDefault="00594BDC" w:rsidP="00804A16">
      <w:pPr>
        <w:pStyle w:val="NoSpacing"/>
        <w:jc w:val="both"/>
        <w:rPr>
          <w:b/>
          <w:color w:val="000000" w:themeColor="text1"/>
        </w:rPr>
      </w:pPr>
      <w:r w:rsidRPr="00D61FF7">
        <w:rPr>
          <w:color w:val="000000" w:themeColor="text1"/>
        </w:rPr>
        <w:t xml:space="preserve">7. </w:t>
      </w:r>
      <w:r w:rsidRPr="00D61FF7">
        <w:rPr>
          <w:b/>
          <w:color w:val="000000" w:themeColor="text1"/>
        </w:rPr>
        <w:t xml:space="preserve">Chawla R, </w:t>
      </w:r>
      <w:proofErr w:type="spellStart"/>
      <w:r w:rsidRPr="00D61FF7">
        <w:rPr>
          <w:b/>
          <w:color w:val="000000" w:themeColor="text1"/>
        </w:rPr>
        <w:t>Chanana</w:t>
      </w:r>
      <w:proofErr w:type="spellEnd"/>
      <w:r w:rsidRPr="00D61FF7">
        <w:rPr>
          <w:b/>
          <w:color w:val="000000" w:themeColor="text1"/>
        </w:rPr>
        <w:t xml:space="preserve"> A, Rai H, Aggarwal A.D, </w:t>
      </w:r>
      <w:proofErr w:type="spellStart"/>
      <w:r w:rsidRPr="00D61FF7">
        <w:rPr>
          <w:b/>
          <w:color w:val="000000" w:themeColor="text1"/>
        </w:rPr>
        <w:t>SinghH</w:t>
      </w:r>
      <w:proofErr w:type="spellEnd"/>
      <w:r w:rsidRPr="00D61FF7">
        <w:rPr>
          <w:b/>
          <w:color w:val="000000" w:themeColor="text1"/>
        </w:rPr>
        <w:t xml:space="preserve">, </w:t>
      </w:r>
      <w:proofErr w:type="spellStart"/>
      <w:r w:rsidRPr="00D61FF7">
        <w:rPr>
          <w:b/>
          <w:color w:val="000000" w:themeColor="text1"/>
        </w:rPr>
        <w:t>Sharma.</w:t>
      </w:r>
      <w:r w:rsidRPr="00D61FF7">
        <w:rPr>
          <w:color w:val="000000" w:themeColor="text1"/>
        </w:rPr>
        <w:t>A</w:t>
      </w:r>
      <w:proofErr w:type="spellEnd"/>
      <w:r w:rsidRPr="00D61FF7">
        <w:rPr>
          <w:color w:val="000000" w:themeColor="text1"/>
        </w:rPr>
        <w:t xml:space="preserve"> Two-year Burns Fatality Study. J</w:t>
      </w:r>
    </w:p>
    <w:p w:rsidR="00594BDC" w:rsidRPr="00D61FF7" w:rsidRDefault="00594BDC" w:rsidP="00804A16">
      <w:pPr>
        <w:pStyle w:val="NoSpacing"/>
        <w:jc w:val="both"/>
        <w:rPr>
          <w:color w:val="000000" w:themeColor="text1"/>
        </w:rPr>
      </w:pPr>
      <w:r w:rsidRPr="00D61FF7">
        <w:rPr>
          <w:color w:val="000000" w:themeColor="text1"/>
        </w:rPr>
        <w:t xml:space="preserve">Indian </w:t>
      </w:r>
      <w:proofErr w:type="spellStart"/>
      <w:r w:rsidRPr="00D61FF7">
        <w:rPr>
          <w:color w:val="000000" w:themeColor="text1"/>
        </w:rPr>
        <w:t>Acad</w:t>
      </w:r>
      <w:proofErr w:type="spellEnd"/>
      <w:r w:rsidRPr="00D61FF7">
        <w:rPr>
          <w:color w:val="000000" w:themeColor="text1"/>
        </w:rPr>
        <w:t xml:space="preserve"> For Med 2010</w:t>
      </w:r>
      <w:proofErr w:type="gramStart"/>
      <w:r w:rsidRPr="00D61FF7">
        <w:rPr>
          <w:color w:val="000000" w:themeColor="text1"/>
        </w:rPr>
        <w:t>;32</w:t>
      </w:r>
      <w:proofErr w:type="gramEnd"/>
      <w:r w:rsidRPr="00D61FF7">
        <w:rPr>
          <w:color w:val="000000" w:themeColor="text1"/>
        </w:rPr>
        <w:t>(4):292-297</w:t>
      </w:r>
    </w:p>
    <w:p w:rsidR="00594BDC" w:rsidRPr="00D61FF7" w:rsidRDefault="00594BDC" w:rsidP="00804A16">
      <w:pPr>
        <w:pStyle w:val="NoSpacing"/>
        <w:jc w:val="both"/>
        <w:rPr>
          <w:color w:val="000000" w:themeColor="text1"/>
        </w:rPr>
      </w:pPr>
      <w:r w:rsidRPr="00D61FF7">
        <w:rPr>
          <w:color w:val="000000" w:themeColor="text1"/>
        </w:rPr>
        <w:t xml:space="preserve">8. </w:t>
      </w:r>
      <w:proofErr w:type="spellStart"/>
      <w:r w:rsidRPr="00D61FF7">
        <w:rPr>
          <w:b/>
          <w:color w:val="000000" w:themeColor="text1"/>
        </w:rPr>
        <w:t>Mazumder</w:t>
      </w:r>
      <w:proofErr w:type="spellEnd"/>
      <w:r w:rsidRPr="00D61FF7">
        <w:rPr>
          <w:b/>
          <w:color w:val="000000" w:themeColor="text1"/>
        </w:rPr>
        <w:t xml:space="preserve"> A, </w:t>
      </w:r>
      <w:proofErr w:type="spellStart"/>
      <w:r w:rsidRPr="00D61FF7">
        <w:rPr>
          <w:b/>
          <w:color w:val="000000" w:themeColor="text1"/>
        </w:rPr>
        <w:t>Patowary</w:t>
      </w:r>
      <w:proofErr w:type="spellEnd"/>
      <w:r w:rsidRPr="00D61FF7">
        <w:rPr>
          <w:b/>
          <w:color w:val="000000" w:themeColor="text1"/>
        </w:rPr>
        <w:t xml:space="preserve"> A.</w:t>
      </w:r>
      <w:r w:rsidRPr="00D61FF7">
        <w:rPr>
          <w:color w:val="000000" w:themeColor="text1"/>
        </w:rPr>
        <w:t xml:space="preserve"> </w:t>
      </w:r>
      <w:proofErr w:type="gramStart"/>
      <w:r w:rsidRPr="00D61FF7">
        <w:rPr>
          <w:color w:val="000000" w:themeColor="text1"/>
        </w:rPr>
        <w:t>A Study of Pattern of Burn Injury Cases.</w:t>
      </w:r>
      <w:proofErr w:type="gramEnd"/>
      <w:r w:rsidRPr="00D61FF7">
        <w:rPr>
          <w:color w:val="000000" w:themeColor="text1"/>
        </w:rPr>
        <w:t xml:space="preserve"> J </w:t>
      </w:r>
      <w:proofErr w:type="spellStart"/>
      <w:r w:rsidRPr="00D61FF7">
        <w:rPr>
          <w:color w:val="000000" w:themeColor="text1"/>
        </w:rPr>
        <w:t>Ind</w:t>
      </w:r>
      <w:proofErr w:type="spellEnd"/>
      <w:r w:rsidRPr="00D61FF7">
        <w:rPr>
          <w:color w:val="000000" w:themeColor="text1"/>
        </w:rPr>
        <w:t xml:space="preserve"> </w:t>
      </w:r>
      <w:proofErr w:type="spellStart"/>
      <w:r w:rsidRPr="00D61FF7">
        <w:rPr>
          <w:color w:val="000000" w:themeColor="text1"/>
        </w:rPr>
        <w:t>Acad</w:t>
      </w:r>
      <w:proofErr w:type="spellEnd"/>
      <w:r w:rsidRPr="00D61FF7">
        <w:rPr>
          <w:color w:val="000000" w:themeColor="text1"/>
        </w:rPr>
        <w:t xml:space="preserve"> For Med</w:t>
      </w:r>
    </w:p>
    <w:p w:rsidR="00594BDC" w:rsidRPr="00D61FF7" w:rsidRDefault="00594BDC" w:rsidP="00804A16">
      <w:pPr>
        <w:pStyle w:val="NoSpacing"/>
        <w:jc w:val="both"/>
        <w:rPr>
          <w:color w:val="000000" w:themeColor="text1"/>
        </w:rPr>
      </w:pPr>
      <w:r w:rsidRPr="00D61FF7">
        <w:rPr>
          <w:color w:val="000000" w:themeColor="text1"/>
        </w:rPr>
        <w:t>2013</w:t>
      </w:r>
      <w:proofErr w:type="gramStart"/>
      <w:r w:rsidRPr="00D61FF7">
        <w:rPr>
          <w:color w:val="000000" w:themeColor="text1"/>
        </w:rPr>
        <w:t>;35</w:t>
      </w:r>
      <w:proofErr w:type="gramEnd"/>
      <w:r w:rsidRPr="00D61FF7">
        <w:rPr>
          <w:color w:val="000000" w:themeColor="text1"/>
        </w:rPr>
        <w:t>(1):44-46</w:t>
      </w:r>
    </w:p>
    <w:p w:rsidR="00594BDC" w:rsidRPr="00D61FF7" w:rsidRDefault="00594BDC" w:rsidP="00804A16">
      <w:pPr>
        <w:pStyle w:val="NoSpacing"/>
        <w:jc w:val="both"/>
        <w:rPr>
          <w:color w:val="000000" w:themeColor="text1"/>
        </w:rPr>
      </w:pPr>
      <w:r w:rsidRPr="00D61FF7">
        <w:rPr>
          <w:color w:val="000000" w:themeColor="text1"/>
        </w:rPr>
        <w:t xml:space="preserve">9. </w:t>
      </w:r>
      <w:r w:rsidRPr="00D61FF7">
        <w:rPr>
          <w:b/>
          <w:color w:val="000000" w:themeColor="text1"/>
        </w:rPr>
        <w:t xml:space="preserve">Aggarwal BBL, Chandra J.A </w:t>
      </w:r>
      <w:r w:rsidRPr="00D61FF7">
        <w:rPr>
          <w:color w:val="000000" w:themeColor="text1"/>
        </w:rPr>
        <w:t xml:space="preserve">Study of Fatal </w:t>
      </w:r>
      <w:proofErr w:type="spellStart"/>
      <w:r w:rsidRPr="00D61FF7">
        <w:rPr>
          <w:color w:val="000000" w:themeColor="text1"/>
        </w:rPr>
        <w:t>Casesof</w:t>
      </w:r>
      <w:proofErr w:type="spellEnd"/>
      <w:r w:rsidRPr="00D61FF7">
        <w:rPr>
          <w:color w:val="000000" w:themeColor="text1"/>
        </w:rPr>
        <w:t xml:space="preserve"> Burns in South Zone Delhi. Punjab MedJ1970;</w:t>
      </w:r>
    </w:p>
    <w:p w:rsidR="00594BDC" w:rsidRPr="00D61FF7" w:rsidRDefault="00594BDC" w:rsidP="00804A16">
      <w:pPr>
        <w:pStyle w:val="NoSpacing"/>
        <w:jc w:val="both"/>
        <w:rPr>
          <w:color w:val="000000" w:themeColor="text1"/>
        </w:rPr>
      </w:pPr>
      <w:r w:rsidRPr="00D61FF7">
        <w:rPr>
          <w:color w:val="000000" w:themeColor="text1"/>
        </w:rPr>
        <w:t>20(12): 451.</w:t>
      </w:r>
    </w:p>
    <w:p w:rsidR="00594BDC" w:rsidRPr="00D61FF7" w:rsidRDefault="00594BDC" w:rsidP="00804A16">
      <w:pPr>
        <w:pStyle w:val="NoSpacing"/>
        <w:jc w:val="both"/>
        <w:rPr>
          <w:color w:val="000000" w:themeColor="text1"/>
        </w:rPr>
      </w:pPr>
      <w:proofErr w:type="gramStart"/>
      <w:r w:rsidRPr="00D61FF7">
        <w:rPr>
          <w:color w:val="000000" w:themeColor="text1"/>
        </w:rPr>
        <w:t xml:space="preserve">10. </w:t>
      </w:r>
      <w:proofErr w:type="spellStart"/>
      <w:r w:rsidRPr="00D61FF7">
        <w:rPr>
          <w:b/>
          <w:color w:val="000000" w:themeColor="text1"/>
        </w:rPr>
        <w:t>Doshi</w:t>
      </w:r>
      <w:proofErr w:type="spellEnd"/>
      <w:r w:rsidRPr="00D61FF7">
        <w:rPr>
          <w:b/>
          <w:color w:val="000000" w:themeColor="text1"/>
        </w:rPr>
        <w:t xml:space="preserve"> </w:t>
      </w:r>
      <w:proofErr w:type="spellStart"/>
      <w:r w:rsidRPr="00D61FF7">
        <w:rPr>
          <w:b/>
          <w:color w:val="000000" w:themeColor="text1"/>
        </w:rPr>
        <w:t>AJ.Aetiology</w:t>
      </w:r>
      <w:proofErr w:type="spellEnd"/>
      <w:r w:rsidRPr="00D61FF7">
        <w:rPr>
          <w:b/>
          <w:color w:val="000000" w:themeColor="text1"/>
        </w:rPr>
        <w:t xml:space="preserve"> of Burns</w:t>
      </w:r>
      <w:r w:rsidRPr="00D61FF7">
        <w:rPr>
          <w:color w:val="000000" w:themeColor="text1"/>
        </w:rPr>
        <w:t>.</w:t>
      </w:r>
      <w:proofErr w:type="gramEnd"/>
      <w:r w:rsidRPr="00D61FF7">
        <w:rPr>
          <w:color w:val="000000" w:themeColor="text1"/>
        </w:rPr>
        <w:t xml:space="preserve"> </w:t>
      </w:r>
      <w:proofErr w:type="spellStart"/>
      <w:r w:rsidRPr="00D61FF7">
        <w:rPr>
          <w:color w:val="000000" w:themeColor="text1"/>
        </w:rPr>
        <w:t>Curr</w:t>
      </w:r>
      <w:proofErr w:type="spellEnd"/>
      <w:r w:rsidRPr="00D61FF7">
        <w:rPr>
          <w:color w:val="000000" w:themeColor="text1"/>
        </w:rPr>
        <w:t xml:space="preserve"> Med </w:t>
      </w:r>
      <w:proofErr w:type="spellStart"/>
      <w:r w:rsidRPr="00D61FF7">
        <w:rPr>
          <w:color w:val="000000" w:themeColor="text1"/>
        </w:rPr>
        <w:t>Pract</w:t>
      </w:r>
      <w:proofErr w:type="spellEnd"/>
      <w:r w:rsidRPr="00D61FF7">
        <w:rPr>
          <w:color w:val="000000" w:themeColor="text1"/>
        </w:rPr>
        <w:t xml:space="preserve"> 1976</w:t>
      </w:r>
      <w:proofErr w:type="gramStart"/>
      <w:r w:rsidRPr="00D61FF7">
        <w:rPr>
          <w:color w:val="000000" w:themeColor="text1"/>
        </w:rPr>
        <w:t>;20:316</w:t>
      </w:r>
      <w:proofErr w:type="gramEnd"/>
      <w:r w:rsidRPr="00D61FF7">
        <w:rPr>
          <w:color w:val="000000" w:themeColor="text1"/>
        </w:rPr>
        <w:t>-320.</w:t>
      </w:r>
    </w:p>
    <w:p w:rsidR="00594BDC" w:rsidRPr="00D61FF7" w:rsidRDefault="00594BDC" w:rsidP="00804A16">
      <w:pPr>
        <w:pStyle w:val="NoSpacing"/>
        <w:jc w:val="both"/>
        <w:rPr>
          <w:color w:val="000000" w:themeColor="text1"/>
        </w:rPr>
      </w:pPr>
      <w:r w:rsidRPr="00D61FF7">
        <w:rPr>
          <w:color w:val="000000" w:themeColor="text1"/>
        </w:rPr>
        <w:t xml:space="preserve">11. </w:t>
      </w:r>
      <w:proofErr w:type="spellStart"/>
      <w:r w:rsidRPr="00D61FF7">
        <w:rPr>
          <w:b/>
          <w:color w:val="000000" w:themeColor="text1"/>
        </w:rPr>
        <w:t>Ganguli</w:t>
      </w:r>
      <w:proofErr w:type="spellEnd"/>
      <w:r w:rsidRPr="00D61FF7">
        <w:rPr>
          <w:b/>
          <w:color w:val="000000" w:themeColor="text1"/>
        </w:rPr>
        <w:t xml:space="preserve"> </w:t>
      </w:r>
      <w:proofErr w:type="spellStart"/>
      <w:r w:rsidRPr="00D61FF7">
        <w:rPr>
          <w:b/>
          <w:color w:val="000000" w:themeColor="text1"/>
        </w:rPr>
        <w:t>AC.Burns</w:t>
      </w:r>
      <w:proofErr w:type="spellEnd"/>
      <w:r w:rsidRPr="00D61FF7">
        <w:rPr>
          <w:color w:val="000000" w:themeColor="text1"/>
        </w:rPr>
        <w:t xml:space="preserve">. </w:t>
      </w:r>
      <w:proofErr w:type="gramStart"/>
      <w:r w:rsidRPr="00D61FF7">
        <w:rPr>
          <w:color w:val="000000" w:themeColor="text1"/>
        </w:rPr>
        <w:t xml:space="preserve">J </w:t>
      </w:r>
      <w:proofErr w:type="spellStart"/>
      <w:r w:rsidRPr="00D61FF7">
        <w:rPr>
          <w:color w:val="000000" w:themeColor="text1"/>
        </w:rPr>
        <w:t>Ind</w:t>
      </w:r>
      <w:proofErr w:type="spellEnd"/>
      <w:r w:rsidRPr="00D61FF7">
        <w:rPr>
          <w:color w:val="000000" w:themeColor="text1"/>
        </w:rPr>
        <w:t xml:space="preserve"> Med </w:t>
      </w:r>
      <w:proofErr w:type="spellStart"/>
      <w:r w:rsidRPr="00D61FF7">
        <w:rPr>
          <w:color w:val="000000" w:themeColor="text1"/>
        </w:rPr>
        <w:t>Assoc</w:t>
      </w:r>
      <w:proofErr w:type="spellEnd"/>
      <w:r w:rsidRPr="00D61FF7">
        <w:rPr>
          <w:color w:val="000000" w:themeColor="text1"/>
        </w:rPr>
        <w:t xml:space="preserve"> 1976; 67: 150-152.</w:t>
      </w:r>
      <w:proofErr w:type="gramEnd"/>
    </w:p>
    <w:p w:rsidR="00594BDC" w:rsidRPr="00D61FF7" w:rsidRDefault="00594BDC" w:rsidP="00804A16">
      <w:pPr>
        <w:pStyle w:val="NoSpacing"/>
        <w:jc w:val="both"/>
        <w:rPr>
          <w:color w:val="000000" w:themeColor="text1"/>
        </w:rPr>
      </w:pPr>
      <w:r w:rsidRPr="00D61FF7">
        <w:rPr>
          <w:color w:val="000000" w:themeColor="text1"/>
        </w:rPr>
        <w:lastRenderedPageBreak/>
        <w:t xml:space="preserve">12. </w:t>
      </w:r>
      <w:r w:rsidRPr="00D61FF7">
        <w:rPr>
          <w:b/>
          <w:color w:val="000000" w:themeColor="text1"/>
        </w:rPr>
        <w:t xml:space="preserve">Sinha JK, Khanna NN, </w:t>
      </w:r>
      <w:proofErr w:type="spellStart"/>
      <w:r w:rsidRPr="00D61FF7">
        <w:rPr>
          <w:b/>
          <w:color w:val="000000" w:themeColor="text1"/>
        </w:rPr>
        <w:t>Tripathi</w:t>
      </w:r>
      <w:proofErr w:type="spellEnd"/>
      <w:r w:rsidRPr="00D61FF7">
        <w:rPr>
          <w:b/>
          <w:color w:val="000000" w:themeColor="text1"/>
        </w:rPr>
        <w:t xml:space="preserve"> </w:t>
      </w:r>
      <w:proofErr w:type="spellStart"/>
      <w:r w:rsidRPr="00D61FF7">
        <w:rPr>
          <w:b/>
          <w:color w:val="000000" w:themeColor="text1"/>
        </w:rPr>
        <w:t>K</w:t>
      </w:r>
      <w:r w:rsidRPr="00D61FF7">
        <w:rPr>
          <w:color w:val="000000" w:themeColor="text1"/>
        </w:rPr>
        <w:t>.Etiology</w:t>
      </w:r>
      <w:proofErr w:type="spellEnd"/>
      <w:r w:rsidRPr="00D61FF7">
        <w:rPr>
          <w:color w:val="000000" w:themeColor="text1"/>
        </w:rPr>
        <w:t xml:space="preserve"> </w:t>
      </w:r>
      <w:proofErr w:type="spellStart"/>
      <w:r w:rsidRPr="00D61FF7">
        <w:rPr>
          <w:color w:val="000000" w:themeColor="text1"/>
        </w:rPr>
        <w:t>andPrevention</w:t>
      </w:r>
      <w:proofErr w:type="spellEnd"/>
      <w:r w:rsidRPr="00D61FF7">
        <w:rPr>
          <w:color w:val="000000" w:themeColor="text1"/>
        </w:rPr>
        <w:t xml:space="preserve"> of Burns. </w:t>
      </w:r>
      <w:proofErr w:type="spellStart"/>
      <w:r w:rsidRPr="00D61FF7">
        <w:rPr>
          <w:color w:val="000000" w:themeColor="text1"/>
        </w:rPr>
        <w:t>Ind</w:t>
      </w:r>
      <w:proofErr w:type="spellEnd"/>
      <w:r w:rsidRPr="00D61FF7">
        <w:rPr>
          <w:color w:val="000000" w:themeColor="text1"/>
        </w:rPr>
        <w:t xml:space="preserve"> J </w:t>
      </w:r>
      <w:proofErr w:type="spellStart"/>
      <w:r w:rsidRPr="00D61FF7">
        <w:rPr>
          <w:color w:val="000000" w:themeColor="text1"/>
        </w:rPr>
        <w:t>Surg</w:t>
      </w:r>
      <w:proofErr w:type="spellEnd"/>
      <w:r w:rsidRPr="00D61FF7">
        <w:rPr>
          <w:color w:val="000000" w:themeColor="text1"/>
        </w:rPr>
        <w:t xml:space="preserve"> 1976; 38: 82.</w:t>
      </w:r>
    </w:p>
    <w:p w:rsidR="00594BDC" w:rsidRPr="00D61FF7" w:rsidRDefault="00594BDC" w:rsidP="00804A16">
      <w:pPr>
        <w:pStyle w:val="NoSpacing"/>
        <w:jc w:val="both"/>
        <w:rPr>
          <w:color w:val="000000" w:themeColor="text1"/>
        </w:rPr>
      </w:pPr>
      <w:r w:rsidRPr="00D61FF7">
        <w:rPr>
          <w:color w:val="000000" w:themeColor="text1"/>
        </w:rPr>
        <w:t>13</w:t>
      </w:r>
      <w:r w:rsidRPr="00D61FF7">
        <w:rPr>
          <w:b/>
          <w:color w:val="000000" w:themeColor="text1"/>
        </w:rPr>
        <w:t xml:space="preserve">. </w:t>
      </w:r>
      <w:proofErr w:type="spellStart"/>
      <w:r w:rsidRPr="00D61FF7">
        <w:rPr>
          <w:b/>
          <w:color w:val="000000" w:themeColor="text1"/>
        </w:rPr>
        <w:t>Haralkar</w:t>
      </w:r>
      <w:proofErr w:type="spellEnd"/>
      <w:r w:rsidRPr="00D61FF7">
        <w:rPr>
          <w:b/>
          <w:color w:val="000000" w:themeColor="text1"/>
        </w:rPr>
        <w:t xml:space="preserve"> SJ, </w:t>
      </w:r>
      <w:proofErr w:type="spellStart"/>
      <w:r w:rsidRPr="00D61FF7">
        <w:rPr>
          <w:b/>
          <w:color w:val="000000" w:themeColor="text1"/>
        </w:rPr>
        <w:t>Rayate</w:t>
      </w:r>
      <w:proofErr w:type="spellEnd"/>
      <w:r w:rsidRPr="00D61FF7">
        <w:rPr>
          <w:b/>
          <w:color w:val="000000" w:themeColor="text1"/>
        </w:rPr>
        <w:t xml:space="preserve"> </w:t>
      </w:r>
      <w:proofErr w:type="spellStart"/>
      <w:r w:rsidRPr="00D61FF7">
        <w:rPr>
          <w:b/>
          <w:color w:val="000000" w:themeColor="text1"/>
        </w:rPr>
        <w:t>M</w:t>
      </w:r>
      <w:r w:rsidRPr="00D61FF7">
        <w:rPr>
          <w:color w:val="000000" w:themeColor="text1"/>
        </w:rPr>
        <w:t>.Socio</w:t>
      </w:r>
      <w:proofErr w:type="spellEnd"/>
      <w:r w:rsidRPr="00D61FF7">
        <w:rPr>
          <w:color w:val="000000" w:themeColor="text1"/>
        </w:rPr>
        <w:t>-demographic profile of burn cases in the reproductive age group (15-45years) admitted in SCSM General Hospital, Solapur. Solapur Med J 2005; 2(2):3-9.</w:t>
      </w:r>
    </w:p>
    <w:p w:rsidR="00594BDC" w:rsidRPr="00D61FF7" w:rsidRDefault="00594BDC" w:rsidP="00804A16">
      <w:pPr>
        <w:pStyle w:val="NoSpacing"/>
        <w:jc w:val="both"/>
        <w:rPr>
          <w:color w:val="000000" w:themeColor="text1"/>
        </w:rPr>
      </w:pPr>
      <w:r w:rsidRPr="00D61FF7">
        <w:rPr>
          <w:color w:val="000000" w:themeColor="text1"/>
        </w:rPr>
        <w:t xml:space="preserve">14. </w:t>
      </w:r>
      <w:proofErr w:type="spellStart"/>
      <w:r w:rsidRPr="00D61FF7">
        <w:rPr>
          <w:b/>
          <w:color w:val="000000" w:themeColor="text1"/>
        </w:rPr>
        <w:t>Narlawar</w:t>
      </w:r>
      <w:proofErr w:type="spellEnd"/>
      <w:r w:rsidRPr="00D61FF7">
        <w:rPr>
          <w:b/>
          <w:color w:val="000000" w:themeColor="text1"/>
        </w:rPr>
        <w:t xml:space="preserve"> UW, </w:t>
      </w:r>
      <w:proofErr w:type="spellStart"/>
      <w:r w:rsidRPr="00D61FF7">
        <w:rPr>
          <w:b/>
          <w:color w:val="000000" w:themeColor="text1"/>
        </w:rPr>
        <w:t>Meshram</w:t>
      </w:r>
      <w:proofErr w:type="spellEnd"/>
      <w:r w:rsidRPr="00D61FF7">
        <w:rPr>
          <w:b/>
          <w:color w:val="000000" w:themeColor="text1"/>
        </w:rPr>
        <w:t xml:space="preserve"> </w:t>
      </w:r>
      <w:proofErr w:type="spellStart"/>
      <w:r w:rsidRPr="00D61FF7">
        <w:rPr>
          <w:b/>
          <w:color w:val="000000" w:themeColor="text1"/>
        </w:rPr>
        <w:t>FA.</w:t>
      </w:r>
      <w:r w:rsidRPr="00D61FF7">
        <w:rPr>
          <w:color w:val="000000" w:themeColor="text1"/>
        </w:rPr>
        <w:t>Epidermiologicaldeterminants</w:t>
      </w:r>
      <w:proofErr w:type="spellEnd"/>
      <w:r w:rsidRPr="00D61FF7">
        <w:rPr>
          <w:color w:val="000000" w:themeColor="text1"/>
        </w:rPr>
        <w:t xml:space="preserve"> of burns and its outcome in Nagpur.</w:t>
      </w:r>
    </w:p>
    <w:p w:rsidR="00594BDC" w:rsidRPr="00D61FF7" w:rsidRDefault="00594BDC" w:rsidP="00804A16">
      <w:pPr>
        <w:pStyle w:val="NoSpacing"/>
        <w:jc w:val="both"/>
        <w:rPr>
          <w:color w:val="000000" w:themeColor="text1"/>
        </w:rPr>
      </w:pPr>
      <w:r w:rsidRPr="00D61FF7">
        <w:rPr>
          <w:color w:val="000000" w:themeColor="text1"/>
        </w:rPr>
        <w:t>Milestone J DMER 2002; 2(1):19</w:t>
      </w:r>
    </w:p>
    <w:p w:rsidR="00594BDC" w:rsidRPr="00D61FF7" w:rsidRDefault="00594BDC" w:rsidP="00804A16">
      <w:pPr>
        <w:pStyle w:val="NoSpacing"/>
        <w:jc w:val="both"/>
      </w:pPr>
      <w:r w:rsidRPr="00D61FF7">
        <w:t>15</w:t>
      </w:r>
      <w:proofErr w:type="gramStart"/>
      <w:r w:rsidRPr="00D61FF7">
        <w:rPr>
          <w:b/>
        </w:rPr>
        <w:t>.Nath</w:t>
      </w:r>
      <w:proofErr w:type="gramEnd"/>
      <w:r w:rsidRPr="00D61FF7">
        <w:rPr>
          <w:b/>
        </w:rPr>
        <w:t>, D</w:t>
      </w:r>
      <w:r w:rsidRPr="00D61FF7">
        <w:t xml:space="preserve">.“A statistical study of pattern of ante mortem burn injuries” MD thesis, 2007; </w:t>
      </w:r>
      <w:proofErr w:type="spellStart"/>
      <w:r w:rsidRPr="00D61FF7">
        <w:t>Gauhati</w:t>
      </w:r>
      <w:proofErr w:type="spellEnd"/>
      <w:r w:rsidRPr="00D61FF7">
        <w:t xml:space="preserve"> University, Guwahati, Assam, India</w:t>
      </w:r>
    </w:p>
    <w:p w:rsidR="00594BDC" w:rsidRPr="00D61FF7" w:rsidRDefault="00594BDC" w:rsidP="00804A16">
      <w:pPr>
        <w:pStyle w:val="NoSpacing"/>
        <w:jc w:val="both"/>
      </w:pPr>
      <w:r w:rsidRPr="00D61FF7">
        <w:t xml:space="preserve">16. </w:t>
      </w:r>
      <w:r w:rsidRPr="00D61FF7">
        <w:rPr>
          <w:b/>
        </w:rPr>
        <w:t xml:space="preserve">Singh P, Harish </w:t>
      </w:r>
      <w:proofErr w:type="spellStart"/>
      <w:r w:rsidRPr="00D61FF7">
        <w:rPr>
          <w:b/>
        </w:rPr>
        <w:t>D</w:t>
      </w:r>
      <w:r w:rsidRPr="00D61FF7">
        <w:t>.Incidence</w:t>
      </w:r>
      <w:proofErr w:type="spellEnd"/>
      <w:r w:rsidRPr="00D61FF7">
        <w:t xml:space="preserve"> of Post Burn Septicaemia in A Tertiary Care Hospital, Indian Academy of Forensic Medicine, 2011 Dec, 33(4), 317-320.</w:t>
      </w:r>
    </w:p>
    <w:p w:rsidR="00594BDC" w:rsidRPr="00D61FF7" w:rsidRDefault="00594BDC" w:rsidP="00804A16">
      <w:pPr>
        <w:pStyle w:val="NoSpacing"/>
        <w:jc w:val="both"/>
        <w:rPr>
          <w:rFonts w:eastAsia="Times New Roman"/>
          <w:color w:val="323232"/>
          <w:lang w:eastAsia="en-IN"/>
        </w:rPr>
      </w:pPr>
      <w:r w:rsidRPr="00D61FF7">
        <w:t>17.</w:t>
      </w:r>
      <w:r w:rsidRPr="00D61FF7">
        <w:rPr>
          <w:color w:val="323232"/>
        </w:rPr>
        <w:t xml:space="preserve"> </w:t>
      </w:r>
      <w:r w:rsidRPr="00D61FF7">
        <w:rPr>
          <w:rFonts w:eastAsia="Times New Roman"/>
          <w:b/>
          <w:color w:val="323232"/>
          <w:lang w:eastAsia="en-IN"/>
        </w:rPr>
        <w:t>D. Marsh, A. Sheikh, A. Khalil, S. Kamil, Jaffer-uz-Zaman, I. Qureshi</w:t>
      </w:r>
      <w:r w:rsidRPr="00D61FF7">
        <w:rPr>
          <w:rFonts w:eastAsia="Times New Roman"/>
          <w:color w:val="323232"/>
          <w:lang w:eastAsia="en-IN"/>
        </w:rPr>
        <w:t>, </w:t>
      </w:r>
      <w:r w:rsidRPr="00D61FF7">
        <w:rPr>
          <w:rFonts w:eastAsia="Times New Roman"/>
          <w:i/>
          <w:iCs/>
          <w:color w:val="323232"/>
          <w:lang w:eastAsia="en-IN"/>
        </w:rPr>
        <w:t xml:space="preserve">et </w:t>
      </w:r>
      <w:proofErr w:type="spellStart"/>
      <w:r w:rsidRPr="00D61FF7">
        <w:rPr>
          <w:rFonts w:eastAsia="Times New Roman"/>
          <w:i/>
          <w:iCs/>
          <w:color w:val="323232"/>
          <w:lang w:eastAsia="en-IN"/>
        </w:rPr>
        <w:t>al.</w:t>
      </w:r>
      <w:r w:rsidRPr="00D61FF7">
        <w:rPr>
          <w:rFonts w:eastAsia="Times New Roman"/>
          <w:b/>
          <w:bCs/>
          <w:color w:val="323232"/>
          <w:lang w:eastAsia="en-IN"/>
        </w:rPr>
        <w:t>Epidemiology</w:t>
      </w:r>
      <w:proofErr w:type="spellEnd"/>
      <w:r w:rsidRPr="00D61FF7">
        <w:rPr>
          <w:rFonts w:eastAsia="Times New Roman"/>
          <w:b/>
          <w:bCs/>
          <w:color w:val="323232"/>
          <w:lang w:eastAsia="en-IN"/>
        </w:rPr>
        <w:t xml:space="preserve"> of adults hospitalized with burns in Karachi </w:t>
      </w:r>
      <w:proofErr w:type="spellStart"/>
      <w:r w:rsidRPr="00D61FF7">
        <w:rPr>
          <w:rFonts w:eastAsia="Times New Roman"/>
          <w:b/>
          <w:bCs/>
          <w:color w:val="323232"/>
          <w:lang w:eastAsia="en-IN"/>
        </w:rPr>
        <w:t>Pakistan</w:t>
      </w:r>
      <w:r w:rsidRPr="0089552E">
        <w:rPr>
          <w:rFonts w:eastAsia="Times New Roman"/>
          <w:color w:val="323232"/>
          <w:lang w:eastAsia="en-IN"/>
        </w:rPr>
        <w:t>Burns</w:t>
      </w:r>
      <w:proofErr w:type="spellEnd"/>
      <w:r w:rsidRPr="0089552E">
        <w:rPr>
          <w:rFonts w:eastAsia="Times New Roman"/>
          <w:color w:val="323232"/>
          <w:lang w:eastAsia="en-IN"/>
        </w:rPr>
        <w:t>, 22 (3) (1996), pp. 225-229</w:t>
      </w:r>
    </w:p>
    <w:p w:rsidR="00594BDC" w:rsidRDefault="00594BDC" w:rsidP="00804A16">
      <w:pPr>
        <w:pStyle w:val="NoSpacing"/>
        <w:jc w:val="both"/>
        <w:rPr>
          <w:rFonts w:eastAsia="Times New Roman"/>
          <w:color w:val="323232"/>
          <w:lang w:eastAsia="en-IN"/>
        </w:rPr>
      </w:pPr>
      <w:r w:rsidRPr="00D61FF7">
        <w:rPr>
          <w:rFonts w:eastAsia="Times New Roman"/>
          <w:color w:val="323232"/>
          <w:lang w:eastAsia="en-IN"/>
        </w:rPr>
        <w:t>18.</w:t>
      </w:r>
      <w:r w:rsidRPr="00D61FF7">
        <w:rPr>
          <w:color w:val="323232"/>
        </w:rPr>
        <w:t xml:space="preserve"> </w:t>
      </w:r>
      <w:r w:rsidRPr="00D61FF7">
        <w:rPr>
          <w:rFonts w:eastAsia="Times New Roman"/>
          <w:b/>
          <w:color w:val="323232"/>
          <w:lang w:eastAsia="en-IN"/>
        </w:rPr>
        <w:t>A. El-</w:t>
      </w:r>
      <w:proofErr w:type="spellStart"/>
      <w:r w:rsidRPr="00D61FF7">
        <w:rPr>
          <w:rFonts w:eastAsia="Times New Roman"/>
          <w:b/>
          <w:color w:val="323232"/>
          <w:lang w:eastAsia="en-IN"/>
        </w:rPr>
        <w:t>Badawy</w:t>
      </w:r>
      <w:proofErr w:type="spellEnd"/>
      <w:r w:rsidRPr="00D61FF7">
        <w:rPr>
          <w:rFonts w:eastAsia="Times New Roman"/>
          <w:b/>
          <w:color w:val="323232"/>
          <w:lang w:eastAsia="en-IN"/>
        </w:rPr>
        <w:t>, A.R. </w:t>
      </w:r>
      <w:proofErr w:type="spellStart"/>
      <w:r w:rsidRPr="00D61FF7">
        <w:rPr>
          <w:rFonts w:eastAsia="Times New Roman"/>
          <w:color w:val="323232"/>
          <w:lang w:eastAsia="en-IN"/>
        </w:rPr>
        <w:t>Mabrouk</w:t>
      </w:r>
      <w:r w:rsidRPr="00D61FF7">
        <w:rPr>
          <w:rFonts w:eastAsia="Times New Roman"/>
          <w:bCs/>
          <w:color w:val="323232"/>
          <w:lang w:eastAsia="en-IN"/>
        </w:rPr>
        <w:t>Epidemiology</w:t>
      </w:r>
      <w:proofErr w:type="spellEnd"/>
      <w:r w:rsidRPr="00D61FF7">
        <w:rPr>
          <w:rFonts w:eastAsia="Times New Roman"/>
          <w:bCs/>
          <w:color w:val="323232"/>
          <w:lang w:eastAsia="en-IN"/>
        </w:rPr>
        <w:t xml:space="preserve"> of childhood burns in the Burn Unit of Ain Shams University in Cairo, Egypt</w:t>
      </w:r>
      <w:r>
        <w:rPr>
          <w:rFonts w:eastAsia="Times New Roman"/>
          <w:color w:val="323232"/>
          <w:lang w:eastAsia="en-IN"/>
        </w:rPr>
        <w:t xml:space="preserve"> </w:t>
      </w:r>
      <w:r w:rsidRPr="00D61FF7">
        <w:rPr>
          <w:rFonts w:eastAsia="Times New Roman"/>
          <w:color w:val="323232"/>
          <w:lang w:eastAsia="en-IN"/>
        </w:rPr>
        <w:t>Burns, 24 (1998), pp. 728-732</w:t>
      </w:r>
    </w:p>
    <w:p w:rsidR="00594BDC" w:rsidRDefault="00594BDC" w:rsidP="00804A16">
      <w:pPr>
        <w:pStyle w:val="NoSpacing"/>
        <w:jc w:val="both"/>
      </w:pPr>
      <w:r>
        <w:t xml:space="preserve">19. </w:t>
      </w:r>
      <w:r w:rsidRPr="00FE31B3">
        <w:rPr>
          <w:b/>
        </w:rPr>
        <w:t>Aggarwal BBL, Chandra J.</w:t>
      </w:r>
      <w:r>
        <w:t>A Study of Fatal Cases of Burns in South Zone Delhi. Punjab MedJ1970; 20(12): 451</w:t>
      </w:r>
    </w:p>
    <w:p w:rsidR="00594BDC" w:rsidRDefault="00594BDC" w:rsidP="00804A16">
      <w:pPr>
        <w:pStyle w:val="NoSpacing"/>
        <w:jc w:val="both"/>
      </w:pPr>
      <w:r>
        <w:t>20</w:t>
      </w:r>
      <w:proofErr w:type="gramStart"/>
      <w:r>
        <w:t>.</w:t>
      </w:r>
      <w:r w:rsidRPr="0061191C">
        <w:rPr>
          <w:b/>
        </w:rPr>
        <w:t>A.K</w:t>
      </w:r>
      <w:proofErr w:type="gramEnd"/>
      <w:r w:rsidRPr="0061191C">
        <w:rPr>
          <w:b/>
        </w:rPr>
        <w:t xml:space="preserve">. </w:t>
      </w:r>
      <w:proofErr w:type="spellStart"/>
      <w:r w:rsidRPr="0061191C">
        <w:rPr>
          <w:b/>
        </w:rPr>
        <w:t>Batra</w:t>
      </w:r>
      <w:proofErr w:type="spellEnd"/>
      <w:r w:rsidRPr="0061191C">
        <w:rPr>
          <w:b/>
        </w:rPr>
        <w:t xml:space="preserve"> Burn mortality</w:t>
      </w:r>
      <w:r>
        <w:t>: recent trends and sociocultural determinants in rural India</w:t>
      </w:r>
    </w:p>
    <w:p w:rsidR="00594BDC" w:rsidRDefault="00594BDC" w:rsidP="00804A16">
      <w:pPr>
        <w:pStyle w:val="NoSpacing"/>
        <w:jc w:val="both"/>
      </w:pPr>
      <w:r>
        <w:t xml:space="preserve">Burns, 29 (2003), pp. 270-275 </w:t>
      </w:r>
      <w:proofErr w:type="spellStart"/>
      <w:r>
        <w:t>ArticleDownload</w:t>
      </w:r>
      <w:proofErr w:type="spellEnd"/>
      <w:r>
        <w:t xml:space="preserve"> </w:t>
      </w:r>
      <w:proofErr w:type="spellStart"/>
      <w:r>
        <w:t>PDFView</w:t>
      </w:r>
      <w:proofErr w:type="spellEnd"/>
      <w:r>
        <w:t xml:space="preserve"> Record in </w:t>
      </w:r>
      <w:proofErr w:type="spellStart"/>
      <w:r>
        <w:t>ScopusGoogle</w:t>
      </w:r>
      <w:proofErr w:type="spellEnd"/>
      <w:r>
        <w:t xml:space="preserve"> Scholar</w:t>
      </w:r>
    </w:p>
    <w:p w:rsidR="00594BDC" w:rsidRDefault="00594BDC" w:rsidP="00804A16">
      <w:pPr>
        <w:pStyle w:val="NoSpacing"/>
        <w:jc w:val="both"/>
      </w:pPr>
      <w:r>
        <w:t xml:space="preserve">21. </w:t>
      </w:r>
      <w:r w:rsidRPr="0061191C">
        <w:rPr>
          <w:b/>
        </w:rPr>
        <w:t xml:space="preserve">R.V. </w:t>
      </w:r>
      <w:proofErr w:type="spellStart"/>
      <w:r w:rsidRPr="0061191C">
        <w:rPr>
          <w:b/>
        </w:rPr>
        <w:t>Kachare</w:t>
      </w:r>
      <w:proofErr w:type="spellEnd"/>
      <w:r w:rsidRPr="0061191C">
        <w:rPr>
          <w:b/>
        </w:rPr>
        <w:t xml:space="preserve">, K.D. </w:t>
      </w:r>
      <w:proofErr w:type="spellStart"/>
      <w:r w:rsidRPr="0061191C">
        <w:rPr>
          <w:b/>
        </w:rPr>
        <w:t>Chavan</w:t>
      </w:r>
      <w:proofErr w:type="spellEnd"/>
      <w:r w:rsidRPr="0061191C">
        <w:rPr>
          <w:b/>
        </w:rPr>
        <w:t xml:space="preserve">, S.K. </w:t>
      </w:r>
      <w:proofErr w:type="spellStart"/>
      <w:r w:rsidRPr="0061191C">
        <w:rPr>
          <w:b/>
        </w:rPr>
        <w:t>Goli</w:t>
      </w:r>
      <w:proofErr w:type="spellEnd"/>
      <w:r>
        <w:t xml:space="preserve"> Analytical study of medicolegal deaths in rural region of Beed district of Maharashtra J ML </w:t>
      </w:r>
      <w:proofErr w:type="spellStart"/>
      <w:r>
        <w:t>Assoc</w:t>
      </w:r>
      <w:proofErr w:type="spellEnd"/>
      <w:r>
        <w:t xml:space="preserve"> Maharashtra, 15 (2003), pp. 14-17</w:t>
      </w:r>
    </w:p>
    <w:p w:rsidR="00594BDC" w:rsidRDefault="00594BDC" w:rsidP="00804A16">
      <w:pPr>
        <w:pStyle w:val="NoSpacing"/>
        <w:jc w:val="both"/>
      </w:pPr>
      <w:r>
        <w:t>22</w:t>
      </w:r>
      <w:r w:rsidRPr="0061191C">
        <w:rPr>
          <w:b/>
        </w:rPr>
        <w:t xml:space="preserve">. V. Kumar, C.B. </w:t>
      </w:r>
      <w:proofErr w:type="spellStart"/>
      <w:r w:rsidRPr="0061191C">
        <w:rPr>
          <w:b/>
        </w:rPr>
        <w:t>Tripathi</w:t>
      </w:r>
      <w:proofErr w:type="spellEnd"/>
      <w:r>
        <w:t xml:space="preserve"> Fatal accidental burns in married women Leg. Med., 5 (3) (2003), pp. 139-145(Tokyo) </w:t>
      </w:r>
      <w:proofErr w:type="spellStart"/>
      <w:r>
        <w:t>ArticleDownload</w:t>
      </w:r>
      <w:proofErr w:type="spellEnd"/>
      <w:r>
        <w:t xml:space="preserve"> </w:t>
      </w:r>
      <w:proofErr w:type="spellStart"/>
      <w:r>
        <w:t>PDFView</w:t>
      </w:r>
      <w:proofErr w:type="spellEnd"/>
      <w:r>
        <w:t xml:space="preserve"> Record in </w:t>
      </w:r>
      <w:proofErr w:type="spellStart"/>
      <w:r>
        <w:t>ScopusGoogle</w:t>
      </w:r>
      <w:proofErr w:type="spellEnd"/>
      <w:r>
        <w:t xml:space="preserve"> Scholar</w:t>
      </w:r>
    </w:p>
    <w:p w:rsidR="00594BDC" w:rsidRDefault="00594BDC" w:rsidP="00804A16">
      <w:pPr>
        <w:pStyle w:val="NoSpacing"/>
        <w:jc w:val="both"/>
      </w:pPr>
      <w:r>
        <w:t xml:space="preserve">23 </w:t>
      </w:r>
      <w:r w:rsidRPr="0061191C">
        <w:rPr>
          <w:b/>
        </w:rPr>
        <w:t xml:space="preserve">V. Kumar, C.V. </w:t>
      </w:r>
      <w:proofErr w:type="spellStart"/>
      <w:r w:rsidRPr="0061191C">
        <w:rPr>
          <w:b/>
        </w:rPr>
        <w:t>Tripathi</w:t>
      </w:r>
      <w:proofErr w:type="spellEnd"/>
      <w:r w:rsidRPr="0061191C">
        <w:rPr>
          <w:b/>
        </w:rPr>
        <w:t xml:space="preserve"> </w:t>
      </w:r>
      <w:r>
        <w:t xml:space="preserve">Burnt wives: a study of homicides Med </w:t>
      </w:r>
      <w:proofErr w:type="spellStart"/>
      <w:r>
        <w:t>Sci</w:t>
      </w:r>
      <w:proofErr w:type="spellEnd"/>
      <w:r>
        <w:t xml:space="preserve"> Law, 44 (2004), pp. 55-60</w:t>
      </w:r>
      <w:r>
        <w:cr/>
      </w:r>
    </w:p>
    <w:p w:rsidR="000E036E" w:rsidRDefault="000E036E" w:rsidP="00804A16">
      <w:pPr>
        <w:jc w:val="both"/>
      </w:pPr>
    </w:p>
    <w:p w:rsidR="00377D72" w:rsidRPr="000E036E" w:rsidRDefault="00377D72" w:rsidP="00804A16">
      <w:pPr>
        <w:jc w:val="both"/>
      </w:pPr>
    </w:p>
    <w:p w:rsidR="004A30F8" w:rsidRPr="000E036E" w:rsidRDefault="004A30F8" w:rsidP="00804A16">
      <w:pPr>
        <w:jc w:val="both"/>
      </w:pPr>
    </w:p>
    <w:p w:rsidR="004A30F8" w:rsidRPr="000E036E" w:rsidRDefault="004A30F8" w:rsidP="00804A16">
      <w:pPr>
        <w:jc w:val="both"/>
      </w:pPr>
    </w:p>
    <w:sectPr w:rsidR="004A30F8" w:rsidRPr="000E03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264" w:rsidRDefault="00151264" w:rsidP="003C740D">
      <w:pPr>
        <w:spacing w:after="0" w:line="240" w:lineRule="auto"/>
      </w:pPr>
      <w:r>
        <w:separator/>
      </w:r>
    </w:p>
  </w:endnote>
  <w:endnote w:type="continuationSeparator" w:id="0">
    <w:p w:rsidR="00151264" w:rsidRDefault="00151264" w:rsidP="003C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264" w:rsidRDefault="00151264" w:rsidP="003C740D">
      <w:pPr>
        <w:spacing w:after="0" w:line="240" w:lineRule="auto"/>
      </w:pPr>
      <w:r>
        <w:separator/>
      </w:r>
    </w:p>
  </w:footnote>
  <w:footnote w:type="continuationSeparator" w:id="0">
    <w:p w:rsidR="00151264" w:rsidRDefault="00151264" w:rsidP="003C7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67E6"/>
    <w:multiLevelType w:val="hybridMultilevel"/>
    <w:tmpl w:val="DDB4FC8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nsid w:val="0EC428B5"/>
    <w:multiLevelType w:val="hybridMultilevel"/>
    <w:tmpl w:val="D36C7FE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0A"/>
    <w:rsid w:val="00054ADE"/>
    <w:rsid w:val="000E036E"/>
    <w:rsid w:val="00151264"/>
    <w:rsid w:val="001B1EF0"/>
    <w:rsid w:val="001C3CCE"/>
    <w:rsid w:val="00243F2C"/>
    <w:rsid w:val="00355D70"/>
    <w:rsid w:val="00377D72"/>
    <w:rsid w:val="00397EFF"/>
    <w:rsid w:val="003C740D"/>
    <w:rsid w:val="004A30F8"/>
    <w:rsid w:val="004B38A0"/>
    <w:rsid w:val="005817B8"/>
    <w:rsid w:val="00594BDC"/>
    <w:rsid w:val="00757D9D"/>
    <w:rsid w:val="00804A16"/>
    <w:rsid w:val="008664D7"/>
    <w:rsid w:val="00957149"/>
    <w:rsid w:val="009C689A"/>
    <w:rsid w:val="009E1AA5"/>
    <w:rsid w:val="00A15F4D"/>
    <w:rsid w:val="00A4549E"/>
    <w:rsid w:val="00A76BB6"/>
    <w:rsid w:val="00A85B35"/>
    <w:rsid w:val="00B93543"/>
    <w:rsid w:val="00BD2E58"/>
    <w:rsid w:val="00C431D1"/>
    <w:rsid w:val="00C43705"/>
    <w:rsid w:val="00C64C0A"/>
    <w:rsid w:val="00C73C13"/>
    <w:rsid w:val="00CA4BD8"/>
    <w:rsid w:val="00D629BA"/>
    <w:rsid w:val="00DA0A11"/>
    <w:rsid w:val="00EF3B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0F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f-lnk">
    <w:name w:val="ref-lnk"/>
    <w:basedOn w:val="DefaultParagraphFont"/>
    <w:rsid w:val="004A30F8"/>
  </w:style>
  <w:style w:type="character" w:styleId="Hyperlink">
    <w:name w:val="Hyperlink"/>
    <w:basedOn w:val="DefaultParagraphFont"/>
    <w:uiPriority w:val="99"/>
    <w:unhideWhenUsed/>
    <w:rsid w:val="004A30F8"/>
    <w:rPr>
      <w:color w:val="0000FF"/>
      <w:u w:val="single"/>
    </w:rPr>
  </w:style>
  <w:style w:type="character" w:customStyle="1" w:styleId="ref-overlay">
    <w:name w:val="ref-overlay"/>
    <w:basedOn w:val="DefaultParagraphFont"/>
    <w:rsid w:val="004A30F8"/>
  </w:style>
  <w:style w:type="character" w:customStyle="1" w:styleId="nlmarticle-title">
    <w:name w:val="nlm_article-title"/>
    <w:basedOn w:val="DefaultParagraphFont"/>
    <w:rsid w:val="004A30F8"/>
  </w:style>
  <w:style w:type="character" w:customStyle="1" w:styleId="nlmyear">
    <w:name w:val="nlm_year"/>
    <w:basedOn w:val="DefaultParagraphFont"/>
    <w:rsid w:val="004A30F8"/>
  </w:style>
  <w:style w:type="character" w:customStyle="1" w:styleId="nlmpublisher-name">
    <w:name w:val="nlm_publisher-name"/>
    <w:basedOn w:val="DefaultParagraphFont"/>
    <w:rsid w:val="004A30F8"/>
  </w:style>
  <w:style w:type="character" w:customStyle="1" w:styleId="nlmpublisher-loc">
    <w:name w:val="nlm_publisher-loc"/>
    <w:basedOn w:val="DefaultParagraphFont"/>
    <w:rsid w:val="004A30F8"/>
  </w:style>
  <w:style w:type="character" w:customStyle="1" w:styleId="ref-links">
    <w:name w:val="ref-links"/>
    <w:basedOn w:val="DefaultParagraphFont"/>
    <w:rsid w:val="004A30F8"/>
  </w:style>
  <w:style w:type="character" w:customStyle="1" w:styleId="xlinks-container">
    <w:name w:val="xlinks-container"/>
    <w:basedOn w:val="DefaultParagraphFont"/>
    <w:rsid w:val="004A30F8"/>
  </w:style>
  <w:style w:type="character" w:customStyle="1" w:styleId="googlescholar-container">
    <w:name w:val="googlescholar-container"/>
    <w:basedOn w:val="DefaultParagraphFont"/>
    <w:rsid w:val="004A30F8"/>
  </w:style>
  <w:style w:type="character" w:customStyle="1" w:styleId="hlfld-contribauthor">
    <w:name w:val="hlfld-contribauthor"/>
    <w:basedOn w:val="DefaultParagraphFont"/>
    <w:rsid w:val="004A30F8"/>
  </w:style>
  <w:style w:type="character" w:customStyle="1" w:styleId="nlmgiven-names">
    <w:name w:val="nlm_given-names"/>
    <w:basedOn w:val="DefaultParagraphFont"/>
    <w:rsid w:val="004A30F8"/>
  </w:style>
  <w:style w:type="character" w:customStyle="1" w:styleId="nlmfpage">
    <w:name w:val="nlm_fpage"/>
    <w:basedOn w:val="DefaultParagraphFont"/>
    <w:rsid w:val="004A30F8"/>
  </w:style>
  <w:style w:type="character" w:customStyle="1" w:styleId="nlmlpage">
    <w:name w:val="nlm_lpage"/>
    <w:basedOn w:val="DefaultParagraphFont"/>
    <w:rsid w:val="004A30F8"/>
  </w:style>
  <w:style w:type="paragraph" w:styleId="NoSpacing">
    <w:name w:val="No Spacing"/>
    <w:uiPriority w:val="1"/>
    <w:qFormat/>
    <w:rsid w:val="009C689A"/>
    <w:pPr>
      <w:spacing w:after="0" w:line="240" w:lineRule="auto"/>
    </w:pPr>
  </w:style>
  <w:style w:type="paragraph" w:styleId="ListParagraph">
    <w:name w:val="List Paragraph"/>
    <w:basedOn w:val="Normal"/>
    <w:uiPriority w:val="34"/>
    <w:qFormat/>
    <w:rsid w:val="00377D72"/>
    <w:pPr>
      <w:ind w:left="720"/>
      <w:contextualSpacing/>
    </w:pPr>
  </w:style>
  <w:style w:type="paragraph" w:styleId="BalloonText">
    <w:name w:val="Balloon Text"/>
    <w:basedOn w:val="Normal"/>
    <w:link w:val="BalloonTextChar"/>
    <w:uiPriority w:val="99"/>
    <w:semiHidden/>
    <w:unhideWhenUsed/>
    <w:rsid w:val="00054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ADE"/>
    <w:rPr>
      <w:rFonts w:ascii="Tahoma" w:hAnsi="Tahoma" w:cs="Tahoma"/>
      <w:sz w:val="16"/>
      <w:szCs w:val="16"/>
    </w:rPr>
  </w:style>
  <w:style w:type="paragraph" w:styleId="Header">
    <w:name w:val="header"/>
    <w:basedOn w:val="Normal"/>
    <w:link w:val="HeaderChar"/>
    <w:uiPriority w:val="99"/>
    <w:unhideWhenUsed/>
    <w:rsid w:val="003C7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40D"/>
  </w:style>
  <w:style w:type="paragraph" w:styleId="Footer">
    <w:name w:val="footer"/>
    <w:basedOn w:val="Normal"/>
    <w:link w:val="FooterChar"/>
    <w:uiPriority w:val="99"/>
    <w:unhideWhenUsed/>
    <w:rsid w:val="003C7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40D"/>
  </w:style>
  <w:style w:type="character" w:styleId="Strong">
    <w:name w:val="Strong"/>
    <w:basedOn w:val="DefaultParagraphFont"/>
    <w:uiPriority w:val="22"/>
    <w:qFormat/>
    <w:rsid w:val="000E03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0F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f-lnk">
    <w:name w:val="ref-lnk"/>
    <w:basedOn w:val="DefaultParagraphFont"/>
    <w:rsid w:val="004A30F8"/>
  </w:style>
  <w:style w:type="character" w:styleId="Hyperlink">
    <w:name w:val="Hyperlink"/>
    <w:basedOn w:val="DefaultParagraphFont"/>
    <w:uiPriority w:val="99"/>
    <w:unhideWhenUsed/>
    <w:rsid w:val="004A30F8"/>
    <w:rPr>
      <w:color w:val="0000FF"/>
      <w:u w:val="single"/>
    </w:rPr>
  </w:style>
  <w:style w:type="character" w:customStyle="1" w:styleId="ref-overlay">
    <w:name w:val="ref-overlay"/>
    <w:basedOn w:val="DefaultParagraphFont"/>
    <w:rsid w:val="004A30F8"/>
  </w:style>
  <w:style w:type="character" w:customStyle="1" w:styleId="nlmarticle-title">
    <w:name w:val="nlm_article-title"/>
    <w:basedOn w:val="DefaultParagraphFont"/>
    <w:rsid w:val="004A30F8"/>
  </w:style>
  <w:style w:type="character" w:customStyle="1" w:styleId="nlmyear">
    <w:name w:val="nlm_year"/>
    <w:basedOn w:val="DefaultParagraphFont"/>
    <w:rsid w:val="004A30F8"/>
  </w:style>
  <w:style w:type="character" w:customStyle="1" w:styleId="nlmpublisher-name">
    <w:name w:val="nlm_publisher-name"/>
    <w:basedOn w:val="DefaultParagraphFont"/>
    <w:rsid w:val="004A30F8"/>
  </w:style>
  <w:style w:type="character" w:customStyle="1" w:styleId="nlmpublisher-loc">
    <w:name w:val="nlm_publisher-loc"/>
    <w:basedOn w:val="DefaultParagraphFont"/>
    <w:rsid w:val="004A30F8"/>
  </w:style>
  <w:style w:type="character" w:customStyle="1" w:styleId="ref-links">
    <w:name w:val="ref-links"/>
    <w:basedOn w:val="DefaultParagraphFont"/>
    <w:rsid w:val="004A30F8"/>
  </w:style>
  <w:style w:type="character" w:customStyle="1" w:styleId="xlinks-container">
    <w:name w:val="xlinks-container"/>
    <w:basedOn w:val="DefaultParagraphFont"/>
    <w:rsid w:val="004A30F8"/>
  </w:style>
  <w:style w:type="character" w:customStyle="1" w:styleId="googlescholar-container">
    <w:name w:val="googlescholar-container"/>
    <w:basedOn w:val="DefaultParagraphFont"/>
    <w:rsid w:val="004A30F8"/>
  </w:style>
  <w:style w:type="character" w:customStyle="1" w:styleId="hlfld-contribauthor">
    <w:name w:val="hlfld-contribauthor"/>
    <w:basedOn w:val="DefaultParagraphFont"/>
    <w:rsid w:val="004A30F8"/>
  </w:style>
  <w:style w:type="character" w:customStyle="1" w:styleId="nlmgiven-names">
    <w:name w:val="nlm_given-names"/>
    <w:basedOn w:val="DefaultParagraphFont"/>
    <w:rsid w:val="004A30F8"/>
  </w:style>
  <w:style w:type="character" w:customStyle="1" w:styleId="nlmfpage">
    <w:name w:val="nlm_fpage"/>
    <w:basedOn w:val="DefaultParagraphFont"/>
    <w:rsid w:val="004A30F8"/>
  </w:style>
  <w:style w:type="character" w:customStyle="1" w:styleId="nlmlpage">
    <w:name w:val="nlm_lpage"/>
    <w:basedOn w:val="DefaultParagraphFont"/>
    <w:rsid w:val="004A30F8"/>
  </w:style>
  <w:style w:type="paragraph" w:styleId="NoSpacing">
    <w:name w:val="No Spacing"/>
    <w:uiPriority w:val="1"/>
    <w:qFormat/>
    <w:rsid w:val="009C689A"/>
    <w:pPr>
      <w:spacing w:after="0" w:line="240" w:lineRule="auto"/>
    </w:pPr>
  </w:style>
  <w:style w:type="paragraph" w:styleId="ListParagraph">
    <w:name w:val="List Paragraph"/>
    <w:basedOn w:val="Normal"/>
    <w:uiPriority w:val="34"/>
    <w:qFormat/>
    <w:rsid w:val="00377D72"/>
    <w:pPr>
      <w:ind w:left="720"/>
      <w:contextualSpacing/>
    </w:pPr>
  </w:style>
  <w:style w:type="paragraph" w:styleId="BalloonText">
    <w:name w:val="Balloon Text"/>
    <w:basedOn w:val="Normal"/>
    <w:link w:val="BalloonTextChar"/>
    <w:uiPriority w:val="99"/>
    <w:semiHidden/>
    <w:unhideWhenUsed/>
    <w:rsid w:val="00054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ADE"/>
    <w:rPr>
      <w:rFonts w:ascii="Tahoma" w:hAnsi="Tahoma" w:cs="Tahoma"/>
      <w:sz w:val="16"/>
      <w:szCs w:val="16"/>
    </w:rPr>
  </w:style>
  <w:style w:type="paragraph" w:styleId="Header">
    <w:name w:val="header"/>
    <w:basedOn w:val="Normal"/>
    <w:link w:val="HeaderChar"/>
    <w:uiPriority w:val="99"/>
    <w:unhideWhenUsed/>
    <w:rsid w:val="003C7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40D"/>
  </w:style>
  <w:style w:type="paragraph" w:styleId="Footer">
    <w:name w:val="footer"/>
    <w:basedOn w:val="Normal"/>
    <w:link w:val="FooterChar"/>
    <w:uiPriority w:val="99"/>
    <w:unhideWhenUsed/>
    <w:rsid w:val="003C7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40D"/>
  </w:style>
  <w:style w:type="character" w:styleId="Strong">
    <w:name w:val="Strong"/>
    <w:basedOn w:val="DefaultParagraphFont"/>
    <w:uiPriority w:val="22"/>
    <w:qFormat/>
    <w:rsid w:val="000E0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1921">
      <w:bodyDiv w:val="1"/>
      <w:marLeft w:val="0"/>
      <w:marRight w:val="0"/>
      <w:marTop w:val="0"/>
      <w:marBottom w:val="0"/>
      <w:divBdr>
        <w:top w:val="none" w:sz="0" w:space="0" w:color="auto"/>
        <w:left w:val="none" w:sz="0" w:space="0" w:color="auto"/>
        <w:bottom w:val="none" w:sz="0" w:space="0" w:color="auto"/>
        <w:right w:val="none" w:sz="0" w:space="0" w:color="auto"/>
      </w:divBdr>
    </w:div>
    <w:div w:id="107539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hqlibdoc.who.int/publications/2008/9789241596299_eng.pdf"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OCTO\Desktop\SPM\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OCTO\Desktop\SPM\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Female Burn cases</a:t>
            </a:r>
          </a:p>
        </c:rich>
      </c:tx>
      <c:overlay val="0"/>
    </c:title>
    <c:autoTitleDeleted val="0"/>
    <c:plotArea>
      <c:layout/>
      <c:pieChart>
        <c:varyColors val="1"/>
        <c:ser>
          <c:idx val="0"/>
          <c:order val="0"/>
          <c:tx>
            <c:strRef>
              <c:f>Sheet1!$D$104</c:f>
              <c:strCache>
                <c:ptCount val="1"/>
                <c:pt idx="0">
                  <c:v>Female Burn cases</c:v>
                </c:pt>
              </c:strCache>
            </c:strRef>
          </c:tx>
          <c:cat>
            <c:strRef>
              <c:f>Sheet1!$C$105:$C$109</c:f>
              <c:strCache>
                <c:ptCount val="5"/>
                <c:pt idx="0">
                  <c:v>Accidental</c:v>
                </c:pt>
                <c:pt idx="1">
                  <c:v>Homicidal</c:v>
                </c:pt>
                <c:pt idx="2">
                  <c:v>suicidal</c:v>
                </c:pt>
                <c:pt idx="3">
                  <c:v>other not differentiated</c:v>
                </c:pt>
                <c:pt idx="4">
                  <c:v>Total</c:v>
                </c:pt>
              </c:strCache>
            </c:strRef>
          </c:cat>
          <c:val>
            <c:numRef>
              <c:f>Sheet1!$D$105:$D$109</c:f>
              <c:numCache>
                <c:formatCode>General</c:formatCode>
                <c:ptCount val="5"/>
                <c:pt idx="0">
                  <c:v>156</c:v>
                </c:pt>
                <c:pt idx="1">
                  <c:v>72</c:v>
                </c:pt>
                <c:pt idx="2">
                  <c:v>91</c:v>
                </c:pt>
                <c:pt idx="3">
                  <c:v>62</c:v>
                </c:pt>
                <c:pt idx="4">
                  <c:v>381</c:v>
                </c:pt>
              </c:numCache>
            </c:numRef>
          </c:val>
        </c:ser>
        <c:ser>
          <c:idx val="1"/>
          <c:order val="1"/>
          <c:tx>
            <c:strRef>
              <c:f>Sheet1!$E$104</c:f>
              <c:strCache>
                <c:ptCount val="1"/>
                <c:pt idx="0">
                  <c:v>percentage</c:v>
                </c:pt>
              </c:strCache>
            </c:strRef>
          </c:tx>
          <c:cat>
            <c:strRef>
              <c:f>Sheet1!$C$105:$C$109</c:f>
              <c:strCache>
                <c:ptCount val="5"/>
                <c:pt idx="0">
                  <c:v>Accidental</c:v>
                </c:pt>
                <c:pt idx="1">
                  <c:v>Homicidal</c:v>
                </c:pt>
                <c:pt idx="2">
                  <c:v>suicidal</c:v>
                </c:pt>
                <c:pt idx="3">
                  <c:v>other not differentiated</c:v>
                </c:pt>
                <c:pt idx="4">
                  <c:v>Total</c:v>
                </c:pt>
              </c:strCache>
            </c:strRef>
          </c:cat>
          <c:val>
            <c:numRef>
              <c:f>Sheet1!$E$105:$E$109</c:f>
              <c:numCache>
                <c:formatCode>0%</c:formatCode>
                <c:ptCount val="5"/>
                <c:pt idx="0">
                  <c:v>0.41</c:v>
                </c:pt>
                <c:pt idx="1">
                  <c:v>0.19</c:v>
                </c:pt>
                <c:pt idx="2">
                  <c:v>0.24</c:v>
                </c:pt>
                <c:pt idx="3">
                  <c:v>0.16</c:v>
                </c:pt>
                <c:pt idx="4">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spPr>
            <a:ln>
              <a:solidFill>
                <a:srgbClr val="FF0000">
                  <a:alpha val="90000"/>
                </a:srgbClr>
              </a:solidFill>
            </a:ln>
            <a:scene3d>
              <a:camera prst="orthographicFront"/>
              <a:lightRig rig="threePt" dir="t"/>
            </a:scene3d>
            <a:sp3d>
              <a:bevelT prst="relaxedInset"/>
            </a:sp3d>
          </c:spPr>
          <c:invertIfNegative val="0"/>
          <c:cat>
            <c:strRef>
              <c:f>Sheet1!$K$80:$K$88</c:f>
              <c:strCache>
                <c:ptCount val="9"/>
                <c:pt idx="0">
                  <c:v>septicemia+pneumonia+acute renal failure</c:v>
                </c:pt>
                <c:pt idx="3">
                  <c:v>Exhaustion</c:v>
                </c:pt>
                <c:pt idx="4">
                  <c:v>Neurogenic shock</c:v>
                </c:pt>
                <c:pt idx="5">
                  <c:v>Electric shock</c:v>
                </c:pt>
                <c:pt idx="6">
                  <c:v>asphyxia</c:v>
                </c:pt>
                <c:pt idx="7">
                  <c:v>hypovolumic shock</c:v>
                </c:pt>
                <c:pt idx="8">
                  <c:v>Multi-organ failure</c:v>
                </c:pt>
              </c:strCache>
            </c:strRef>
          </c:cat>
          <c:val>
            <c:numRef>
              <c:f>Sheet1!$L$80:$L$88</c:f>
              <c:numCache>
                <c:formatCode>General</c:formatCode>
                <c:ptCount val="9"/>
                <c:pt idx="0">
                  <c:v>106</c:v>
                </c:pt>
                <c:pt idx="3">
                  <c:v>30</c:v>
                </c:pt>
                <c:pt idx="4">
                  <c:v>98</c:v>
                </c:pt>
                <c:pt idx="5">
                  <c:v>27</c:v>
                </c:pt>
                <c:pt idx="6">
                  <c:v>41</c:v>
                </c:pt>
                <c:pt idx="7">
                  <c:v>53</c:v>
                </c:pt>
                <c:pt idx="8">
                  <c:v>22</c:v>
                </c:pt>
              </c:numCache>
            </c:numRef>
          </c:val>
        </c:ser>
        <c:ser>
          <c:idx val="1"/>
          <c:order val="1"/>
          <c:invertIfNegative val="0"/>
          <c:cat>
            <c:strRef>
              <c:f>Sheet1!$K$80:$K$88</c:f>
              <c:strCache>
                <c:ptCount val="9"/>
                <c:pt idx="0">
                  <c:v>septicemia+pneumonia+acute renal failure</c:v>
                </c:pt>
                <c:pt idx="3">
                  <c:v>Exhaustion</c:v>
                </c:pt>
                <c:pt idx="4">
                  <c:v>Neurogenic shock</c:v>
                </c:pt>
                <c:pt idx="5">
                  <c:v>Electric shock</c:v>
                </c:pt>
                <c:pt idx="6">
                  <c:v>asphyxia</c:v>
                </c:pt>
                <c:pt idx="7">
                  <c:v>hypovolumic shock</c:v>
                </c:pt>
                <c:pt idx="8">
                  <c:v>Multi-organ failure</c:v>
                </c:pt>
              </c:strCache>
            </c:strRef>
          </c:cat>
          <c:val>
            <c:numRef>
              <c:f>Sheet1!$M$80:$M$88</c:f>
              <c:numCache>
                <c:formatCode>General</c:formatCode>
                <c:ptCount val="9"/>
                <c:pt idx="0" formatCode="0%">
                  <c:v>0.28000000000000003</c:v>
                </c:pt>
                <c:pt idx="3" formatCode="0%">
                  <c:v>0.08</c:v>
                </c:pt>
                <c:pt idx="4" formatCode="0%">
                  <c:v>0.25</c:v>
                </c:pt>
                <c:pt idx="5" formatCode="0%">
                  <c:v>0.08</c:v>
                </c:pt>
                <c:pt idx="6" formatCode="0%">
                  <c:v>0.11</c:v>
                </c:pt>
                <c:pt idx="7" formatCode="0%">
                  <c:v>0.14000000000000001</c:v>
                </c:pt>
                <c:pt idx="8" formatCode="0%">
                  <c:v>0.06</c:v>
                </c:pt>
              </c:numCache>
            </c:numRef>
          </c:val>
        </c:ser>
        <c:dLbls>
          <c:showLegendKey val="0"/>
          <c:showVal val="0"/>
          <c:showCatName val="0"/>
          <c:showSerName val="0"/>
          <c:showPercent val="0"/>
          <c:showBubbleSize val="0"/>
        </c:dLbls>
        <c:gapWidth val="150"/>
        <c:axId val="74441728"/>
        <c:axId val="35780800"/>
      </c:barChart>
      <c:catAx>
        <c:axId val="74441728"/>
        <c:scaling>
          <c:orientation val="minMax"/>
        </c:scaling>
        <c:delete val="0"/>
        <c:axPos val="b"/>
        <c:majorTickMark val="out"/>
        <c:minorTickMark val="none"/>
        <c:tickLblPos val="nextTo"/>
        <c:crossAx val="35780800"/>
        <c:crosses val="autoZero"/>
        <c:auto val="1"/>
        <c:lblAlgn val="ctr"/>
        <c:lblOffset val="100"/>
        <c:noMultiLvlLbl val="0"/>
      </c:catAx>
      <c:valAx>
        <c:axId val="35780800"/>
        <c:scaling>
          <c:orientation val="minMax"/>
        </c:scaling>
        <c:delete val="0"/>
        <c:axPos val="l"/>
        <c:majorGridlines/>
        <c:numFmt formatCode="General" sourceLinked="1"/>
        <c:majorTickMark val="out"/>
        <c:minorTickMark val="none"/>
        <c:tickLblPos val="nextTo"/>
        <c:crossAx val="74441728"/>
        <c:crosses val="autoZero"/>
        <c:crossBetween val="between"/>
      </c:valAx>
    </c:plotArea>
    <c:legend>
      <c:legendPos val="r"/>
      <c:legendEntry>
        <c:idx val="1"/>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12</Pages>
  <Words>2674</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dc:creator>
  <cp:lastModifiedBy>DOCTO</cp:lastModifiedBy>
  <cp:revision>41</cp:revision>
  <dcterms:created xsi:type="dcterms:W3CDTF">2019-03-28T06:08:00Z</dcterms:created>
  <dcterms:modified xsi:type="dcterms:W3CDTF">2019-03-29T17:51:00Z</dcterms:modified>
</cp:coreProperties>
</file>