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4A3" w:rsidRPr="005F251E" w:rsidRDefault="005F251E" w:rsidP="00F42FFB">
      <w:pPr>
        <w:spacing w:line="240" w:lineRule="auto"/>
        <w:rPr>
          <w:rFonts w:ascii="Hiroshige ATT" w:hAnsi="Hiroshige ATT" w:cs="Kartika"/>
          <w:b/>
          <w:sz w:val="44"/>
          <w:szCs w:val="44"/>
        </w:rPr>
      </w:pPr>
      <w:r w:rsidRPr="005F251E">
        <w:rPr>
          <w:rFonts w:ascii="Times New Roman" w:hAnsi="Times New Roman" w:cs="Times New Roman"/>
          <w:b/>
          <w:sz w:val="44"/>
          <w:szCs w:val="44"/>
        </w:rPr>
        <w:t xml:space="preserve">Zinc </w:t>
      </w:r>
      <w:proofErr w:type="gramStart"/>
      <w:r w:rsidRPr="005F251E">
        <w:rPr>
          <w:rFonts w:ascii="Times New Roman" w:hAnsi="Times New Roman" w:cs="Times New Roman"/>
          <w:b/>
          <w:sz w:val="44"/>
          <w:szCs w:val="44"/>
        </w:rPr>
        <w:t>And</w:t>
      </w:r>
      <w:proofErr w:type="gramEnd"/>
      <w:r w:rsidRPr="005F251E">
        <w:rPr>
          <w:rFonts w:ascii="Times New Roman" w:hAnsi="Times New Roman" w:cs="Times New Roman"/>
          <w:b/>
          <w:sz w:val="44"/>
          <w:szCs w:val="44"/>
        </w:rPr>
        <w:t xml:space="preserve"> </w:t>
      </w:r>
      <w:proofErr w:type="spellStart"/>
      <w:r w:rsidRPr="005F251E">
        <w:rPr>
          <w:rFonts w:ascii="Times New Roman" w:hAnsi="Times New Roman" w:cs="Times New Roman"/>
          <w:b/>
          <w:sz w:val="44"/>
          <w:szCs w:val="44"/>
        </w:rPr>
        <w:t>Ferritin</w:t>
      </w:r>
      <w:proofErr w:type="spellEnd"/>
      <w:r w:rsidRPr="005F251E">
        <w:rPr>
          <w:rFonts w:ascii="Times New Roman" w:hAnsi="Times New Roman" w:cs="Times New Roman"/>
          <w:b/>
          <w:sz w:val="44"/>
          <w:szCs w:val="44"/>
        </w:rPr>
        <w:t xml:space="preserve"> In </w:t>
      </w:r>
      <w:proofErr w:type="spellStart"/>
      <w:r w:rsidRPr="005F251E">
        <w:rPr>
          <w:rFonts w:ascii="Times New Roman" w:hAnsi="Times New Roman" w:cs="Times New Roman"/>
          <w:b/>
          <w:sz w:val="44"/>
          <w:szCs w:val="44"/>
        </w:rPr>
        <w:t>Haemoglobinopathies</w:t>
      </w:r>
      <w:proofErr w:type="spellEnd"/>
      <w:r w:rsidRPr="005F251E">
        <w:rPr>
          <w:rFonts w:ascii="Times New Roman" w:hAnsi="Times New Roman" w:cs="Times New Roman"/>
          <w:b/>
          <w:sz w:val="44"/>
          <w:szCs w:val="44"/>
        </w:rPr>
        <w:t xml:space="preserve"> (</w:t>
      </w:r>
      <w:proofErr w:type="spellStart"/>
      <w:r w:rsidRPr="005F251E">
        <w:rPr>
          <w:rFonts w:ascii="Times New Roman" w:hAnsi="Times New Roman" w:cs="Times New Roman"/>
          <w:b/>
          <w:sz w:val="44"/>
          <w:szCs w:val="44"/>
        </w:rPr>
        <w:t>Thalassemia</w:t>
      </w:r>
      <w:proofErr w:type="spellEnd"/>
      <w:r w:rsidRPr="005F251E">
        <w:rPr>
          <w:rFonts w:ascii="Times New Roman" w:hAnsi="Times New Roman" w:cs="Times New Roman"/>
          <w:b/>
          <w:sz w:val="44"/>
          <w:szCs w:val="44"/>
        </w:rPr>
        <w:t xml:space="preserve"> Major And Sickle Cell Anemia) an observational study </w:t>
      </w:r>
    </w:p>
    <w:p w:rsidR="001B7BD8" w:rsidRPr="00DE214C" w:rsidRDefault="001B7BD8" w:rsidP="00F42FFB">
      <w:pPr>
        <w:spacing w:line="240" w:lineRule="auto"/>
        <w:rPr>
          <w:rFonts w:ascii="Hiroshige ATT" w:hAnsi="Hiroshige ATT" w:cs="Kartika"/>
          <w:b/>
          <w:sz w:val="28"/>
          <w:szCs w:val="28"/>
        </w:rPr>
      </w:pPr>
      <w:r w:rsidRPr="00DE214C">
        <w:rPr>
          <w:rFonts w:ascii="Hiroshige ATT" w:hAnsi="Hiroshige ATT" w:cs="Kartika"/>
          <w:b/>
          <w:sz w:val="28"/>
          <w:szCs w:val="28"/>
        </w:rPr>
        <w:t xml:space="preserve">Abstract </w:t>
      </w:r>
    </w:p>
    <w:p w:rsidR="00CB38FB" w:rsidRPr="00DE214C" w:rsidRDefault="00085203" w:rsidP="005174E3">
      <w:pPr>
        <w:spacing w:line="240" w:lineRule="auto"/>
        <w:rPr>
          <w:rFonts w:ascii="Times New Roman" w:eastAsia="Calibri" w:hAnsi="Times New Roman" w:cs="Times New Roman"/>
          <w:bCs/>
          <w:sz w:val="20"/>
          <w:szCs w:val="20"/>
        </w:rPr>
      </w:pPr>
      <w:proofErr w:type="gramStart"/>
      <w:r w:rsidRPr="00DE214C">
        <w:rPr>
          <w:rFonts w:ascii="Times New Roman" w:hAnsi="Times New Roman" w:cs="Times New Roman"/>
          <w:b/>
          <w:i/>
          <w:sz w:val="20"/>
          <w:szCs w:val="20"/>
        </w:rPr>
        <w:t>Introduction</w:t>
      </w:r>
      <w:r w:rsidR="001B7BD8" w:rsidRPr="00DE214C">
        <w:rPr>
          <w:rFonts w:ascii="Times New Roman" w:hAnsi="Times New Roman" w:cs="Times New Roman"/>
          <w:b/>
          <w:sz w:val="20"/>
          <w:szCs w:val="20"/>
        </w:rPr>
        <w:t xml:space="preserve"> :</w:t>
      </w:r>
      <w:proofErr w:type="gramEnd"/>
      <w:r w:rsidR="001B7BD8" w:rsidRPr="00DE214C">
        <w:rPr>
          <w:rFonts w:ascii="Times New Roman" w:hAnsi="Times New Roman" w:cs="Times New Roman"/>
          <w:sz w:val="20"/>
          <w:szCs w:val="20"/>
        </w:rPr>
        <w:t xml:space="preserve"> It has been estimated that with a population of 1000 million at the millennium year 2000 and a birth rate of 25 per thousand, there would be about 45 million carriers and about 15,000 infants born each year with </w:t>
      </w:r>
      <w:proofErr w:type="spellStart"/>
      <w:r w:rsidR="001B7BD8" w:rsidRPr="00DE214C">
        <w:rPr>
          <w:rFonts w:ascii="Times New Roman" w:hAnsi="Times New Roman" w:cs="Times New Roman"/>
          <w:sz w:val="20"/>
          <w:szCs w:val="20"/>
        </w:rPr>
        <w:t>haemoglobinopathies</w:t>
      </w:r>
      <w:proofErr w:type="spellEnd"/>
      <w:r w:rsidR="001B7BD8" w:rsidRPr="00DE214C">
        <w:rPr>
          <w:rFonts w:ascii="Times New Roman" w:hAnsi="Times New Roman" w:cs="Times New Roman"/>
          <w:sz w:val="20"/>
          <w:szCs w:val="20"/>
        </w:rPr>
        <w:t xml:space="preserve"> in India.</w:t>
      </w:r>
      <w:r w:rsidR="00D37485" w:rsidRPr="00DE214C">
        <w:rPr>
          <w:rFonts w:ascii="Times New Roman" w:hAnsi="Times New Roman" w:cs="Times New Roman"/>
          <w:sz w:val="20"/>
          <w:szCs w:val="20"/>
          <w:lang w:val="en-IN"/>
        </w:rPr>
        <w:t xml:space="preserve"> The present study is taken up</w:t>
      </w:r>
      <w:r w:rsidR="00E46CF6">
        <w:rPr>
          <w:rFonts w:ascii="Times New Roman" w:hAnsi="Times New Roman" w:cs="Times New Roman"/>
          <w:sz w:val="20"/>
          <w:szCs w:val="20"/>
          <w:lang w:val="en-IN"/>
        </w:rPr>
        <w:t xml:space="preserve"> with special emphasis to paediatric </w:t>
      </w:r>
      <w:r w:rsidR="00D37485" w:rsidRPr="00DE214C">
        <w:rPr>
          <w:rFonts w:ascii="Times New Roman" w:hAnsi="Times New Roman" w:cs="Times New Roman"/>
          <w:sz w:val="20"/>
          <w:szCs w:val="20"/>
          <w:lang w:val="en-IN"/>
        </w:rPr>
        <w:t xml:space="preserve"> patients with </w:t>
      </w:r>
      <w:proofErr w:type="spellStart"/>
      <w:r w:rsidR="00D37485" w:rsidRPr="00DE214C">
        <w:rPr>
          <w:rFonts w:ascii="Times New Roman" w:hAnsi="Times New Roman" w:cs="Times New Roman"/>
          <w:sz w:val="20"/>
          <w:szCs w:val="20"/>
          <w:lang w:val="en-IN"/>
        </w:rPr>
        <w:t>thalassemia</w:t>
      </w:r>
      <w:proofErr w:type="spellEnd"/>
      <w:r w:rsidR="00DE214C" w:rsidRPr="00DE214C">
        <w:rPr>
          <w:rFonts w:ascii="Times New Roman" w:hAnsi="Times New Roman" w:cs="Times New Roman"/>
          <w:sz w:val="20"/>
          <w:szCs w:val="20"/>
          <w:lang w:val="en-IN"/>
        </w:rPr>
        <w:t xml:space="preserve"> major</w:t>
      </w:r>
      <w:r w:rsidR="00D37485" w:rsidRPr="00DE214C">
        <w:rPr>
          <w:rFonts w:ascii="Times New Roman" w:hAnsi="Times New Roman" w:cs="Times New Roman"/>
          <w:sz w:val="20"/>
          <w:szCs w:val="20"/>
          <w:lang w:val="en-IN"/>
        </w:rPr>
        <w:t xml:space="preserve"> and sickle cell </w:t>
      </w:r>
      <w:proofErr w:type="spellStart"/>
      <w:r w:rsidR="00D37485" w:rsidRPr="00DE214C">
        <w:rPr>
          <w:rFonts w:ascii="Times New Roman" w:hAnsi="Times New Roman" w:cs="Times New Roman"/>
          <w:sz w:val="20"/>
          <w:szCs w:val="20"/>
          <w:lang w:val="en-IN"/>
        </w:rPr>
        <w:t>anemia</w:t>
      </w:r>
      <w:proofErr w:type="spellEnd"/>
      <w:r w:rsidR="00D37485" w:rsidRPr="00DE214C">
        <w:rPr>
          <w:rFonts w:ascii="Times New Roman" w:hAnsi="Times New Roman" w:cs="Times New Roman"/>
          <w:sz w:val="20"/>
          <w:szCs w:val="20"/>
          <w:lang w:val="en-IN"/>
        </w:rPr>
        <w:t xml:space="preserve"> .</w:t>
      </w:r>
      <w:proofErr w:type="spellStart"/>
      <w:r w:rsidRPr="00DE214C">
        <w:rPr>
          <w:rFonts w:ascii="Times New Roman" w:hAnsi="Times New Roman" w:cs="Times New Roman"/>
          <w:b/>
          <w:i/>
          <w:sz w:val="20"/>
          <w:szCs w:val="20"/>
          <w:lang w:val="en-IN"/>
        </w:rPr>
        <w:t>Aim</w:t>
      </w:r>
      <w:r w:rsidRPr="00DE214C">
        <w:rPr>
          <w:rFonts w:ascii="Times New Roman" w:hAnsi="Times New Roman" w:cs="Times New Roman"/>
          <w:sz w:val="20"/>
          <w:szCs w:val="20"/>
          <w:lang w:val="en-IN"/>
        </w:rPr>
        <w:t>:</w:t>
      </w:r>
      <w:r w:rsidR="00C103B7">
        <w:rPr>
          <w:rFonts w:ascii="Times New Roman" w:hAnsi="Times New Roman" w:cs="Times New Roman"/>
          <w:sz w:val="20"/>
          <w:szCs w:val="20"/>
          <w:lang w:val="en-IN"/>
        </w:rPr>
        <w:t>To</w:t>
      </w:r>
      <w:proofErr w:type="spellEnd"/>
      <w:r w:rsidR="00C103B7">
        <w:rPr>
          <w:rFonts w:ascii="Times New Roman" w:hAnsi="Times New Roman" w:cs="Times New Roman"/>
          <w:sz w:val="20"/>
          <w:szCs w:val="20"/>
          <w:lang w:val="en-IN"/>
        </w:rPr>
        <w:t xml:space="preserve"> measure</w:t>
      </w:r>
      <w:r w:rsidRPr="00C103B7">
        <w:rPr>
          <w:rFonts w:ascii="Times New Roman" w:hAnsi="Times New Roman" w:cs="Times New Roman"/>
          <w:sz w:val="20"/>
          <w:szCs w:val="20"/>
          <w:lang w:val="en-IN"/>
        </w:rPr>
        <w:t xml:space="preserve"> serum zinc and </w:t>
      </w:r>
      <w:proofErr w:type="spellStart"/>
      <w:r w:rsidRPr="00C103B7">
        <w:rPr>
          <w:rFonts w:ascii="Times New Roman" w:hAnsi="Times New Roman" w:cs="Times New Roman"/>
          <w:sz w:val="20"/>
          <w:szCs w:val="20"/>
          <w:lang w:val="en-IN"/>
        </w:rPr>
        <w:t>ferritin</w:t>
      </w:r>
      <w:proofErr w:type="spellEnd"/>
      <w:r w:rsidRPr="00C103B7">
        <w:rPr>
          <w:rFonts w:ascii="Times New Roman" w:hAnsi="Times New Roman" w:cs="Times New Roman"/>
          <w:sz w:val="20"/>
          <w:szCs w:val="20"/>
          <w:lang w:val="en-IN"/>
        </w:rPr>
        <w:t xml:space="preserve"> </w:t>
      </w:r>
      <w:r w:rsidR="00C103B7">
        <w:rPr>
          <w:rFonts w:ascii="Times New Roman" w:hAnsi="Times New Roman" w:cs="Times New Roman"/>
          <w:sz w:val="20"/>
          <w:szCs w:val="20"/>
          <w:lang w:val="en-IN"/>
        </w:rPr>
        <w:t xml:space="preserve">levels </w:t>
      </w:r>
      <w:r w:rsidRPr="00C103B7">
        <w:rPr>
          <w:rFonts w:ascii="Times New Roman" w:hAnsi="Times New Roman" w:cs="Times New Roman"/>
          <w:sz w:val="20"/>
          <w:szCs w:val="20"/>
          <w:lang w:val="en-IN"/>
        </w:rPr>
        <w:t xml:space="preserve">in </w:t>
      </w:r>
      <w:r w:rsidR="003E7E24" w:rsidRPr="00C103B7">
        <w:rPr>
          <w:rFonts w:ascii="Times New Roman" w:hAnsi="Times New Roman" w:cs="Times New Roman"/>
          <w:sz w:val="20"/>
          <w:szCs w:val="20"/>
          <w:lang w:val="en-IN"/>
        </w:rPr>
        <w:t xml:space="preserve">paediatric </w:t>
      </w:r>
      <w:proofErr w:type="spellStart"/>
      <w:r w:rsidRPr="00C103B7">
        <w:rPr>
          <w:rFonts w:ascii="Times New Roman" w:hAnsi="Times New Roman" w:cs="Times New Roman"/>
          <w:sz w:val="20"/>
          <w:szCs w:val="20"/>
          <w:lang w:val="en-IN"/>
        </w:rPr>
        <w:t>thalassemia</w:t>
      </w:r>
      <w:proofErr w:type="spellEnd"/>
      <w:r w:rsidRPr="00C103B7">
        <w:rPr>
          <w:rFonts w:ascii="Times New Roman" w:hAnsi="Times New Roman" w:cs="Times New Roman"/>
          <w:sz w:val="20"/>
          <w:szCs w:val="20"/>
          <w:lang w:val="en-IN"/>
        </w:rPr>
        <w:t xml:space="preserve"> </w:t>
      </w:r>
      <w:proofErr w:type="gramStart"/>
      <w:r w:rsidR="00DE214C" w:rsidRPr="00C103B7">
        <w:rPr>
          <w:rFonts w:ascii="Times New Roman" w:hAnsi="Times New Roman" w:cs="Times New Roman"/>
          <w:sz w:val="20"/>
          <w:szCs w:val="20"/>
          <w:lang w:val="en-IN"/>
        </w:rPr>
        <w:t>major</w:t>
      </w:r>
      <w:proofErr w:type="gramEnd"/>
      <w:r w:rsidR="00DE214C" w:rsidRPr="00C103B7">
        <w:rPr>
          <w:rFonts w:ascii="Times New Roman" w:hAnsi="Times New Roman" w:cs="Times New Roman"/>
          <w:sz w:val="20"/>
          <w:szCs w:val="20"/>
          <w:lang w:val="en-IN"/>
        </w:rPr>
        <w:t xml:space="preserve"> </w:t>
      </w:r>
      <w:r w:rsidRPr="00C103B7">
        <w:rPr>
          <w:rFonts w:ascii="Times New Roman" w:hAnsi="Times New Roman" w:cs="Times New Roman"/>
          <w:sz w:val="20"/>
          <w:szCs w:val="20"/>
          <w:lang w:val="en-IN"/>
        </w:rPr>
        <w:t xml:space="preserve">and sickle cell </w:t>
      </w:r>
      <w:proofErr w:type="spellStart"/>
      <w:r w:rsidRPr="00C103B7">
        <w:rPr>
          <w:rFonts w:ascii="Times New Roman" w:hAnsi="Times New Roman" w:cs="Times New Roman"/>
          <w:sz w:val="20"/>
          <w:szCs w:val="20"/>
          <w:lang w:val="en-IN"/>
        </w:rPr>
        <w:t>anemia</w:t>
      </w:r>
      <w:proofErr w:type="spellEnd"/>
      <w:r w:rsidR="003E7E24" w:rsidRPr="00C103B7">
        <w:rPr>
          <w:rFonts w:ascii="Times New Roman" w:hAnsi="Times New Roman" w:cs="Times New Roman"/>
          <w:sz w:val="20"/>
          <w:szCs w:val="20"/>
          <w:lang w:val="en-IN"/>
        </w:rPr>
        <w:t xml:space="preserve"> patients</w:t>
      </w:r>
      <w:r w:rsidRPr="00DE214C">
        <w:rPr>
          <w:rFonts w:ascii="Times New Roman" w:hAnsi="Times New Roman" w:cs="Times New Roman"/>
          <w:sz w:val="20"/>
          <w:szCs w:val="20"/>
          <w:lang w:val="en-IN"/>
        </w:rPr>
        <w:t xml:space="preserve"> .</w:t>
      </w:r>
      <w:r w:rsidRPr="00DE214C">
        <w:rPr>
          <w:rFonts w:ascii="Times New Roman" w:hAnsi="Times New Roman" w:cs="Times New Roman"/>
          <w:b/>
          <w:i/>
          <w:sz w:val="20"/>
          <w:szCs w:val="20"/>
          <w:lang w:val="en-IN"/>
        </w:rPr>
        <w:t>Method</w:t>
      </w:r>
      <w:r w:rsidRPr="00DE214C">
        <w:rPr>
          <w:rFonts w:ascii="Times New Roman" w:hAnsi="Times New Roman" w:cs="Times New Roman"/>
          <w:b/>
          <w:sz w:val="20"/>
          <w:szCs w:val="20"/>
          <w:lang w:val="en-IN"/>
        </w:rPr>
        <w:t xml:space="preserve"> </w:t>
      </w:r>
      <w:r w:rsidRPr="00DE214C">
        <w:rPr>
          <w:rFonts w:ascii="Times New Roman" w:hAnsi="Times New Roman" w:cs="Times New Roman"/>
          <w:sz w:val="20"/>
          <w:szCs w:val="20"/>
          <w:lang w:val="en-IN"/>
        </w:rPr>
        <w:t>:</w:t>
      </w:r>
      <w:r w:rsidR="00C103B7">
        <w:rPr>
          <w:rFonts w:ascii="Times New Roman" w:hAnsi="Times New Roman" w:cs="Times New Roman"/>
          <w:sz w:val="20"/>
          <w:szCs w:val="20"/>
          <w:lang w:val="en-IN"/>
        </w:rPr>
        <w:t xml:space="preserve"> S</w:t>
      </w:r>
      <w:r w:rsidRPr="00DE214C">
        <w:rPr>
          <w:rFonts w:ascii="Times New Roman" w:hAnsi="Times New Roman" w:cs="Times New Roman"/>
          <w:sz w:val="20"/>
          <w:szCs w:val="20"/>
          <w:lang w:val="en-IN"/>
        </w:rPr>
        <w:t>erum zinc estimated by colorimetric method</w:t>
      </w:r>
      <w:r w:rsidR="00C42D00" w:rsidRPr="00DE214C">
        <w:rPr>
          <w:rFonts w:ascii="Times New Roman" w:hAnsi="Times New Roman" w:cs="Times New Roman"/>
          <w:sz w:val="20"/>
          <w:szCs w:val="20"/>
          <w:lang w:val="en-IN"/>
        </w:rPr>
        <w:t xml:space="preserve"> and </w:t>
      </w:r>
      <w:proofErr w:type="spellStart"/>
      <w:r w:rsidR="00C103B7">
        <w:rPr>
          <w:rFonts w:ascii="Times New Roman" w:hAnsi="Times New Roman" w:cs="Times New Roman"/>
          <w:sz w:val="20"/>
          <w:szCs w:val="20"/>
          <w:lang w:val="en-IN"/>
        </w:rPr>
        <w:t>ferritin</w:t>
      </w:r>
      <w:proofErr w:type="spellEnd"/>
      <w:r w:rsidR="00C103B7">
        <w:rPr>
          <w:rFonts w:ascii="Times New Roman" w:hAnsi="Times New Roman" w:cs="Times New Roman"/>
          <w:sz w:val="20"/>
          <w:szCs w:val="20"/>
          <w:lang w:val="en-IN"/>
        </w:rPr>
        <w:t xml:space="preserve"> by </w:t>
      </w:r>
      <w:proofErr w:type="spellStart"/>
      <w:r w:rsidR="00C103B7">
        <w:rPr>
          <w:rFonts w:ascii="Times New Roman" w:hAnsi="Times New Roman" w:cs="Times New Roman"/>
          <w:sz w:val="20"/>
          <w:szCs w:val="20"/>
          <w:lang w:val="en-IN"/>
        </w:rPr>
        <w:t>immunoradiometric</w:t>
      </w:r>
      <w:proofErr w:type="spellEnd"/>
      <w:r w:rsidR="00C103B7">
        <w:rPr>
          <w:rFonts w:ascii="Times New Roman" w:hAnsi="Times New Roman" w:cs="Times New Roman"/>
          <w:sz w:val="20"/>
          <w:szCs w:val="20"/>
          <w:lang w:val="en-IN"/>
        </w:rPr>
        <w:t xml:space="preserve"> method .</w:t>
      </w:r>
      <w:r w:rsidR="00C42D00" w:rsidRPr="00DE214C">
        <w:rPr>
          <w:rFonts w:ascii="Times New Roman" w:hAnsi="Times New Roman" w:cs="Times New Roman"/>
          <w:sz w:val="20"/>
          <w:szCs w:val="20"/>
          <w:lang w:val="en-IN"/>
        </w:rPr>
        <w:t>.</w:t>
      </w:r>
      <w:r w:rsidR="00C42D00" w:rsidRPr="00DE214C">
        <w:rPr>
          <w:rFonts w:ascii="Times New Roman" w:hAnsi="Times New Roman" w:cs="Times New Roman"/>
          <w:b/>
          <w:i/>
          <w:sz w:val="20"/>
          <w:szCs w:val="20"/>
          <w:lang w:val="en-IN"/>
        </w:rPr>
        <w:t>Result:</w:t>
      </w:r>
      <w:r w:rsidR="00C42D00" w:rsidRPr="00DE214C">
        <w:rPr>
          <w:rFonts w:ascii="Times New Roman" w:eastAsia="Calibri" w:hAnsi="Times New Roman" w:cs="Times New Roman"/>
          <w:bCs/>
          <w:sz w:val="20"/>
          <w:szCs w:val="20"/>
        </w:rPr>
        <w:t xml:space="preserve"> </w:t>
      </w:r>
      <w:r w:rsidR="00CB38FB" w:rsidRPr="00DE214C">
        <w:rPr>
          <w:rFonts w:ascii="Times New Roman" w:eastAsia="Calibri" w:hAnsi="Times New Roman" w:cs="Times New Roman"/>
          <w:bCs/>
          <w:sz w:val="20"/>
          <w:szCs w:val="20"/>
        </w:rPr>
        <w:t>M</w:t>
      </w:r>
      <w:r w:rsidR="00C42D00" w:rsidRPr="00DE214C">
        <w:rPr>
          <w:rFonts w:ascii="Times New Roman" w:eastAsia="Calibri" w:hAnsi="Times New Roman" w:cs="Times New Roman"/>
          <w:bCs/>
          <w:sz w:val="20"/>
          <w:szCs w:val="20"/>
        </w:rPr>
        <w:t xml:space="preserve">ean ± </w:t>
      </w:r>
      <w:r w:rsidR="00CB38FB" w:rsidRPr="00DE214C">
        <w:rPr>
          <w:rFonts w:ascii="Times New Roman" w:eastAsia="Calibri" w:hAnsi="Times New Roman" w:cs="Times New Roman"/>
          <w:bCs/>
          <w:sz w:val="20"/>
          <w:szCs w:val="20"/>
        </w:rPr>
        <w:t xml:space="preserve">S.D. </w:t>
      </w:r>
      <w:r w:rsidR="00C42D00" w:rsidRPr="00DE214C">
        <w:rPr>
          <w:rFonts w:ascii="Times New Roman" w:eastAsia="Calibri" w:hAnsi="Times New Roman" w:cs="Times New Roman"/>
          <w:bCs/>
          <w:sz w:val="20"/>
          <w:szCs w:val="20"/>
        </w:rPr>
        <w:t xml:space="preserve">of </w:t>
      </w:r>
      <w:proofErr w:type="gramStart"/>
      <w:r w:rsidR="00C42D00" w:rsidRPr="00DE214C">
        <w:rPr>
          <w:rFonts w:ascii="Times New Roman" w:eastAsia="Calibri" w:hAnsi="Times New Roman" w:cs="Times New Roman"/>
          <w:bCs/>
          <w:sz w:val="20"/>
          <w:szCs w:val="20"/>
        </w:rPr>
        <w:t>zinc  in</w:t>
      </w:r>
      <w:proofErr w:type="gramEnd"/>
      <w:r w:rsidR="00C42D00" w:rsidRPr="00DE214C">
        <w:rPr>
          <w:rFonts w:ascii="Times New Roman" w:eastAsia="Calibri" w:hAnsi="Times New Roman" w:cs="Times New Roman"/>
          <w:bCs/>
          <w:sz w:val="20"/>
          <w:szCs w:val="20"/>
        </w:rPr>
        <w:t xml:space="preserve"> </w:t>
      </w:r>
      <w:proofErr w:type="spellStart"/>
      <w:r w:rsidR="00CB38FB" w:rsidRPr="00DE214C">
        <w:rPr>
          <w:rFonts w:ascii="Times New Roman" w:eastAsia="Calibri" w:hAnsi="Times New Roman" w:cs="Times New Roman"/>
          <w:bCs/>
          <w:sz w:val="20"/>
          <w:szCs w:val="20"/>
        </w:rPr>
        <w:t>thalassemia</w:t>
      </w:r>
      <w:proofErr w:type="spellEnd"/>
      <w:r w:rsidR="009777ED" w:rsidRPr="00DE214C">
        <w:rPr>
          <w:rFonts w:ascii="Times New Roman" w:eastAsia="Calibri" w:hAnsi="Times New Roman" w:cs="Times New Roman"/>
          <w:bCs/>
          <w:sz w:val="20"/>
          <w:szCs w:val="20"/>
        </w:rPr>
        <w:t xml:space="preserve"> </w:t>
      </w:r>
      <w:r w:rsidR="00DE214C" w:rsidRPr="00DE214C">
        <w:rPr>
          <w:rFonts w:ascii="Times New Roman" w:eastAsia="Calibri" w:hAnsi="Times New Roman" w:cs="Times New Roman"/>
          <w:bCs/>
          <w:sz w:val="20"/>
          <w:szCs w:val="20"/>
        </w:rPr>
        <w:t xml:space="preserve">major </w:t>
      </w:r>
      <w:r w:rsidR="009777ED" w:rsidRPr="00DE214C">
        <w:rPr>
          <w:rFonts w:ascii="Times New Roman" w:eastAsia="Calibri" w:hAnsi="Times New Roman" w:cs="Times New Roman"/>
          <w:bCs/>
          <w:sz w:val="20"/>
          <w:szCs w:val="20"/>
        </w:rPr>
        <w:t xml:space="preserve">found to be lower than </w:t>
      </w:r>
      <w:r w:rsidR="00CB38FB" w:rsidRPr="00DE214C">
        <w:rPr>
          <w:rFonts w:ascii="Times New Roman" w:eastAsia="Calibri" w:hAnsi="Times New Roman" w:cs="Times New Roman"/>
          <w:bCs/>
          <w:sz w:val="20"/>
          <w:szCs w:val="20"/>
        </w:rPr>
        <w:t xml:space="preserve">sickle cell disease </w:t>
      </w:r>
      <w:r w:rsidR="005F251E">
        <w:rPr>
          <w:rFonts w:ascii="Times New Roman" w:eastAsia="Calibri" w:hAnsi="Times New Roman" w:cs="Times New Roman"/>
          <w:bCs/>
          <w:sz w:val="20"/>
          <w:szCs w:val="20"/>
        </w:rPr>
        <w:t xml:space="preserve">with zinc being in lower side of normal range in sickle cell anemia cases suggesting </w:t>
      </w:r>
      <w:proofErr w:type="spellStart"/>
      <w:r w:rsidR="005F251E">
        <w:rPr>
          <w:rFonts w:ascii="Times New Roman" w:eastAsia="Calibri" w:hAnsi="Times New Roman" w:cs="Times New Roman"/>
          <w:bCs/>
          <w:sz w:val="20"/>
          <w:szCs w:val="20"/>
        </w:rPr>
        <w:t>hypozincemia</w:t>
      </w:r>
      <w:proofErr w:type="spellEnd"/>
      <w:r w:rsidR="005F251E">
        <w:rPr>
          <w:rFonts w:ascii="Times New Roman" w:eastAsia="Calibri" w:hAnsi="Times New Roman" w:cs="Times New Roman"/>
          <w:bCs/>
          <w:sz w:val="20"/>
          <w:szCs w:val="20"/>
        </w:rPr>
        <w:t xml:space="preserve"> in both groups </w:t>
      </w:r>
      <w:r w:rsidR="00CB38FB" w:rsidRPr="00DE214C">
        <w:rPr>
          <w:rFonts w:ascii="Times New Roman" w:eastAsia="Calibri" w:hAnsi="Times New Roman" w:cs="Times New Roman"/>
          <w:bCs/>
          <w:sz w:val="20"/>
          <w:szCs w:val="20"/>
        </w:rPr>
        <w:t xml:space="preserve"> whereas M</w:t>
      </w:r>
      <w:r w:rsidR="009777ED" w:rsidRPr="00DE214C">
        <w:rPr>
          <w:rFonts w:ascii="Times New Roman" w:eastAsia="Calibri" w:hAnsi="Times New Roman" w:cs="Times New Roman"/>
          <w:bCs/>
          <w:sz w:val="20"/>
          <w:szCs w:val="20"/>
        </w:rPr>
        <w:t xml:space="preserve">ean ± </w:t>
      </w:r>
      <w:r w:rsidR="00CB38FB" w:rsidRPr="00DE214C">
        <w:rPr>
          <w:rFonts w:ascii="Times New Roman" w:eastAsia="Calibri" w:hAnsi="Times New Roman" w:cs="Times New Roman"/>
          <w:bCs/>
          <w:sz w:val="20"/>
          <w:szCs w:val="20"/>
        </w:rPr>
        <w:t xml:space="preserve">S.D. </w:t>
      </w:r>
      <w:r w:rsidR="009777ED" w:rsidRPr="00DE214C">
        <w:rPr>
          <w:rFonts w:ascii="Times New Roman" w:eastAsia="Calibri" w:hAnsi="Times New Roman" w:cs="Times New Roman"/>
          <w:bCs/>
          <w:sz w:val="20"/>
          <w:szCs w:val="20"/>
        </w:rPr>
        <w:t xml:space="preserve">of </w:t>
      </w:r>
      <w:proofErr w:type="spellStart"/>
      <w:r w:rsidR="009777ED" w:rsidRPr="00DE214C">
        <w:rPr>
          <w:rFonts w:ascii="Times New Roman" w:eastAsia="Calibri" w:hAnsi="Times New Roman" w:cs="Times New Roman"/>
          <w:bCs/>
          <w:sz w:val="20"/>
          <w:szCs w:val="20"/>
        </w:rPr>
        <w:t>ferritin</w:t>
      </w:r>
      <w:proofErr w:type="spellEnd"/>
      <w:r w:rsidR="009777ED" w:rsidRPr="00DE214C">
        <w:rPr>
          <w:rFonts w:ascii="Times New Roman" w:eastAsia="Calibri" w:hAnsi="Times New Roman" w:cs="Times New Roman"/>
          <w:bCs/>
          <w:sz w:val="20"/>
          <w:szCs w:val="20"/>
        </w:rPr>
        <w:t xml:space="preserve"> found to be higher</w:t>
      </w:r>
      <w:r w:rsidR="00CB38FB" w:rsidRPr="00DE214C">
        <w:rPr>
          <w:rFonts w:ascii="Times New Roman" w:eastAsia="Calibri" w:hAnsi="Times New Roman" w:cs="Times New Roman"/>
          <w:bCs/>
          <w:sz w:val="20"/>
          <w:szCs w:val="20"/>
        </w:rPr>
        <w:t xml:space="preserve"> in both the groups</w:t>
      </w:r>
      <w:r w:rsidR="005F251E">
        <w:rPr>
          <w:rFonts w:ascii="Times New Roman" w:eastAsia="Calibri" w:hAnsi="Times New Roman" w:cs="Times New Roman"/>
          <w:bCs/>
          <w:sz w:val="20"/>
          <w:szCs w:val="20"/>
        </w:rPr>
        <w:t xml:space="preserve"> indicating iron overload in both the groups</w:t>
      </w:r>
      <w:r w:rsidR="00CB38FB" w:rsidRPr="00DE214C">
        <w:rPr>
          <w:rFonts w:ascii="Times New Roman" w:eastAsia="Calibri" w:hAnsi="Times New Roman" w:cs="Times New Roman"/>
          <w:bCs/>
          <w:sz w:val="20"/>
          <w:szCs w:val="20"/>
        </w:rPr>
        <w:t xml:space="preserve">. </w:t>
      </w:r>
      <w:proofErr w:type="spellStart"/>
      <w:r w:rsidR="009777ED" w:rsidRPr="00DE214C">
        <w:rPr>
          <w:rFonts w:ascii="Times New Roman" w:eastAsia="Calibri" w:hAnsi="Times New Roman" w:cs="Times New Roman"/>
          <w:b/>
          <w:bCs/>
          <w:i/>
          <w:sz w:val="20"/>
          <w:szCs w:val="20"/>
        </w:rPr>
        <w:t>Conclusion</w:t>
      </w:r>
      <w:proofErr w:type="gramStart"/>
      <w:r w:rsidR="009777ED" w:rsidRPr="00DE214C">
        <w:rPr>
          <w:rFonts w:ascii="Times New Roman" w:eastAsia="Calibri" w:hAnsi="Times New Roman" w:cs="Times New Roman"/>
          <w:bCs/>
          <w:sz w:val="20"/>
          <w:szCs w:val="20"/>
        </w:rPr>
        <w:t>:</w:t>
      </w:r>
      <w:r w:rsidR="00CB38FB" w:rsidRPr="00DE214C">
        <w:rPr>
          <w:rFonts w:ascii="Times New Roman" w:eastAsia="Calibri" w:hAnsi="Times New Roman" w:cs="Times New Roman"/>
          <w:bCs/>
          <w:sz w:val="20"/>
          <w:szCs w:val="20"/>
        </w:rPr>
        <w:t>D</w:t>
      </w:r>
      <w:r w:rsidR="003E7E24" w:rsidRPr="00DE214C">
        <w:rPr>
          <w:rFonts w:ascii="Times New Roman" w:eastAsia="Calibri" w:hAnsi="Times New Roman" w:cs="Times New Roman"/>
          <w:bCs/>
          <w:sz w:val="20"/>
          <w:szCs w:val="20"/>
        </w:rPr>
        <w:t>ecreased</w:t>
      </w:r>
      <w:proofErr w:type="spellEnd"/>
      <w:proofErr w:type="gramEnd"/>
      <w:r w:rsidR="003E7E24" w:rsidRPr="00DE214C">
        <w:rPr>
          <w:rFonts w:ascii="Times New Roman" w:eastAsia="Calibri" w:hAnsi="Times New Roman" w:cs="Times New Roman"/>
          <w:bCs/>
          <w:sz w:val="20"/>
          <w:szCs w:val="20"/>
        </w:rPr>
        <w:t xml:space="preserve"> zinc level and increased </w:t>
      </w:r>
      <w:proofErr w:type="spellStart"/>
      <w:r w:rsidR="003E7E24" w:rsidRPr="00DE214C">
        <w:rPr>
          <w:rFonts w:ascii="Times New Roman" w:eastAsia="Calibri" w:hAnsi="Times New Roman" w:cs="Times New Roman"/>
          <w:bCs/>
          <w:sz w:val="20"/>
          <w:szCs w:val="20"/>
        </w:rPr>
        <w:t>ferritin</w:t>
      </w:r>
      <w:proofErr w:type="spellEnd"/>
      <w:r w:rsidR="003E7E24" w:rsidRPr="00DE214C">
        <w:rPr>
          <w:rFonts w:ascii="Times New Roman" w:eastAsia="Calibri" w:hAnsi="Times New Roman" w:cs="Times New Roman"/>
          <w:bCs/>
          <w:sz w:val="20"/>
          <w:szCs w:val="20"/>
        </w:rPr>
        <w:t xml:space="preserve"> level </w:t>
      </w:r>
      <w:r w:rsidR="00CB38FB" w:rsidRPr="00DE214C">
        <w:rPr>
          <w:rFonts w:ascii="Times New Roman" w:eastAsia="Calibri" w:hAnsi="Times New Roman" w:cs="Times New Roman"/>
          <w:bCs/>
          <w:sz w:val="20"/>
          <w:szCs w:val="20"/>
        </w:rPr>
        <w:t xml:space="preserve">found in the study </w:t>
      </w:r>
      <w:r w:rsidR="003E7E24" w:rsidRPr="00DE214C">
        <w:rPr>
          <w:rFonts w:ascii="Times New Roman" w:eastAsia="Calibri" w:hAnsi="Times New Roman" w:cs="Times New Roman"/>
          <w:bCs/>
          <w:sz w:val="20"/>
          <w:szCs w:val="20"/>
        </w:rPr>
        <w:t xml:space="preserve">may be caused by disease itself or may be consequence of repeated transfusion which has to be ruled out by further study in </w:t>
      </w:r>
      <w:r w:rsidR="00CB38FB" w:rsidRPr="00DE214C">
        <w:rPr>
          <w:rFonts w:ascii="Times New Roman" w:eastAsia="Calibri" w:hAnsi="Times New Roman" w:cs="Times New Roman"/>
          <w:bCs/>
          <w:sz w:val="20"/>
          <w:szCs w:val="20"/>
        </w:rPr>
        <w:t>larger patient group</w:t>
      </w:r>
      <w:r w:rsidR="00E46CF6">
        <w:rPr>
          <w:rFonts w:ascii="Times New Roman" w:eastAsia="Calibri" w:hAnsi="Times New Roman" w:cs="Times New Roman"/>
          <w:bCs/>
          <w:sz w:val="20"/>
          <w:szCs w:val="20"/>
        </w:rPr>
        <w:t>s</w:t>
      </w:r>
      <w:r w:rsidR="00CB38FB" w:rsidRPr="00DE214C">
        <w:rPr>
          <w:rFonts w:ascii="Times New Roman" w:eastAsia="Calibri" w:hAnsi="Times New Roman" w:cs="Times New Roman"/>
          <w:bCs/>
          <w:sz w:val="20"/>
          <w:szCs w:val="20"/>
        </w:rPr>
        <w:t xml:space="preserve"> and meanwhile </w:t>
      </w:r>
      <w:r w:rsidR="00241E52">
        <w:rPr>
          <w:rFonts w:ascii="Times New Roman" w:eastAsia="Calibri" w:hAnsi="Times New Roman" w:cs="Times New Roman"/>
          <w:bCs/>
          <w:sz w:val="20"/>
          <w:szCs w:val="20"/>
        </w:rPr>
        <w:t>nutritional supplement</w:t>
      </w:r>
      <w:r w:rsidR="00CB38FB" w:rsidRPr="00DE214C">
        <w:rPr>
          <w:rFonts w:ascii="Times New Roman" w:eastAsia="Calibri" w:hAnsi="Times New Roman" w:cs="Times New Roman"/>
          <w:bCs/>
          <w:sz w:val="20"/>
          <w:szCs w:val="20"/>
        </w:rPr>
        <w:t xml:space="preserve"> of zinc and </w:t>
      </w:r>
      <w:r w:rsidR="00C103B7">
        <w:rPr>
          <w:rFonts w:ascii="Times New Roman" w:eastAsia="Calibri" w:hAnsi="Times New Roman" w:cs="Times New Roman"/>
          <w:bCs/>
          <w:sz w:val="20"/>
          <w:szCs w:val="20"/>
        </w:rPr>
        <w:t xml:space="preserve">iron </w:t>
      </w:r>
      <w:proofErr w:type="spellStart"/>
      <w:r w:rsidR="00CB38FB" w:rsidRPr="00DE214C">
        <w:rPr>
          <w:rFonts w:ascii="Times New Roman" w:eastAsia="Calibri" w:hAnsi="Times New Roman" w:cs="Times New Roman"/>
          <w:bCs/>
          <w:sz w:val="20"/>
          <w:szCs w:val="20"/>
        </w:rPr>
        <w:t>chelation</w:t>
      </w:r>
      <w:proofErr w:type="spellEnd"/>
      <w:r w:rsidR="00CB38FB" w:rsidRPr="00DE214C">
        <w:rPr>
          <w:rFonts w:ascii="Times New Roman" w:eastAsia="Calibri" w:hAnsi="Times New Roman" w:cs="Times New Roman"/>
          <w:bCs/>
          <w:sz w:val="20"/>
          <w:szCs w:val="20"/>
        </w:rPr>
        <w:t xml:space="preserve"> therapy must be mandatory in these group of patients.</w:t>
      </w:r>
    </w:p>
    <w:p w:rsidR="00CB38FB" w:rsidRPr="00DE214C" w:rsidRDefault="00CB38FB" w:rsidP="005174E3">
      <w:pPr>
        <w:spacing w:line="240" w:lineRule="auto"/>
        <w:rPr>
          <w:rFonts w:ascii="Times New Roman" w:eastAsia="Calibri" w:hAnsi="Times New Roman" w:cs="Times New Roman"/>
          <w:bCs/>
          <w:sz w:val="20"/>
          <w:szCs w:val="20"/>
        </w:rPr>
      </w:pPr>
      <w:proofErr w:type="gramStart"/>
      <w:r w:rsidRPr="00DE214C">
        <w:rPr>
          <w:rFonts w:ascii="Times New Roman" w:eastAsia="Calibri" w:hAnsi="Times New Roman" w:cs="Times New Roman"/>
          <w:b/>
          <w:bCs/>
          <w:sz w:val="20"/>
          <w:szCs w:val="20"/>
        </w:rPr>
        <w:t>Keywords</w:t>
      </w:r>
      <w:r w:rsidR="00241E52">
        <w:rPr>
          <w:rFonts w:ascii="Times New Roman" w:eastAsia="Calibri" w:hAnsi="Times New Roman" w:cs="Times New Roman"/>
          <w:bCs/>
          <w:sz w:val="20"/>
          <w:szCs w:val="20"/>
        </w:rPr>
        <w:t xml:space="preserve"> :</w:t>
      </w:r>
      <w:proofErr w:type="gramEnd"/>
      <w:r w:rsidR="00241E52">
        <w:rPr>
          <w:rFonts w:ascii="Times New Roman" w:eastAsia="Calibri" w:hAnsi="Times New Roman" w:cs="Times New Roman"/>
          <w:bCs/>
          <w:sz w:val="20"/>
          <w:szCs w:val="20"/>
        </w:rPr>
        <w:t xml:space="preserve"> </w:t>
      </w:r>
      <w:r w:rsidR="00E55ACE" w:rsidRPr="00DE214C">
        <w:rPr>
          <w:rFonts w:ascii="Times New Roman" w:eastAsia="Calibri" w:hAnsi="Times New Roman" w:cs="Times New Roman"/>
          <w:bCs/>
          <w:sz w:val="20"/>
          <w:szCs w:val="20"/>
        </w:rPr>
        <w:t xml:space="preserve"> </w:t>
      </w:r>
      <w:r w:rsidR="009005E1" w:rsidRPr="00DE214C">
        <w:rPr>
          <w:rFonts w:ascii="Times New Roman" w:eastAsia="Calibri" w:hAnsi="Times New Roman" w:cs="Times New Roman"/>
          <w:bCs/>
          <w:sz w:val="20"/>
          <w:szCs w:val="20"/>
        </w:rPr>
        <w:t>transfusion</w:t>
      </w:r>
      <w:r w:rsidR="005F251E">
        <w:rPr>
          <w:rFonts w:ascii="Times New Roman" w:eastAsia="Calibri" w:hAnsi="Times New Roman" w:cs="Times New Roman"/>
          <w:bCs/>
          <w:sz w:val="20"/>
          <w:szCs w:val="20"/>
        </w:rPr>
        <w:t xml:space="preserve"> overload</w:t>
      </w:r>
      <w:r w:rsidR="009005E1" w:rsidRPr="00DE214C">
        <w:rPr>
          <w:rFonts w:ascii="Times New Roman" w:eastAsia="Calibri" w:hAnsi="Times New Roman" w:cs="Times New Roman"/>
          <w:bCs/>
          <w:sz w:val="20"/>
          <w:szCs w:val="20"/>
        </w:rPr>
        <w:t xml:space="preserve"> ,</w:t>
      </w:r>
      <w:r w:rsidR="005F251E">
        <w:rPr>
          <w:rFonts w:ascii="Times New Roman" w:eastAsia="Calibri" w:hAnsi="Times New Roman" w:cs="Times New Roman"/>
          <w:bCs/>
          <w:sz w:val="20"/>
          <w:szCs w:val="20"/>
        </w:rPr>
        <w:t xml:space="preserve"> </w:t>
      </w:r>
      <w:r w:rsidR="00241E52">
        <w:rPr>
          <w:rFonts w:ascii="Times New Roman" w:eastAsia="Calibri" w:hAnsi="Times New Roman" w:cs="Times New Roman"/>
          <w:bCs/>
          <w:sz w:val="20"/>
          <w:szCs w:val="20"/>
        </w:rPr>
        <w:t>nutritional supplement ,</w:t>
      </w:r>
      <w:proofErr w:type="spellStart"/>
      <w:r w:rsidR="005F251E">
        <w:rPr>
          <w:rFonts w:ascii="Times New Roman" w:eastAsia="Calibri" w:hAnsi="Times New Roman" w:cs="Times New Roman"/>
          <w:bCs/>
          <w:sz w:val="20"/>
          <w:szCs w:val="20"/>
        </w:rPr>
        <w:t>chelation</w:t>
      </w:r>
      <w:proofErr w:type="spellEnd"/>
      <w:r w:rsidR="005F251E">
        <w:rPr>
          <w:rFonts w:ascii="Times New Roman" w:eastAsia="Calibri" w:hAnsi="Times New Roman" w:cs="Times New Roman"/>
          <w:bCs/>
          <w:sz w:val="20"/>
          <w:szCs w:val="20"/>
        </w:rPr>
        <w:t xml:space="preserve"> , </w:t>
      </w:r>
      <w:proofErr w:type="spellStart"/>
      <w:r w:rsidR="00E55ACE" w:rsidRPr="00DE214C">
        <w:rPr>
          <w:rFonts w:ascii="Times New Roman" w:eastAsia="Calibri" w:hAnsi="Times New Roman" w:cs="Times New Roman"/>
          <w:bCs/>
          <w:sz w:val="20"/>
          <w:szCs w:val="20"/>
        </w:rPr>
        <w:t>assam</w:t>
      </w:r>
      <w:proofErr w:type="spellEnd"/>
      <w:r w:rsidR="00E55ACE" w:rsidRPr="00DE214C">
        <w:rPr>
          <w:rFonts w:ascii="Times New Roman" w:eastAsia="Calibri" w:hAnsi="Times New Roman" w:cs="Times New Roman"/>
          <w:bCs/>
          <w:sz w:val="20"/>
          <w:szCs w:val="20"/>
        </w:rPr>
        <w:t xml:space="preserve"> </w:t>
      </w:r>
    </w:p>
    <w:p w:rsidR="00DE214C" w:rsidRPr="00DE214C" w:rsidRDefault="00A14B68" w:rsidP="000D7898">
      <w:pPr>
        <w:tabs>
          <w:tab w:val="center" w:pos="4680"/>
        </w:tabs>
        <w:autoSpaceDE w:val="0"/>
        <w:autoSpaceDN w:val="0"/>
        <w:adjustRightInd w:val="0"/>
        <w:spacing w:after="120" w:line="240" w:lineRule="auto"/>
        <w:jc w:val="both"/>
        <w:rPr>
          <w:rFonts w:ascii="Times New Roman" w:eastAsia="Calibri" w:hAnsi="Times New Roman" w:cs="Times New Roman"/>
          <w:b/>
          <w:bCs/>
          <w:sz w:val="24"/>
          <w:szCs w:val="24"/>
        </w:rPr>
      </w:pPr>
      <w:r w:rsidRPr="00DE214C">
        <w:rPr>
          <w:rFonts w:ascii="Times New Roman" w:eastAsia="Calibri" w:hAnsi="Times New Roman" w:cs="Times New Roman"/>
          <w:b/>
          <w:bCs/>
          <w:sz w:val="28"/>
          <w:szCs w:val="28"/>
        </w:rPr>
        <w:t>INTRODUCTION</w:t>
      </w:r>
      <w:r w:rsidRPr="00DE214C">
        <w:rPr>
          <w:rFonts w:ascii="Times New Roman" w:eastAsia="Calibri" w:hAnsi="Times New Roman" w:cs="Times New Roman"/>
          <w:b/>
          <w:bCs/>
          <w:sz w:val="24"/>
          <w:szCs w:val="24"/>
        </w:rPr>
        <w:t xml:space="preserve"> </w:t>
      </w:r>
      <w:r w:rsidR="000D7898">
        <w:rPr>
          <w:rFonts w:ascii="Times New Roman" w:eastAsia="Calibri" w:hAnsi="Times New Roman" w:cs="Times New Roman"/>
          <w:b/>
          <w:bCs/>
          <w:sz w:val="24"/>
          <w:szCs w:val="24"/>
        </w:rPr>
        <w:tab/>
      </w:r>
    </w:p>
    <w:p w:rsidR="000F1683" w:rsidRDefault="00A14B68" w:rsidP="000F1683">
      <w:pPr>
        <w:autoSpaceDE w:val="0"/>
        <w:autoSpaceDN w:val="0"/>
        <w:adjustRightInd w:val="0"/>
        <w:spacing w:after="120" w:line="240" w:lineRule="auto"/>
        <w:jc w:val="both"/>
        <w:rPr>
          <w:rFonts w:ascii="Times New Roman" w:hAnsi="Times New Roman" w:cs="Times New Roman"/>
          <w:sz w:val="20"/>
          <w:szCs w:val="20"/>
        </w:rPr>
      </w:pPr>
      <w:proofErr w:type="spellStart"/>
      <w:r w:rsidRPr="00DE214C">
        <w:rPr>
          <w:rFonts w:ascii="Times New Roman" w:hAnsi="Times New Roman" w:cs="Times New Roman"/>
          <w:color w:val="231F20"/>
          <w:sz w:val="20"/>
          <w:szCs w:val="20"/>
        </w:rPr>
        <w:t>Hemoglobinopathies</w:t>
      </w:r>
      <w:proofErr w:type="spellEnd"/>
      <w:r w:rsidRPr="00DE214C">
        <w:rPr>
          <w:rFonts w:ascii="Times New Roman" w:hAnsi="Times New Roman" w:cs="Times New Roman"/>
          <w:color w:val="231F20"/>
          <w:sz w:val="20"/>
          <w:szCs w:val="20"/>
        </w:rPr>
        <w:t xml:space="preserve"> are a group of inherited disorders characterized by abnormal structure or production of </w:t>
      </w:r>
      <w:proofErr w:type="spellStart"/>
      <w:r w:rsidRPr="00DE214C">
        <w:rPr>
          <w:rFonts w:ascii="Times New Roman" w:hAnsi="Times New Roman" w:cs="Times New Roman"/>
          <w:color w:val="231F20"/>
          <w:sz w:val="20"/>
          <w:szCs w:val="20"/>
        </w:rPr>
        <w:t>haemoglobin</w:t>
      </w:r>
      <w:proofErr w:type="spellEnd"/>
      <w:r w:rsidRPr="00DE214C">
        <w:rPr>
          <w:rFonts w:ascii="Times New Roman" w:hAnsi="Times New Roman" w:cs="Times New Roman"/>
          <w:color w:val="231F20"/>
          <w:sz w:val="20"/>
          <w:szCs w:val="20"/>
        </w:rPr>
        <w:t xml:space="preserve"> caused by gene mutations.</w:t>
      </w:r>
      <w:r w:rsidRPr="00DE214C">
        <w:rPr>
          <w:rFonts w:ascii="Times New Roman" w:hAnsi="Times New Roman" w:cs="TrebuchetMS"/>
          <w:color w:val="231F20"/>
          <w:sz w:val="20"/>
          <w:szCs w:val="20"/>
        </w:rPr>
        <w:t xml:space="preserve"> </w:t>
      </w:r>
      <w:r w:rsidRPr="00DE214C">
        <w:rPr>
          <w:rFonts w:ascii="Times New Roman" w:hAnsi="Times New Roman" w:cs="Times New Roman"/>
          <w:color w:val="231F20"/>
          <w:sz w:val="20"/>
          <w:szCs w:val="20"/>
        </w:rPr>
        <w:t xml:space="preserve">While iron deficiency is the most common cause of acquired anemia, </w:t>
      </w:r>
      <w:proofErr w:type="spellStart"/>
      <w:r w:rsidRPr="00DE214C">
        <w:rPr>
          <w:rFonts w:ascii="Times New Roman" w:hAnsi="Times New Roman" w:cs="Times New Roman"/>
          <w:color w:val="231F20"/>
          <w:sz w:val="20"/>
          <w:szCs w:val="20"/>
        </w:rPr>
        <w:t>haemoglobinopathies</w:t>
      </w:r>
      <w:proofErr w:type="spellEnd"/>
      <w:r w:rsidRPr="00DE214C">
        <w:rPr>
          <w:rFonts w:ascii="Times New Roman" w:hAnsi="Times New Roman" w:cs="Times New Roman"/>
          <w:color w:val="231F20"/>
          <w:sz w:val="20"/>
          <w:szCs w:val="20"/>
        </w:rPr>
        <w:t xml:space="preserve"> have emerged as the most common cause of hereditary anemia.</w:t>
      </w:r>
      <w:r w:rsidRPr="00DE214C">
        <w:rPr>
          <w:rFonts w:ascii="Times New Roman" w:hAnsi="Times New Roman" w:cs="Times New Roman"/>
          <w:sz w:val="20"/>
          <w:szCs w:val="20"/>
        </w:rPr>
        <w:t xml:space="preserve"> The carrier frequency of </w:t>
      </w:r>
      <w:proofErr w:type="spellStart"/>
      <w:r w:rsidRPr="00DE214C">
        <w:rPr>
          <w:rFonts w:ascii="Times New Roman" w:hAnsi="Times New Roman" w:cs="Times New Roman"/>
          <w:sz w:val="20"/>
          <w:szCs w:val="20"/>
        </w:rPr>
        <w:t>haemoglobinopathy</w:t>
      </w:r>
      <w:proofErr w:type="spellEnd"/>
      <w:r w:rsidRPr="00DE214C">
        <w:rPr>
          <w:rFonts w:ascii="Times New Roman" w:hAnsi="Times New Roman" w:cs="Times New Roman"/>
          <w:sz w:val="20"/>
          <w:szCs w:val="20"/>
        </w:rPr>
        <w:t xml:space="preserve"> varies from 3 to 17% in different population groups of</w:t>
      </w:r>
      <w:r w:rsidR="0040308A">
        <w:rPr>
          <w:rFonts w:ascii="Times New Roman" w:hAnsi="Times New Roman" w:cs="Times New Roman"/>
          <w:sz w:val="20"/>
          <w:szCs w:val="20"/>
        </w:rPr>
        <w:t xml:space="preserve"> India</w:t>
      </w:r>
      <w:r w:rsidR="0040308A">
        <w:rPr>
          <w:rFonts w:ascii="Times New Roman" w:hAnsi="Times New Roman" w:cs="Times New Roman"/>
          <w:sz w:val="20"/>
          <w:szCs w:val="20"/>
          <w:vertAlign w:val="superscript"/>
        </w:rPr>
        <w:t>1</w:t>
      </w:r>
      <w:r w:rsidRPr="00DE214C">
        <w:rPr>
          <w:rFonts w:ascii="Times New Roman" w:hAnsi="Times New Roman" w:cs="Times New Roman"/>
          <w:sz w:val="20"/>
          <w:szCs w:val="20"/>
        </w:rPr>
        <w:t xml:space="preserve">. </w:t>
      </w:r>
      <w:r w:rsidR="0040308A">
        <w:rPr>
          <w:rFonts w:ascii="Times New Roman" w:hAnsi="Times New Roman" w:cs="Times New Roman"/>
          <w:sz w:val="20"/>
          <w:szCs w:val="20"/>
        </w:rPr>
        <w:t xml:space="preserve"> </w:t>
      </w:r>
      <w:r w:rsidRPr="00DE214C">
        <w:rPr>
          <w:rFonts w:ascii="Times New Roman" w:hAnsi="Times New Roman" w:cs="Times New Roman"/>
          <w:sz w:val="20"/>
          <w:szCs w:val="20"/>
        </w:rPr>
        <w:t xml:space="preserve">The cumulative gene frequency of the three most predominant abnormal </w:t>
      </w:r>
      <w:proofErr w:type="spellStart"/>
      <w:r w:rsidRPr="00DE214C">
        <w:rPr>
          <w:rFonts w:ascii="Times New Roman" w:hAnsi="Times New Roman" w:cs="Times New Roman"/>
          <w:sz w:val="20"/>
          <w:szCs w:val="20"/>
        </w:rPr>
        <w:t>haemoglobins</w:t>
      </w:r>
      <w:proofErr w:type="spellEnd"/>
      <w:r w:rsidRPr="00DE214C">
        <w:rPr>
          <w:rFonts w:ascii="Times New Roman" w:hAnsi="Times New Roman" w:cs="Times New Roman"/>
          <w:sz w:val="20"/>
          <w:szCs w:val="20"/>
        </w:rPr>
        <w:t xml:space="preserve">, i.e. sickle cell, </w:t>
      </w:r>
      <w:proofErr w:type="spellStart"/>
      <w:r w:rsidRPr="00DE214C">
        <w:rPr>
          <w:rFonts w:ascii="Times New Roman" w:hAnsi="Times New Roman" w:cs="Times New Roman"/>
          <w:sz w:val="20"/>
          <w:szCs w:val="20"/>
        </w:rPr>
        <w:t>haemoglobin</w:t>
      </w:r>
      <w:proofErr w:type="spellEnd"/>
      <w:r w:rsidRPr="00DE214C">
        <w:rPr>
          <w:rFonts w:ascii="Times New Roman" w:hAnsi="Times New Roman" w:cs="Times New Roman"/>
          <w:sz w:val="20"/>
          <w:szCs w:val="20"/>
        </w:rPr>
        <w:t xml:space="preserve"> D and </w:t>
      </w:r>
      <w:proofErr w:type="spellStart"/>
      <w:r w:rsidRPr="00DE214C">
        <w:rPr>
          <w:rFonts w:ascii="Times New Roman" w:hAnsi="Times New Roman" w:cs="Times New Roman"/>
          <w:sz w:val="20"/>
          <w:szCs w:val="20"/>
        </w:rPr>
        <w:t>haemoglobin</w:t>
      </w:r>
      <w:proofErr w:type="spellEnd"/>
      <w:r w:rsidRPr="00DE214C">
        <w:rPr>
          <w:rFonts w:ascii="Times New Roman" w:hAnsi="Times New Roman" w:cs="Times New Roman"/>
          <w:sz w:val="20"/>
          <w:szCs w:val="20"/>
        </w:rPr>
        <w:t xml:space="preserve"> E has been estimated to be 5.35% in India</w:t>
      </w:r>
      <w:r w:rsidR="0040308A">
        <w:rPr>
          <w:rFonts w:ascii="Times New Roman" w:hAnsi="Times New Roman" w:cs="Times New Roman"/>
          <w:sz w:val="20"/>
          <w:szCs w:val="20"/>
          <w:vertAlign w:val="superscript"/>
        </w:rPr>
        <w:t>2</w:t>
      </w:r>
      <w:r w:rsidR="0040308A">
        <w:rPr>
          <w:rFonts w:ascii="Times New Roman" w:hAnsi="Times New Roman" w:cs="Times New Roman"/>
          <w:sz w:val="20"/>
          <w:szCs w:val="20"/>
        </w:rPr>
        <w:t>.</w:t>
      </w:r>
      <w:r w:rsidRPr="00DE214C">
        <w:rPr>
          <w:rFonts w:ascii="Times New Roman" w:hAnsi="Times New Roman" w:cs="Times New Roman"/>
          <w:sz w:val="20"/>
          <w:szCs w:val="20"/>
        </w:rPr>
        <w:t xml:space="preserve">Thus, there is a tremendous amount of burden of </w:t>
      </w:r>
      <w:proofErr w:type="spellStart"/>
      <w:r w:rsidRPr="00DE214C">
        <w:rPr>
          <w:rFonts w:ascii="Times New Roman" w:hAnsi="Times New Roman" w:cs="Times New Roman"/>
          <w:sz w:val="20"/>
          <w:szCs w:val="20"/>
        </w:rPr>
        <w:t>haemoglobinopathies</w:t>
      </w:r>
      <w:proofErr w:type="spellEnd"/>
      <w:r w:rsidRPr="00DE214C">
        <w:rPr>
          <w:rFonts w:ascii="Times New Roman" w:hAnsi="Times New Roman" w:cs="Times New Roman"/>
          <w:sz w:val="20"/>
          <w:szCs w:val="20"/>
        </w:rPr>
        <w:t xml:space="preserve"> in </w:t>
      </w:r>
      <w:proofErr w:type="gramStart"/>
      <w:r w:rsidRPr="00DE214C">
        <w:rPr>
          <w:rFonts w:ascii="Times New Roman" w:hAnsi="Times New Roman" w:cs="Times New Roman"/>
          <w:sz w:val="20"/>
          <w:szCs w:val="20"/>
        </w:rPr>
        <w:t>India .</w:t>
      </w:r>
      <w:proofErr w:type="gramEnd"/>
    </w:p>
    <w:p w:rsidR="000F1683" w:rsidRDefault="00676520" w:rsidP="000F1683">
      <w:pPr>
        <w:autoSpaceDE w:val="0"/>
        <w:autoSpaceDN w:val="0"/>
        <w:adjustRightInd w:val="0"/>
        <w:spacing w:after="120" w:line="240" w:lineRule="auto"/>
        <w:jc w:val="both"/>
        <w:rPr>
          <w:rFonts w:ascii="Times New Roman" w:eastAsia="Calibri" w:hAnsi="Times New Roman" w:cs="Times New Roman"/>
          <w:color w:val="231F20"/>
          <w:sz w:val="20"/>
          <w:szCs w:val="20"/>
        </w:rPr>
      </w:pPr>
      <w:r w:rsidRPr="00DE214C">
        <w:rPr>
          <w:rFonts w:ascii="Times New Roman" w:eastAsia="Calibri" w:hAnsi="Times New Roman" w:cs="Times New Roman"/>
          <w:color w:val="231F20"/>
          <w:sz w:val="20"/>
          <w:szCs w:val="20"/>
        </w:rPr>
        <w:t>Historically, the majority of children who were carriers of these diseases died during their first 10 years of life from complications. However, recent important advances have extended the average life of patients and significantly improved their quality of life. Improved understanding of the etiology and mechanisms of anemia, earlier diagnosis, new therapeutic approaches and better management of transfusion related iron overload have dramatically improved the clinical picture</w:t>
      </w:r>
      <w:r w:rsidR="0040308A">
        <w:rPr>
          <w:rFonts w:ascii="Times New Roman" w:eastAsia="Calibri" w:hAnsi="Times New Roman" w:cs="Times New Roman"/>
          <w:color w:val="231F20"/>
          <w:sz w:val="20"/>
          <w:szCs w:val="20"/>
          <w:vertAlign w:val="superscript"/>
        </w:rPr>
        <w:t>3</w:t>
      </w:r>
      <w:r w:rsidR="0040308A">
        <w:rPr>
          <w:rFonts w:ascii="Times New Roman" w:eastAsia="Calibri" w:hAnsi="Times New Roman" w:cs="Times New Roman"/>
          <w:color w:val="231F20"/>
          <w:sz w:val="20"/>
          <w:szCs w:val="20"/>
        </w:rPr>
        <w:t>.</w:t>
      </w:r>
    </w:p>
    <w:p w:rsidR="000F1683" w:rsidRDefault="00A14B68" w:rsidP="000F1683">
      <w:pPr>
        <w:autoSpaceDE w:val="0"/>
        <w:autoSpaceDN w:val="0"/>
        <w:adjustRightInd w:val="0"/>
        <w:spacing w:after="120" w:line="240" w:lineRule="auto"/>
        <w:jc w:val="both"/>
        <w:rPr>
          <w:rFonts w:ascii="Times New Roman" w:hAnsi="Times New Roman" w:cs="Times New Roman"/>
          <w:sz w:val="20"/>
          <w:szCs w:val="20"/>
        </w:rPr>
      </w:pPr>
      <w:r w:rsidRPr="00DE214C">
        <w:rPr>
          <w:rFonts w:ascii="Times New Roman" w:hAnsi="Times New Roman" w:cs="Times New Roman"/>
          <w:sz w:val="20"/>
          <w:szCs w:val="20"/>
        </w:rPr>
        <w:t>Trace elements play an important role in many biological systems because they act as activators or inhibitors, hence competing with other elements and protein for binding site, influences the permeability of membrane</w:t>
      </w:r>
      <w:r w:rsidR="0040308A">
        <w:rPr>
          <w:rFonts w:ascii="Times New Roman" w:hAnsi="Times New Roman" w:cs="Times New Roman"/>
          <w:sz w:val="20"/>
          <w:szCs w:val="20"/>
          <w:vertAlign w:val="superscript"/>
        </w:rPr>
        <w:t>4</w:t>
      </w:r>
      <w:r w:rsidR="0040308A">
        <w:rPr>
          <w:rFonts w:ascii="Times New Roman" w:hAnsi="Times New Roman" w:cs="Times New Roman"/>
          <w:sz w:val="20"/>
          <w:szCs w:val="20"/>
        </w:rPr>
        <w:t>.</w:t>
      </w:r>
      <w:r w:rsidR="004B5857">
        <w:rPr>
          <w:rFonts w:ascii="Times New Roman" w:hAnsi="Times New Roman" w:cs="Times New Roman"/>
          <w:sz w:val="20"/>
          <w:szCs w:val="20"/>
        </w:rPr>
        <w:t xml:space="preserve">Iron and zinc </w:t>
      </w:r>
      <w:r w:rsidRPr="00DE214C">
        <w:rPr>
          <w:rFonts w:ascii="Times New Roman" w:hAnsi="Times New Roman" w:cs="Times New Roman"/>
          <w:sz w:val="20"/>
          <w:szCs w:val="20"/>
        </w:rPr>
        <w:t xml:space="preserve">are essential trace elements in human body </w:t>
      </w:r>
      <w:proofErr w:type="gramStart"/>
      <w:r w:rsidRPr="00DE214C">
        <w:rPr>
          <w:rFonts w:ascii="Times New Roman" w:hAnsi="Times New Roman" w:cs="Times New Roman"/>
          <w:sz w:val="20"/>
          <w:szCs w:val="20"/>
        </w:rPr>
        <w:t>and  are</w:t>
      </w:r>
      <w:proofErr w:type="gramEnd"/>
      <w:r w:rsidRPr="00DE214C">
        <w:rPr>
          <w:rFonts w:ascii="Times New Roman" w:hAnsi="Times New Roman" w:cs="Times New Roman"/>
          <w:sz w:val="20"/>
          <w:szCs w:val="20"/>
        </w:rPr>
        <w:t xml:space="preserve"> often altered in patients with  </w:t>
      </w:r>
      <w:proofErr w:type="spellStart"/>
      <w:r w:rsidRPr="00DE214C">
        <w:rPr>
          <w:rFonts w:ascii="Times New Roman" w:hAnsi="Times New Roman" w:cs="Times New Roman"/>
          <w:sz w:val="20"/>
          <w:szCs w:val="20"/>
        </w:rPr>
        <w:t>thalassaemia</w:t>
      </w:r>
      <w:proofErr w:type="spellEnd"/>
      <w:r w:rsidRPr="00DE214C">
        <w:rPr>
          <w:rFonts w:ascii="Times New Roman" w:hAnsi="Times New Roman" w:cs="Times New Roman"/>
          <w:sz w:val="20"/>
          <w:szCs w:val="20"/>
        </w:rPr>
        <w:t xml:space="preserve"> and sickle cell </w:t>
      </w:r>
      <w:proofErr w:type="spellStart"/>
      <w:r w:rsidRPr="00DE214C">
        <w:rPr>
          <w:rFonts w:ascii="Times New Roman" w:hAnsi="Times New Roman" w:cs="Times New Roman"/>
          <w:sz w:val="20"/>
          <w:szCs w:val="20"/>
        </w:rPr>
        <w:t>anaemia</w:t>
      </w:r>
      <w:proofErr w:type="spellEnd"/>
      <w:r w:rsidRPr="00DE214C">
        <w:rPr>
          <w:rFonts w:ascii="Times New Roman" w:hAnsi="Times New Roman" w:cs="Times New Roman"/>
          <w:sz w:val="20"/>
          <w:szCs w:val="20"/>
        </w:rPr>
        <w:t xml:space="preserve"> in which they may play a role in pathogenesis. The alteration of these elements combined with excess amounts of </w:t>
      </w:r>
      <w:proofErr w:type="spellStart"/>
      <w:r w:rsidRPr="00DE214C">
        <w:rPr>
          <w:rFonts w:ascii="Times New Roman" w:hAnsi="Times New Roman" w:cs="Times New Roman"/>
          <w:sz w:val="20"/>
          <w:szCs w:val="20"/>
        </w:rPr>
        <w:t>haemoglobin</w:t>
      </w:r>
      <w:proofErr w:type="spellEnd"/>
      <w:r w:rsidRPr="00DE214C">
        <w:rPr>
          <w:rFonts w:ascii="Times New Roman" w:hAnsi="Times New Roman" w:cs="Times New Roman"/>
          <w:sz w:val="20"/>
          <w:szCs w:val="20"/>
        </w:rPr>
        <w:t xml:space="preserve"> subunits enhance the generation of oxygen radicals after a chain of reactions leading to early death of the red cells and haemolysis</w:t>
      </w:r>
      <w:r w:rsidR="0040308A">
        <w:rPr>
          <w:rFonts w:ascii="Times New Roman" w:hAnsi="Times New Roman" w:cs="Times New Roman"/>
          <w:sz w:val="20"/>
          <w:szCs w:val="20"/>
          <w:vertAlign w:val="superscript"/>
        </w:rPr>
        <w:t>5</w:t>
      </w:r>
      <w:r w:rsidR="0040308A">
        <w:rPr>
          <w:rFonts w:ascii="Times New Roman" w:hAnsi="Times New Roman" w:cs="Times New Roman"/>
          <w:sz w:val="20"/>
          <w:szCs w:val="20"/>
        </w:rPr>
        <w:t>.</w:t>
      </w:r>
      <w:r w:rsidR="00676520" w:rsidRPr="00DE214C">
        <w:rPr>
          <w:rFonts w:ascii="Times New Roman" w:hAnsi="Times New Roman" w:cs="Times New Roman"/>
          <w:sz w:val="20"/>
          <w:szCs w:val="20"/>
        </w:rPr>
        <w:t xml:space="preserve">Iron overload is an unavoidable complication suffered by </w:t>
      </w:r>
      <w:proofErr w:type="spellStart"/>
      <w:r w:rsidR="00676520" w:rsidRPr="00DE214C">
        <w:rPr>
          <w:rFonts w:ascii="Times New Roman" w:hAnsi="Times New Roman" w:cs="Times New Roman"/>
          <w:sz w:val="20"/>
          <w:szCs w:val="20"/>
        </w:rPr>
        <w:t>thalassemia</w:t>
      </w:r>
      <w:proofErr w:type="spellEnd"/>
      <w:r w:rsidR="00676520" w:rsidRPr="00DE214C">
        <w:rPr>
          <w:rFonts w:ascii="Times New Roman" w:hAnsi="Times New Roman" w:cs="Times New Roman"/>
          <w:sz w:val="20"/>
          <w:szCs w:val="20"/>
        </w:rPr>
        <w:t xml:space="preserve"> major patients as a consequence of excessive number of blood transfusions. It is so common that it has been referred to as </w:t>
      </w:r>
      <w:proofErr w:type="gramStart"/>
      <w:r w:rsidR="00676520" w:rsidRPr="00DE214C">
        <w:rPr>
          <w:rFonts w:ascii="Times New Roman" w:hAnsi="Times New Roman" w:cs="Times New Roman"/>
          <w:sz w:val="20"/>
          <w:szCs w:val="20"/>
        </w:rPr>
        <w:t>a  “</w:t>
      </w:r>
      <w:proofErr w:type="gramEnd"/>
      <w:r w:rsidR="00676520" w:rsidRPr="00DE214C">
        <w:rPr>
          <w:rFonts w:ascii="Times New Roman" w:hAnsi="Times New Roman" w:cs="Times New Roman"/>
          <w:sz w:val="20"/>
          <w:szCs w:val="20"/>
        </w:rPr>
        <w:t>second disease” during treatment of first</w:t>
      </w:r>
      <w:r w:rsidR="0040308A">
        <w:rPr>
          <w:rFonts w:ascii="Times New Roman" w:hAnsi="Times New Roman" w:cs="Times New Roman"/>
          <w:sz w:val="20"/>
          <w:szCs w:val="20"/>
          <w:vertAlign w:val="superscript"/>
        </w:rPr>
        <w:t>6</w:t>
      </w:r>
      <w:r w:rsidR="0040308A">
        <w:rPr>
          <w:rFonts w:ascii="Times New Roman" w:hAnsi="Times New Roman" w:cs="Times New Roman"/>
          <w:sz w:val="20"/>
          <w:szCs w:val="20"/>
        </w:rPr>
        <w:t>.</w:t>
      </w:r>
    </w:p>
    <w:p w:rsidR="000F1683" w:rsidRDefault="00676520" w:rsidP="000F1683">
      <w:pPr>
        <w:autoSpaceDE w:val="0"/>
        <w:autoSpaceDN w:val="0"/>
        <w:adjustRightInd w:val="0"/>
        <w:spacing w:after="120" w:line="240" w:lineRule="auto"/>
        <w:jc w:val="both"/>
        <w:rPr>
          <w:rFonts w:ascii="Times New Roman" w:hAnsi="Times New Roman" w:cs="Times New Roman"/>
          <w:sz w:val="20"/>
          <w:szCs w:val="20"/>
        </w:rPr>
      </w:pPr>
      <w:r w:rsidRPr="00DE214C">
        <w:rPr>
          <w:rFonts w:ascii="Times New Roman" w:eastAsia="Times New Roman" w:hAnsi="Times New Roman" w:cs="Times New Roman"/>
          <w:sz w:val="20"/>
          <w:szCs w:val="20"/>
        </w:rPr>
        <w:t xml:space="preserve">Iron overload from chronic transfusion therapy can be extremely toxic. Excess </w:t>
      </w:r>
      <w:proofErr w:type="spellStart"/>
      <w:r w:rsidRPr="00DE214C">
        <w:rPr>
          <w:rFonts w:ascii="Times New Roman" w:eastAsia="Times New Roman" w:hAnsi="Times New Roman" w:cs="Times New Roman"/>
          <w:sz w:val="20"/>
          <w:szCs w:val="20"/>
        </w:rPr>
        <w:t>transfusional</w:t>
      </w:r>
      <w:proofErr w:type="spellEnd"/>
      <w:r w:rsidRPr="00DE214C">
        <w:rPr>
          <w:rFonts w:ascii="Times New Roman" w:eastAsia="Times New Roman" w:hAnsi="Times New Roman" w:cs="Times New Roman"/>
          <w:sz w:val="20"/>
          <w:szCs w:val="20"/>
        </w:rPr>
        <w:t xml:space="preserve"> iron is deposited in the liver, heart, and other organs as free iron, which can cause organ dysfunction and damage over </w:t>
      </w:r>
      <w:proofErr w:type="spellStart"/>
      <w:r w:rsidRPr="00DE214C">
        <w:rPr>
          <w:rFonts w:ascii="Times New Roman" w:eastAsia="Times New Roman" w:hAnsi="Times New Roman" w:cs="Times New Roman"/>
          <w:sz w:val="20"/>
          <w:szCs w:val="20"/>
        </w:rPr>
        <w:t>time.</w:t>
      </w:r>
      <w:r w:rsidRPr="00DE214C">
        <w:rPr>
          <w:rFonts w:ascii="Times New Roman" w:hAnsi="Times New Roman" w:cs="Times New Roman"/>
          <w:sz w:val="20"/>
          <w:szCs w:val="20"/>
        </w:rPr>
        <w:t>Zinc</w:t>
      </w:r>
      <w:proofErr w:type="spellEnd"/>
      <w:r w:rsidRPr="00DE214C">
        <w:rPr>
          <w:rFonts w:ascii="Times New Roman" w:hAnsi="Times New Roman" w:cs="Times New Roman"/>
          <w:sz w:val="20"/>
          <w:szCs w:val="20"/>
        </w:rPr>
        <w:t xml:space="preserve"> (Zn) is an essential nutrient for all forms of life and its importance lies in the fact that many body functions are linked to zinc containing enzymes</w:t>
      </w:r>
      <w:r w:rsidR="0040308A">
        <w:rPr>
          <w:rFonts w:ascii="Times New Roman" w:hAnsi="Times New Roman" w:cs="Times New Roman"/>
          <w:sz w:val="20"/>
          <w:szCs w:val="20"/>
          <w:vertAlign w:val="superscript"/>
        </w:rPr>
        <w:t>7</w:t>
      </w:r>
      <w:r w:rsidR="0040308A">
        <w:rPr>
          <w:rFonts w:ascii="Times New Roman" w:hAnsi="Times New Roman" w:cs="Times New Roman"/>
          <w:sz w:val="20"/>
          <w:szCs w:val="20"/>
        </w:rPr>
        <w:t>.</w:t>
      </w:r>
      <w:r w:rsidRPr="00DE214C">
        <w:rPr>
          <w:rFonts w:ascii="Times New Roman" w:hAnsi="Times New Roman" w:cs="Times New Roman"/>
          <w:sz w:val="20"/>
          <w:szCs w:val="20"/>
        </w:rPr>
        <w:t xml:space="preserve"> </w:t>
      </w:r>
    </w:p>
    <w:p w:rsidR="00676520" w:rsidRPr="000F1683" w:rsidRDefault="00C103B7" w:rsidP="000F1683">
      <w:pPr>
        <w:autoSpaceDE w:val="0"/>
        <w:autoSpaceDN w:val="0"/>
        <w:adjustRightInd w:val="0"/>
        <w:spacing w:after="120" w:line="240" w:lineRule="auto"/>
        <w:jc w:val="both"/>
        <w:rPr>
          <w:rFonts w:ascii="Times New Roman" w:eastAsia="Calibri" w:hAnsi="Times New Roman" w:cs="Times New Roman"/>
          <w:bCs/>
          <w:sz w:val="20"/>
          <w:szCs w:val="20"/>
        </w:rPr>
      </w:pPr>
      <w:r>
        <w:rPr>
          <w:rFonts w:ascii="Times New Roman" w:hAnsi="Times New Roman" w:cs="Times New Roman"/>
          <w:sz w:val="20"/>
          <w:szCs w:val="20"/>
        </w:rPr>
        <w:t>Zn</w:t>
      </w:r>
      <w:r w:rsidR="00676520" w:rsidRPr="00DE214C">
        <w:rPr>
          <w:rFonts w:ascii="Times New Roman" w:hAnsi="Times New Roman" w:cs="Times New Roman"/>
          <w:sz w:val="20"/>
          <w:szCs w:val="20"/>
        </w:rPr>
        <w:t xml:space="preserve"> has indispensible role in human health and diseases. It has been insufficiently </w:t>
      </w:r>
      <w:proofErr w:type="spellStart"/>
      <w:r w:rsidR="00676520" w:rsidRPr="00DE214C">
        <w:rPr>
          <w:rFonts w:ascii="Times New Roman" w:hAnsi="Times New Roman" w:cs="Times New Roman"/>
          <w:sz w:val="20"/>
          <w:szCs w:val="20"/>
        </w:rPr>
        <w:t>recognised</w:t>
      </w:r>
      <w:proofErr w:type="spellEnd"/>
      <w:r w:rsidR="00676520" w:rsidRPr="00DE214C">
        <w:rPr>
          <w:rFonts w:ascii="Times New Roman" w:hAnsi="Times New Roman" w:cs="Times New Roman"/>
          <w:sz w:val="20"/>
          <w:szCs w:val="20"/>
        </w:rPr>
        <w:t xml:space="preserve"> by a number of experts as an important public health issue, especially in developing countries. It is the most abundant intracellular metal ion found in </w:t>
      </w:r>
      <w:proofErr w:type="spellStart"/>
      <w:r w:rsidR="00676520" w:rsidRPr="00DE214C">
        <w:rPr>
          <w:rFonts w:ascii="Times New Roman" w:hAnsi="Times New Roman" w:cs="Times New Roman"/>
          <w:sz w:val="20"/>
          <w:szCs w:val="20"/>
        </w:rPr>
        <w:t>cytosol</w:t>
      </w:r>
      <w:proofErr w:type="spellEnd"/>
      <w:r w:rsidR="00676520" w:rsidRPr="00DE214C">
        <w:rPr>
          <w:rFonts w:ascii="Times New Roman" w:hAnsi="Times New Roman" w:cs="Times New Roman"/>
          <w:sz w:val="20"/>
          <w:szCs w:val="20"/>
        </w:rPr>
        <w:t xml:space="preserve">, vesicles, </w:t>
      </w:r>
      <w:proofErr w:type="gramStart"/>
      <w:r w:rsidR="00676520" w:rsidRPr="00DE214C">
        <w:rPr>
          <w:rFonts w:ascii="Times New Roman" w:hAnsi="Times New Roman" w:cs="Times New Roman"/>
          <w:sz w:val="20"/>
          <w:szCs w:val="20"/>
        </w:rPr>
        <w:t>organelles</w:t>
      </w:r>
      <w:proofErr w:type="gramEnd"/>
      <w:r w:rsidR="00676520" w:rsidRPr="00DE214C">
        <w:rPr>
          <w:rFonts w:ascii="Times New Roman" w:hAnsi="Times New Roman" w:cs="Times New Roman"/>
          <w:sz w:val="20"/>
          <w:szCs w:val="20"/>
        </w:rPr>
        <w:t xml:space="preserve"> and in the nucleus</w:t>
      </w:r>
      <w:r w:rsidR="0040308A">
        <w:rPr>
          <w:rFonts w:ascii="Times New Roman" w:hAnsi="Times New Roman" w:cs="Times New Roman"/>
          <w:sz w:val="20"/>
          <w:szCs w:val="20"/>
          <w:vertAlign w:val="superscript"/>
        </w:rPr>
        <w:t>8</w:t>
      </w:r>
      <w:r w:rsidR="0040308A">
        <w:rPr>
          <w:rFonts w:ascii="Times New Roman" w:hAnsi="Times New Roman" w:cs="Times New Roman"/>
          <w:sz w:val="20"/>
          <w:szCs w:val="20"/>
        </w:rPr>
        <w:t>.</w:t>
      </w:r>
      <w:r w:rsidR="00676520" w:rsidRPr="00DE214C">
        <w:rPr>
          <w:rFonts w:ascii="Times New Roman" w:hAnsi="Times New Roman" w:cs="Times New Roman"/>
          <w:sz w:val="20"/>
          <w:szCs w:val="20"/>
        </w:rPr>
        <w:t xml:space="preserve"> However, even a small deficiency is a disaster to human </w:t>
      </w:r>
      <w:r w:rsidR="00676520" w:rsidRPr="00DE214C">
        <w:rPr>
          <w:rFonts w:ascii="Times New Roman" w:hAnsi="Times New Roman" w:cs="Times New Roman"/>
          <w:sz w:val="20"/>
          <w:szCs w:val="20"/>
        </w:rPr>
        <w:lastRenderedPageBreak/>
        <w:t>health, so as such the number of biological functions, health implications and pharmacological targets that are emerging for zinc has evoked further interest regarding its status in human health and nutrition</w:t>
      </w:r>
      <w:r w:rsidR="0040308A">
        <w:rPr>
          <w:rFonts w:ascii="Times New Roman" w:hAnsi="Times New Roman" w:cs="Times New Roman"/>
          <w:sz w:val="20"/>
          <w:szCs w:val="20"/>
          <w:vertAlign w:val="superscript"/>
        </w:rPr>
        <w:t>9</w:t>
      </w:r>
      <w:r w:rsidR="0040308A">
        <w:rPr>
          <w:rFonts w:ascii="Times New Roman" w:hAnsi="Times New Roman" w:cs="Times New Roman"/>
          <w:sz w:val="20"/>
          <w:szCs w:val="20"/>
        </w:rPr>
        <w:t>.</w:t>
      </w:r>
    </w:p>
    <w:p w:rsidR="00676520" w:rsidRPr="00DE214C" w:rsidRDefault="00C103B7" w:rsidP="00F42FFB">
      <w:pPr>
        <w:spacing w:line="240" w:lineRule="auto"/>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The present study </w:t>
      </w:r>
      <w:r w:rsidR="00241E52">
        <w:rPr>
          <w:rFonts w:ascii="Times New Roman" w:eastAsia="Calibri" w:hAnsi="Times New Roman" w:cs="Times New Roman"/>
          <w:bCs/>
          <w:sz w:val="20"/>
          <w:szCs w:val="20"/>
        </w:rPr>
        <w:t>aims to measure</w:t>
      </w:r>
      <w:r>
        <w:rPr>
          <w:rFonts w:ascii="Times New Roman" w:eastAsia="Calibri" w:hAnsi="Times New Roman" w:cs="Times New Roman"/>
          <w:bCs/>
          <w:sz w:val="20"/>
          <w:szCs w:val="20"/>
        </w:rPr>
        <w:t xml:space="preserve"> serum zinc and </w:t>
      </w:r>
      <w:proofErr w:type="spellStart"/>
      <w:r>
        <w:rPr>
          <w:rFonts w:ascii="Times New Roman" w:eastAsia="Calibri" w:hAnsi="Times New Roman" w:cs="Times New Roman"/>
          <w:bCs/>
          <w:sz w:val="20"/>
          <w:szCs w:val="20"/>
        </w:rPr>
        <w:t>ferritin</w:t>
      </w:r>
      <w:proofErr w:type="spellEnd"/>
      <w:r>
        <w:rPr>
          <w:rFonts w:ascii="Times New Roman" w:eastAsia="Calibri" w:hAnsi="Times New Roman" w:cs="Times New Roman"/>
          <w:bCs/>
          <w:sz w:val="20"/>
          <w:szCs w:val="20"/>
        </w:rPr>
        <w:t xml:space="preserve"> and</w:t>
      </w:r>
      <w:r w:rsidRPr="00C103B7">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their co-</w:t>
      </w:r>
      <w:proofErr w:type="gramStart"/>
      <w:r>
        <w:rPr>
          <w:rFonts w:ascii="Times New Roman" w:eastAsia="Calibri" w:hAnsi="Times New Roman" w:cs="Times New Roman"/>
          <w:bCs/>
          <w:sz w:val="20"/>
          <w:szCs w:val="20"/>
        </w:rPr>
        <w:t xml:space="preserve">relation  </w:t>
      </w:r>
      <w:r w:rsidR="005075C2" w:rsidRPr="00DE214C">
        <w:rPr>
          <w:rFonts w:ascii="Times New Roman" w:eastAsia="Calibri" w:hAnsi="Times New Roman" w:cs="Times New Roman"/>
          <w:bCs/>
          <w:sz w:val="20"/>
          <w:szCs w:val="20"/>
        </w:rPr>
        <w:t>in</w:t>
      </w:r>
      <w:proofErr w:type="gramEnd"/>
      <w:r w:rsidR="005075C2" w:rsidRPr="00DE214C">
        <w:rPr>
          <w:rFonts w:ascii="Times New Roman" w:eastAsia="Calibri" w:hAnsi="Times New Roman" w:cs="Times New Roman"/>
          <w:bCs/>
          <w:sz w:val="20"/>
          <w:szCs w:val="20"/>
        </w:rPr>
        <w:t xml:space="preserve"> patie</w:t>
      </w:r>
      <w:r>
        <w:rPr>
          <w:rFonts w:ascii="Times New Roman" w:eastAsia="Calibri" w:hAnsi="Times New Roman" w:cs="Times New Roman"/>
          <w:bCs/>
          <w:sz w:val="20"/>
          <w:szCs w:val="20"/>
        </w:rPr>
        <w:t xml:space="preserve">nts with </w:t>
      </w:r>
      <w:proofErr w:type="spellStart"/>
      <w:r>
        <w:rPr>
          <w:rFonts w:ascii="Times New Roman" w:eastAsia="Calibri" w:hAnsi="Times New Roman" w:cs="Times New Roman"/>
          <w:bCs/>
          <w:sz w:val="20"/>
          <w:szCs w:val="20"/>
        </w:rPr>
        <w:t>haemoglobinopathies</w:t>
      </w:r>
      <w:proofErr w:type="spellEnd"/>
      <w:r>
        <w:rPr>
          <w:rFonts w:ascii="Times New Roman" w:eastAsia="Calibri" w:hAnsi="Times New Roman" w:cs="Times New Roman"/>
          <w:bCs/>
          <w:sz w:val="20"/>
          <w:szCs w:val="20"/>
        </w:rPr>
        <w:t xml:space="preserve">  .</w:t>
      </w:r>
    </w:p>
    <w:p w:rsidR="00DE214C" w:rsidRDefault="00820C0B" w:rsidP="00F42FFB">
      <w:pPr>
        <w:widowControl w:val="0"/>
        <w:spacing w:after="0" w:line="240" w:lineRule="auto"/>
        <w:jc w:val="both"/>
        <w:rPr>
          <w:rFonts w:ascii="Times New Roman" w:eastAsia="Calibri" w:hAnsi="Times New Roman" w:cs="Times New Roman"/>
          <w:bCs/>
          <w:sz w:val="24"/>
          <w:szCs w:val="24"/>
        </w:rPr>
      </w:pPr>
      <w:r w:rsidRPr="00DE214C">
        <w:rPr>
          <w:rFonts w:ascii="Times New Roman" w:eastAsia="Calibri" w:hAnsi="Times New Roman" w:cs="Times New Roman"/>
          <w:b/>
          <w:bCs/>
          <w:sz w:val="28"/>
          <w:szCs w:val="28"/>
        </w:rPr>
        <w:t>METHOD</w:t>
      </w:r>
      <w:r w:rsidR="00DE214C">
        <w:rPr>
          <w:rFonts w:ascii="Times New Roman" w:eastAsia="Calibri" w:hAnsi="Times New Roman" w:cs="Times New Roman"/>
          <w:bCs/>
          <w:sz w:val="24"/>
          <w:szCs w:val="24"/>
        </w:rPr>
        <w:t xml:space="preserve"> </w:t>
      </w:r>
    </w:p>
    <w:p w:rsidR="00820C0B" w:rsidRPr="00C33FE5" w:rsidRDefault="00820C0B" w:rsidP="00F42FFB">
      <w:pPr>
        <w:widowControl w:val="0"/>
        <w:spacing w:after="0" w:line="240" w:lineRule="auto"/>
        <w:jc w:val="both"/>
        <w:rPr>
          <w:rFonts w:ascii="Times New Roman" w:hAnsi="Times New Roman" w:cs="Times New Roman"/>
          <w:sz w:val="20"/>
          <w:szCs w:val="20"/>
        </w:rPr>
      </w:pPr>
      <w:r w:rsidRPr="00C33FE5">
        <w:rPr>
          <w:rFonts w:ascii="Times New Roman" w:hAnsi="Times New Roman" w:cs="Times New Roman"/>
          <w:sz w:val="20"/>
          <w:szCs w:val="20"/>
        </w:rPr>
        <w:t xml:space="preserve">100 cases  diagnosed as </w:t>
      </w:r>
      <w:proofErr w:type="spellStart"/>
      <w:r w:rsidRPr="00C33FE5">
        <w:rPr>
          <w:rFonts w:ascii="Times New Roman" w:hAnsi="Times New Roman" w:cs="Times New Roman"/>
          <w:sz w:val="20"/>
          <w:szCs w:val="20"/>
        </w:rPr>
        <w:t>haempoglobinopathies</w:t>
      </w:r>
      <w:proofErr w:type="spellEnd"/>
      <w:r w:rsidRPr="00C33FE5">
        <w:rPr>
          <w:rFonts w:ascii="Times New Roman" w:hAnsi="Times New Roman" w:cs="Times New Roman"/>
          <w:sz w:val="20"/>
          <w:szCs w:val="20"/>
        </w:rPr>
        <w:t xml:space="preserve"> ,including both outdoor patients and patients admitted in the Department of </w:t>
      </w:r>
      <w:proofErr w:type="spellStart"/>
      <w:r w:rsidR="00C103B7" w:rsidRPr="00C33FE5">
        <w:rPr>
          <w:rFonts w:ascii="Times New Roman" w:hAnsi="Times New Roman" w:cs="Times New Roman"/>
          <w:sz w:val="20"/>
          <w:szCs w:val="20"/>
        </w:rPr>
        <w:t>P</w:t>
      </w:r>
      <w:r w:rsidRPr="00C33FE5">
        <w:rPr>
          <w:rFonts w:ascii="Times New Roman" w:hAnsi="Times New Roman" w:cs="Times New Roman"/>
          <w:sz w:val="20"/>
          <w:szCs w:val="20"/>
        </w:rPr>
        <w:t>aediatrics</w:t>
      </w:r>
      <w:proofErr w:type="spellEnd"/>
      <w:r w:rsidRPr="00C33FE5">
        <w:rPr>
          <w:rFonts w:ascii="Times New Roman" w:hAnsi="Times New Roman" w:cs="Times New Roman"/>
          <w:sz w:val="20"/>
          <w:szCs w:val="20"/>
        </w:rPr>
        <w:t xml:space="preserve">  of Assam Medical College and Hospital, were taken for the present </w:t>
      </w:r>
      <w:proofErr w:type="spellStart"/>
      <w:r w:rsidRPr="00C33FE5">
        <w:rPr>
          <w:rFonts w:ascii="Times New Roman" w:hAnsi="Times New Roman" w:cs="Times New Roman"/>
          <w:sz w:val="20"/>
          <w:szCs w:val="20"/>
        </w:rPr>
        <w:t>study.The</w:t>
      </w:r>
      <w:proofErr w:type="spellEnd"/>
      <w:r w:rsidRPr="00C33FE5">
        <w:rPr>
          <w:rFonts w:ascii="Times New Roman" w:hAnsi="Times New Roman" w:cs="Times New Roman"/>
          <w:sz w:val="20"/>
          <w:szCs w:val="20"/>
        </w:rPr>
        <w:t xml:space="preserve"> study group was further subdivided into two groups one as </w:t>
      </w:r>
      <w:proofErr w:type="spellStart"/>
      <w:r w:rsidRPr="00C33FE5">
        <w:rPr>
          <w:rFonts w:ascii="Times New Roman" w:hAnsi="Times New Roman" w:cs="Times New Roman"/>
          <w:sz w:val="20"/>
          <w:szCs w:val="20"/>
        </w:rPr>
        <w:t>thalassemia</w:t>
      </w:r>
      <w:proofErr w:type="spellEnd"/>
      <w:r w:rsidRPr="00C33FE5">
        <w:rPr>
          <w:rFonts w:ascii="Times New Roman" w:hAnsi="Times New Roman" w:cs="Times New Roman"/>
          <w:sz w:val="20"/>
          <w:szCs w:val="20"/>
        </w:rPr>
        <w:t xml:space="preserve"> and other as sickle cell disease .</w:t>
      </w:r>
      <w:proofErr w:type="spellStart"/>
      <w:r w:rsidRPr="00C33FE5">
        <w:rPr>
          <w:rFonts w:ascii="Times New Roman" w:hAnsi="Times New Roman" w:cs="Times New Roman"/>
          <w:sz w:val="20"/>
          <w:szCs w:val="20"/>
        </w:rPr>
        <w:t>Thalassemic</w:t>
      </w:r>
      <w:proofErr w:type="spellEnd"/>
      <w:r w:rsidRPr="00C33FE5">
        <w:rPr>
          <w:rFonts w:ascii="Times New Roman" w:hAnsi="Times New Roman" w:cs="Times New Roman"/>
          <w:sz w:val="20"/>
          <w:szCs w:val="20"/>
        </w:rPr>
        <w:t xml:space="preserve"> group was again subdivided into homozygous </w:t>
      </w:r>
      <w:proofErr w:type="spellStart"/>
      <w:r w:rsidRPr="00C33FE5">
        <w:rPr>
          <w:rFonts w:ascii="Times New Roman" w:hAnsi="Times New Roman" w:cs="Times New Roman"/>
          <w:sz w:val="20"/>
          <w:szCs w:val="20"/>
        </w:rPr>
        <w:t>thalassemia</w:t>
      </w:r>
      <w:proofErr w:type="spellEnd"/>
      <w:r w:rsidRPr="00C33FE5">
        <w:rPr>
          <w:rFonts w:ascii="Times New Roman" w:hAnsi="Times New Roman" w:cs="Times New Roman"/>
          <w:sz w:val="20"/>
          <w:szCs w:val="20"/>
        </w:rPr>
        <w:t xml:space="preserve"> major , heterozygous E-</w:t>
      </w:r>
      <w:proofErr w:type="spellStart"/>
      <w:r w:rsidRPr="00C33FE5">
        <w:rPr>
          <w:rFonts w:ascii="Times New Roman" w:hAnsi="Times New Roman" w:cs="Times New Roman"/>
          <w:sz w:val="20"/>
          <w:szCs w:val="20"/>
        </w:rPr>
        <w:t>thalassemia</w:t>
      </w:r>
      <w:proofErr w:type="spellEnd"/>
      <w:r w:rsidRPr="00C33FE5">
        <w:rPr>
          <w:rFonts w:ascii="Times New Roman" w:hAnsi="Times New Roman" w:cs="Times New Roman"/>
          <w:sz w:val="20"/>
          <w:szCs w:val="20"/>
        </w:rPr>
        <w:t xml:space="preserve"> and S-</w:t>
      </w:r>
      <w:proofErr w:type="spellStart"/>
      <w:r w:rsidRPr="00C33FE5">
        <w:rPr>
          <w:rFonts w:ascii="Times New Roman" w:hAnsi="Times New Roman" w:cs="Times New Roman"/>
          <w:sz w:val="20"/>
          <w:szCs w:val="20"/>
        </w:rPr>
        <w:t>thalassemia</w:t>
      </w:r>
      <w:proofErr w:type="spellEnd"/>
      <w:r w:rsidRPr="00C33FE5">
        <w:rPr>
          <w:rFonts w:ascii="Times New Roman" w:hAnsi="Times New Roman" w:cs="Times New Roman"/>
          <w:sz w:val="20"/>
          <w:szCs w:val="20"/>
        </w:rPr>
        <w:t xml:space="preserve"> .Similarly sickle cell disease group was also subdivided into homozygous sickle cell disease and heterozygous E-sickle cell disease .</w:t>
      </w:r>
    </w:p>
    <w:p w:rsidR="00820C0B" w:rsidRPr="00C33FE5" w:rsidRDefault="00820C0B" w:rsidP="007676C5">
      <w:pPr>
        <w:widowControl w:val="0"/>
        <w:spacing w:after="0" w:line="240" w:lineRule="auto"/>
        <w:jc w:val="both"/>
        <w:rPr>
          <w:rFonts w:ascii="Times New Roman" w:hAnsi="Times New Roman" w:cs="Times New Roman"/>
          <w:b/>
          <w:sz w:val="20"/>
          <w:szCs w:val="20"/>
        </w:rPr>
      </w:pPr>
      <w:r w:rsidRPr="00C33FE5">
        <w:rPr>
          <w:rFonts w:ascii="Times New Roman" w:hAnsi="Times New Roman" w:cs="Times New Roman"/>
          <w:b/>
          <w:sz w:val="20"/>
          <w:szCs w:val="20"/>
        </w:rPr>
        <w:t>INCLUSION CRITERIA:</w:t>
      </w:r>
    </w:p>
    <w:p w:rsidR="00820C0B" w:rsidRPr="00C33FE5" w:rsidRDefault="007676C5" w:rsidP="007676C5">
      <w:pPr>
        <w:widowControl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1.</w:t>
      </w:r>
      <w:r w:rsidR="00820C0B" w:rsidRPr="00C33FE5">
        <w:rPr>
          <w:rFonts w:ascii="Times New Roman" w:hAnsi="Times New Roman" w:cs="Times New Roman"/>
          <w:sz w:val="20"/>
          <w:szCs w:val="20"/>
        </w:rPr>
        <w:t>A</w:t>
      </w:r>
      <w:proofErr w:type="gramEnd"/>
      <w:r w:rsidR="00820C0B" w:rsidRPr="00C33FE5">
        <w:rPr>
          <w:rFonts w:ascii="Times New Roman" w:hAnsi="Times New Roman" w:cs="Times New Roman"/>
          <w:sz w:val="20"/>
          <w:szCs w:val="20"/>
        </w:rPr>
        <w:t xml:space="preserve"> total of 100 cases, both male and female, in the age group 1-16 years were included in the study.</w:t>
      </w:r>
    </w:p>
    <w:p w:rsidR="00820C0B" w:rsidRPr="00C33FE5" w:rsidRDefault="007676C5" w:rsidP="007676C5">
      <w:pPr>
        <w:widowControl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2.</w:t>
      </w:r>
      <w:r w:rsidR="00820C0B" w:rsidRPr="00C33FE5">
        <w:rPr>
          <w:rFonts w:ascii="Times New Roman" w:hAnsi="Times New Roman" w:cs="Times New Roman"/>
          <w:sz w:val="20"/>
          <w:szCs w:val="20"/>
        </w:rPr>
        <w:t>The</w:t>
      </w:r>
      <w:proofErr w:type="gramEnd"/>
      <w:r w:rsidR="00820C0B" w:rsidRPr="00C33FE5">
        <w:rPr>
          <w:rFonts w:ascii="Times New Roman" w:hAnsi="Times New Roman" w:cs="Times New Roman"/>
          <w:sz w:val="20"/>
          <w:szCs w:val="20"/>
        </w:rPr>
        <w:t xml:space="preserve"> cases were selected on the basis of detailed history and clinical diagnosis.</w:t>
      </w:r>
    </w:p>
    <w:p w:rsidR="00820C0B" w:rsidRPr="00C33FE5" w:rsidRDefault="007676C5" w:rsidP="007676C5">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3.</w:t>
      </w:r>
      <w:r w:rsidR="00820C0B" w:rsidRPr="00C33FE5">
        <w:rPr>
          <w:rFonts w:ascii="Times New Roman" w:hAnsi="Times New Roman" w:cs="Times New Roman"/>
          <w:sz w:val="20"/>
          <w:szCs w:val="20"/>
        </w:rPr>
        <w:t>Patients</w:t>
      </w:r>
      <w:proofErr w:type="gramEnd"/>
      <w:r w:rsidR="00820C0B" w:rsidRPr="00C33FE5">
        <w:rPr>
          <w:rFonts w:ascii="Times New Roman" w:hAnsi="Times New Roman" w:cs="Times New Roman"/>
          <w:sz w:val="20"/>
          <w:szCs w:val="20"/>
        </w:rPr>
        <w:t xml:space="preserve"> newly diagnosed - as </w:t>
      </w:r>
      <w:proofErr w:type="spellStart"/>
      <w:r w:rsidR="00820C0B" w:rsidRPr="00C33FE5">
        <w:rPr>
          <w:rFonts w:ascii="Times New Roman" w:hAnsi="Times New Roman" w:cs="Times New Roman"/>
          <w:sz w:val="20"/>
          <w:szCs w:val="20"/>
        </w:rPr>
        <w:t>haemoglobinopathies</w:t>
      </w:r>
      <w:proofErr w:type="spellEnd"/>
      <w:r w:rsidR="00820C0B" w:rsidRPr="00C33FE5">
        <w:rPr>
          <w:rFonts w:ascii="Times New Roman" w:hAnsi="Times New Roman" w:cs="Times New Roman"/>
          <w:sz w:val="20"/>
          <w:szCs w:val="20"/>
        </w:rPr>
        <w:t xml:space="preserve"> (</w:t>
      </w:r>
      <w:proofErr w:type="spellStart"/>
      <w:r w:rsidR="00820C0B" w:rsidRPr="00C33FE5">
        <w:rPr>
          <w:rFonts w:ascii="Times New Roman" w:hAnsi="Times New Roman" w:cs="Times New Roman"/>
          <w:sz w:val="20"/>
          <w:szCs w:val="20"/>
        </w:rPr>
        <w:t>thalassemia</w:t>
      </w:r>
      <w:proofErr w:type="spellEnd"/>
      <w:r w:rsidR="00820C0B" w:rsidRPr="00C33FE5">
        <w:rPr>
          <w:rFonts w:ascii="Times New Roman" w:hAnsi="Times New Roman" w:cs="Times New Roman"/>
          <w:sz w:val="20"/>
          <w:szCs w:val="20"/>
        </w:rPr>
        <w:t xml:space="preserve"> and sickle cell </w:t>
      </w:r>
      <w:proofErr w:type="spellStart"/>
      <w:r w:rsidR="00820C0B" w:rsidRPr="00C33FE5">
        <w:rPr>
          <w:rFonts w:ascii="Times New Roman" w:hAnsi="Times New Roman" w:cs="Times New Roman"/>
          <w:sz w:val="20"/>
          <w:szCs w:val="20"/>
        </w:rPr>
        <w:t>anaemia</w:t>
      </w:r>
      <w:proofErr w:type="spellEnd"/>
      <w:r w:rsidR="00820C0B" w:rsidRPr="00C33FE5">
        <w:rPr>
          <w:rFonts w:ascii="Times New Roman" w:hAnsi="Times New Roman" w:cs="Times New Roman"/>
          <w:sz w:val="20"/>
          <w:szCs w:val="20"/>
        </w:rPr>
        <w:t>) without transfusion and those coming for follow up and transfusion therapy.</w:t>
      </w:r>
    </w:p>
    <w:p w:rsidR="007676C5" w:rsidRDefault="007676C5" w:rsidP="007676C5">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4.</w:t>
      </w:r>
      <w:r w:rsidR="00820C0B" w:rsidRPr="00C33FE5">
        <w:rPr>
          <w:rFonts w:ascii="Times New Roman" w:hAnsi="Times New Roman" w:cs="Times New Roman"/>
          <w:sz w:val="20"/>
          <w:szCs w:val="20"/>
        </w:rPr>
        <w:t>Diagnosed</w:t>
      </w:r>
      <w:proofErr w:type="gramEnd"/>
      <w:r w:rsidR="00820C0B" w:rsidRPr="00C33FE5">
        <w:rPr>
          <w:rFonts w:ascii="Times New Roman" w:hAnsi="Times New Roman" w:cs="Times New Roman"/>
          <w:sz w:val="20"/>
          <w:szCs w:val="20"/>
        </w:rPr>
        <w:t xml:space="preserve"> patients of </w:t>
      </w:r>
      <w:proofErr w:type="spellStart"/>
      <w:r w:rsidR="00820C0B" w:rsidRPr="00C33FE5">
        <w:rPr>
          <w:rFonts w:ascii="Times New Roman" w:hAnsi="Times New Roman" w:cs="Times New Roman"/>
          <w:sz w:val="20"/>
          <w:szCs w:val="20"/>
        </w:rPr>
        <w:t>haemogobinopathies</w:t>
      </w:r>
      <w:proofErr w:type="spellEnd"/>
      <w:r w:rsidR="00820C0B" w:rsidRPr="00C33FE5">
        <w:rPr>
          <w:rFonts w:ascii="Times New Roman" w:hAnsi="Times New Roman" w:cs="Times New Roman"/>
          <w:sz w:val="20"/>
          <w:szCs w:val="20"/>
        </w:rPr>
        <w:t xml:space="preserve"> without having any oral medication that contain </w:t>
      </w:r>
      <w:proofErr w:type="spellStart"/>
      <w:r w:rsidR="00820C0B" w:rsidRPr="00C33FE5">
        <w:rPr>
          <w:rFonts w:ascii="Times New Roman" w:hAnsi="Times New Roman" w:cs="Times New Roman"/>
          <w:sz w:val="20"/>
          <w:szCs w:val="20"/>
        </w:rPr>
        <w:t>iron,zinc</w:t>
      </w:r>
      <w:proofErr w:type="spellEnd"/>
      <w:r w:rsidR="00820C0B" w:rsidRPr="00C33FE5">
        <w:rPr>
          <w:rFonts w:ascii="Times New Roman" w:hAnsi="Times New Roman" w:cs="Times New Roman"/>
          <w:sz w:val="20"/>
          <w:szCs w:val="20"/>
        </w:rPr>
        <w:t xml:space="preserve"> preparation for </w:t>
      </w:r>
      <w:proofErr w:type="spellStart"/>
      <w:r w:rsidR="00820C0B" w:rsidRPr="00C33FE5">
        <w:rPr>
          <w:rFonts w:ascii="Times New Roman" w:hAnsi="Times New Roman" w:cs="Times New Roman"/>
          <w:sz w:val="20"/>
          <w:szCs w:val="20"/>
        </w:rPr>
        <w:t>atleast</w:t>
      </w:r>
      <w:proofErr w:type="spellEnd"/>
      <w:r w:rsidR="00820C0B" w:rsidRPr="00C33FE5">
        <w:rPr>
          <w:rFonts w:ascii="Times New Roman" w:hAnsi="Times New Roman" w:cs="Times New Roman"/>
          <w:sz w:val="20"/>
          <w:szCs w:val="20"/>
        </w:rPr>
        <w:t xml:space="preserve"> 2 months duration .</w:t>
      </w:r>
    </w:p>
    <w:p w:rsidR="00820C0B" w:rsidRPr="007676C5" w:rsidRDefault="00820C0B" w:rsidP="007676C5">
      <w:pPr>
        <w:spacing w:after="0" w:line="240" w:lineRule="auto"/>
        <w:jc w:val="both"/>
        <w:rPr>
          <w:rFonts w:ascii="Times New Roman" w:hAnsi="Times New Roman" w:cs="Times New Roman"/>
          <w:sz w:val="20"/>
          <w:szCs w:val="20"/>
        </w:rPr>
      </w:pPr>
      <w:r w:rsidRPr="00C33FE5">
        <w:rPr>
          <w:rFonts w:ascii="Times New Roman" w:hAnsi="Times New Roman" w:cs="Times New Roman"/>
          <w:b/>
          <w:sz w:val="20"/>
          <w:szCs w:val="20"/>
        </w:rPr>
        <w:t>EXCLUSION CRITERIA:</w:t>
      </w:r>
    </w:p>
    <w:p w:rsidR="00820C0B" w:rsidRPr="00C33FE5" w:rsidRDefault="007676C5" w:rsidP="007676C5">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1.</w:t>
      </w:r>
      <w:r w:rsidR="00820C0B" w:rsidRPr="00C33FE5">
        <w:rPr>
          <w:rFonts w:ascii="Times New Roman" w:hAnsi="Times New Roman" w:cs="Times New Roman"/>
          <w:sz w:val="20"/>
          <w:szCs w:val="20"/>
        </w:rPr>
        <w:t>Haemoglobinopathies</w:t>
      </w:r>
      <w:proofErr w:type="gramEnd"/>
      <w:r w:rsidR="00820C0B" w:rsidRPr="00C33FE5">
        <w:rPr>
          <w:rFonts w:ascii="Times New Roman" w:hAnsi="Times New Roman" w:cs="Times New Roman"/>
          <w:sz w:val="20"/>
          <w:szCs w:val="20"/>
        </w:rPr>
        <w:t xml:space="preserve"> associated with  other </w:t>
      </w:r>
      <w:proofErr w:type="spellStart"/>
      <w:r w:rsidR="00820C0B" w:rsidRPr="00C33FE5">
        <w:rPr>
          <w:rFonts w:ascii="Times New Roman" w:hAnsi="Times New Roman" w:cs="Times New Roman"/>
          <w:sz w:val="20"/>
          <w:szCs w:val="20"/>
        </w:rPr>
        <w:t>haemolytic</w:t>
      </w:r>
      <w:proofErr w:type="spellEnd"/>
      <w:r w:rsidR="00820C0B" w:rsidRPr="00C33FE5">
        <w:rPr>
          <w:rFonts w:ascii="Times New Roman" w:hAnsi="Times New Roman" w:cs="Times New Roman"/>
          <w:sz w:val="20"/>
          <w:szCs w:val="20"/>
        </w:rPr>
        <w:t xml:space="preserve"> disorder(e.g.G-6PD deficiency)</w:t>
      </w:r>
    </w:p>
    <w:p w:rsidR="00820C0B" w:rsidRPr="00C33FE5" w:rsidRDefault="007676C5" w:rsidP="007676C5">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2.</w:t>
      </w:r>
      <w:r w:rsidR="00820C0B" w:rsidRPr="00C33FE5">
        <w:rPr>
          <w:rFonts w:ascii="Times New Roman" w:hAnsi="Times New Roman" w:cs="Times New Roman"/>
          <w:sz w:val="20"/>
          <w:szCs w:val="20"/>
        </w:rPr>
        <w:t>Haemoglobinopathies</w:t>
      </w:r>
      <w:proofErr w:type="gramEnd"/>
      <w:r w:rsidR="00820C0B" w:rsidRPr="00C33FE5">
        <w:rPr>
          <w:rFonts w:ascii="Times New Roman" w:hAnsi="Times New Roman" w:cs="Times New Roman"/>
          <w:sz w:val="20"/>
          <w:szCs w:val="20"/>
        </w:rPr>
        <w:t xml:space="preserve"> associated with severe malnutrition</w:t>
      </w:r>
    </w:p>
    <w:p w:rsidR="00820C0B" w:rsidRPr="00C33FE5" w:rsidRDefault="007676C5" w:rsidP="007676C5">
      <w:pPr>
        <w:tabs>
          <w:tab w:val="left" w:pos="2775"/>
        </w:tabs>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3.</w:t>
      </w:r>
      <w:r w:rsidR="00820C0B" w:rsidRPr="00C33FE5">
        <w:rPr>
          <w:rFonts w:ascii="Times New Roman" w:hAnsi="Times New Roman" w:cs="Times New Roman"/>
          <w:sz w:val="20"/>
          <w:szCs w:val="20"/>
        </w:rPr>
        <w:t>Haemoglobinopathies</w:t>
      </w:r>
      <w:proofErr w:type="gramEnd"/>
      <w:r w:rsidR="00820C0B" w:rsidRPr="00C33FE5">
        <w:rPr>
          <w:rFonts w:ascii="Times New Roman" w:hAnsi="Times New Roman" w:cs="Times New Roman"/>
          <w:sz w:val="20"/>
          <w:szCs w:val="20"/>
        </w:rPr>
        <w:t xml:space="preserve"> associated with repeated respiratory infection.</w:t>
      </w:r>
    </w:p>
    <w:p w:rsidR="00C33FE5" w:rsidRDefault="007676C5" w:rsidP="007676C5">
      <w:pPr>
        <w:tabs>
          <w:tab w:val="left" w:pos="2775"/>
        </w:tabs>
        <w:spacing w:after="0" w:line="240" w:lineRule="auto"/>
        <w:jc w:val="both"/>
        <w:rPr>
          <w:rFonts w:ascii="Times New Roman" w:hAnsi="Times New Roman" w:cs="Times New Roman"/>
          <w:sz w:val="26"/>
          <w:szCs w:val="24"/>
        </w:rPr>
      </w:pPr>
      <w:proofErr w:type="gramStart"/>
      <w:r>
        <w:rPr>
          <w:rFonts w:ascii="Times New Roman" w:hAnsi="Times New Roman" w:cs="Times New Roman"/>
          <w:sz w:val="20"/>
          <w:szCs w:val="20"/>
        </w:rPr>
        <w:t>4.</w:t>
      </w:r>
      <w:r w:rsidR="00C33FE5" w:rsidRPr="00C33FE5">
        <w:rPr>
          <w:rFonts w:ascii="Times New Roman" w:hAnsi="Times New Roman" w:cs="Times New Roman"/>
          <w:sz w:val="20"/>
          <w:szCs w:val="20"/>
        </w:rPr>
        <w:t>Thalassemia</w:t>
      </w:r>
      <w:proofErr w:type="gramEnd"/>
      <w:r w:rsidR="00C33FE5" w:rsidRPr="00C33FE5">
        <w:rPr>
          <w:rFonts w:ascii="Times New Roman" w:hAnsi="Times New Roman" w:cs="Times New Roman"/>
          <w:sz w:val="20"/>
          <w:szCs w:val="20"/>
        </w:rPr>
        <w:t xml:space="preserve"> minor and </w:t>
      </w:r>
      <w:proofErr w:type="spellStart"/>
      <w:r w:rsidR="00C33FE5" w:rsidRPr="00C33FE5">
        <w:rPr>
          <w:rFonts w:ascii="Times New Roman" w:hAnsi="Times New Roman" w:cs="Times New Roman"/>
          <w:sz w:val="20"/>
          <w:szCs w:val="20"/>
        </w:rPr>
        <w:t>thalassemia</w:t>
      </w:r>
      <w:proofErr w:type="spellEnd"/>
      <w:r w:rsidR="00C33FE5" w:rsidRPr="00C33FE5">
        <w:rPr>
          <w:rFonts w:ascii="Times New Roman" w:hAnsi="Times New Roman" w:cs="Times New Roman"/>
          <w:sz w:val="20"/>
          <w:szCs w:val="20"/>
        </w:rPr>
        <w:t xml:space="preserve"> </w:t>
      </w:r>
      <w:proofErr w:type="spellStart"/>
      <w:r w:rsidR="00C33FE5" w:rsidRPr="00C33FE5">
        <w:rPr>
          <w:rFonts w:ascii="Times New Roman" w:hAnsi="Times New Roman" w:cs="Times New Roman"/>
          <w:sz w:val="20"/>
          <w:szCs w:val="20"/>
        </w:rPr>
        <w:t>intermedia</w:t>
      </w:r>
      <w:proofErr w:type="spellEnd"/>
      <w:r w:rsidR="000F1683">
        <w:rPr>
          <w:rFonts w:ascii="Times New Roman" w:hAnsi="Times New Roman" w:cs="Times New Roman"/>
          <w:sz w:val="20"/>
          <w:szCs w:val="20"/>
        </w:rPr>
        <w:t>(we couldn’t find any case during the study period)</w:t>
      </w:r>
      <w:r w:rsidR="00C33FE5">
        <w:rPr>
          <w:rFonts w:ascii="Times New Roman" w:hAnsi="Times New Roman" w:cs="Times New Roman"/>
          <w:sz w:val="26"/>
          <w:szCs w:val="24"/>
        </w:rPr>
        <w:t xml:space="preserve"> </w:t>
      </w:r>
    </w:p>
    <w:p w:rsidR="00820C0B" w:rsidRPr="005D3D09" w:rsidRDefault="00820C0B" w:rsidP="00F42FFB">
      <w:pPr>
        <w:shd w:val="clear" w:color="auto" w:fill="FFFFFF"/>
        <w:spacing w:after="0" w:line="240" w:lineRule="auto"/>
        <w:jc w:val="both"/>
        <w:rPr>
          <w:rFonts w:ascii="Times New Roman" w:hAnsi="Times New Roman" w:cs="Times New Roman"/>
          <w:sz w:val="26"/>
          <w:szCs w:val="24"/>
        </w:rPr>
      </w:pPr>
      <w:r w:rsidRPr="004B5857">
        <w:rPr>
          <w:rFonts w:ascii="Times New Roman" w:hAnsi="Times New Roman" w:cs="Times New Roman"/>
          <w:b/>
          <w:sz w:val="20"/>
          <w:szCs w:val="20"/>
        </w:rPr>
        <w:t>LABORATORY INVESTIGATION</w:t>
      </w:r>
      <w:r w:rsidRPr="005D3D09">
        <w:rPr>
          <w:rFonts w:ascii="Times New Roman" w:hAnsi="Times New Roman" w:cs="Times New Roman"/>
          <w:sz w:val="26"/>
          <w:szCs w:val="24"/>
        </w:rPr>
        <w:t>:</w:t>
      </w:r>
    </w:p>
    <w:p w:rsidR="00820C0B" w:rsidRPr="004B5857" w:rsidRDefault="00820C0B" w:rsidP="00F42FFB">
      <w:pPr>
        <w:pStyle w:val="ListParagraph"/>
        <w:numPr>
          <w:ilvl w:val="0"/>
          <w:numId w:val="5"/>
        </w:numPr>
        <w:shd w:val="clear" w:color="auto" w:fill="FFFFFF"/>
        <w:spacing w:after="0" w:line="240" w:lineRule="auto"/>
        <w:jc w:val="both"/>
        <w:rPr>
          <w:rFonts w:ascii="Times New Roman" w:hAnsi="Times New Roman"/>
          <w:color w:val="000000"/>
          <w:sz w:val="20"/>
          <w:szCs w:val="20"/>
        </w:rPr>
      </w:pPr>
      <w:r w:rsidRPr="004B5857">
        <w:rPr>
          <w:rFonts w:ascii="Times New Roman" w:hAnsi="Times New Roman"/>
          <w:color w:val="000000"/>
          <w:sz w:val="20"/>
          <w:szCs w:val="20"/>
        </w:rPr>
        <w:t xml:space="preserve">R/E Blood </w:t>
      </w:r>
    </w:p>
    <w:p w:rsidR="00820C0B" w:rsidRPr="004B5857" w:rsidRDefault="00820C0B" w:rsidP="00F42FFB">
      <w:pPr>
        <w:pStyle w:val="ListParagraph"/>
        <w:numPr>
          <w:ilvl w:val="0"/>
          <w:numId w:val="5"/>
        </w:numPr>
        <w:shd w:val="clear" w:color="auto" w:fill="FFFFFF"/>
        <w:spacing w:after="0" w:line="240" w:lineRule="auto"/>
        <w:jc w:val="both"/>
        <w:rPr>
          <w:rFonts w:ascii="Times New Roman" w:hAnsi="Times New Roman"/>
          <w:color w:val="000000"/>
          <w:sz w:val="20"/>
          <w:szCs w:val="20"/>
        </w:rPr>
      </w:pPr>
      <w:r w:rsidRPr="004B5857">
        <w:rPr>
          <w:rFonts w:ascii="Times New Roman" w:hAnsi="Times New Roman"/>
          <w:color w:val="000000"/>
          <w:sz w:val="20"/>
          <w:szCs w:val="20"/>
        </w:rPr>
        <w:t xml:space="preserve">Complete </w:t>
      </w:r>
      <w:proofErr w:type="spellStart"/>
      <w:r w:rsidRPr="004B5857">
        <w:rPr>
          <w:rFonts w:ascii="Times New Roman" w:hAnsi="Times New Roman"/>
          <w:color w:val="000000"/>
          <w:sz w:val="20"/>
          <w:szCs w:val="20"/>
        </w:rPr>
        <w:t>haemogram</w:t>
      </w:r>
      <w:proofErr w:type="spellEnd"/>
    </w:p>
    <w:p w:rsidR="00820C0B" w:rsidRPr="004B5857" w:rsidRDefault="00820C0B" w:rsidP="00F42FFB">
      <w:pPr>
        <w:pStyle w:val="ListParagraph"/>
        <w:numPr>
          <w:ilvl w:val="0"/>
          <w:numId w:val="5"/>
        </w:numPr>
        <w:shd w:val="clear" w:color="auto" w:fill="FFFFFF"/>
        <w:spacing w:after="0" w:line="240" w:lineRule="auto"/>
        <w:jc w:val="both"/>
        <w:rPr>
          <w:rFonts w:ascii="Times New Roman" w:hAnsi="Times New Roman"/>
          <w:color w:val="000000"/>
          <w:sz w:val="20"/>
          <w:szCs w:val="20"/>
        </w:rPr>
      </w:pPr>
      <w:proofErr w:type="spellStart"/>
      <w:r w:rsidRPr="004B5857">
        <w:rPr>
          <w:rFonts w:ascii="Times New Roman" w:hAnsi="Times New Roman"/>
          <w:color w:val="000000"/>
          <w:sz w:val="20"/>
          <w:szCs w:val="20"/>
        </w:rPr>
        <w:t>Hb</w:t>
      </w:r>
      <w:proofErr w:type="spellEnd"/>
      <w:r w:rsidRPr="004B5857">
        <w:rPr>
          <w:rFonts w:ascii="Times New Roman" w:hAnsi="Times New Roman"/>
          <w:color w:val="000000"/>
          <w:sz w:val="20"/>
          <w:szCs w:val="20"/>
        </w:rPr>
        <w:t xml:space="preserve"> typing by </w:t>
      </w:r>
      <w:proofErr w:type="spellStart"/>
      <w:r w:rsidRPr="004B5857">
        <w:rPr>
          <w:rFonts w:ascii="Times New Roman" w:hAnsi="Times New Roman"/>
          <w:color w:val="000000"/>
          <w:sz w:val="20"/>
          <w:szCs w:val="20"/>
        </w:rPr>
        <w:t>Cation</w:t>
      </w:r>
      <w:proofErr w:type="spellEnd"/>
      <w:r w:rsidRPr="004B5857">
        <w:rPr>
          <w:rFonts w:ascii="Times New Roman" w:hAnsi="Times New Roman"/>
          <w:color w:val="000000"/>
          <w:sz w:val="20"/>
          <w:szCs w:val="20"/>
        </w:rPr>
        <w:t xml:space="preserve"> Exchange high performance liquid Chromatography  (Bio-Rad D-10)</w:t>
      </w:r>
    </w:p>
    <w:p w:rsidR="00820C0B" w:rsidRPr="004B5857" w:rsidRDefault="00820C0B" w:rsidP="00F42FFB">
      <w:pPr>
        <w:pStyle w:val="ListParagraph"/>
        <w:numPr>
          <w:ilvl w:val="0"/>
          <w:numId w:val="5"/>
        </w:numPr>
        <w:shd w:val="clear" w:color="auto" w:fill="FFFFFF"/>
        <w:spacing w:after="0" w:line="240" w:lineRule="auto"/>
        <w:jc w:val="both"/>
        <w:rPr>
          <w:rFonts w:ascii="Times New Roman" w:hAnsi="Times New Roman"/>
          <w:color w:val="000000"/>
          <w:sz w:val="20"/>
          <w:szCs w:val="20"/>
        </w:rPr>
      </w:pPr>
      <w:proofErr w:type="spellStart"/>
      <w:r w:rsidRPr="004B5857">
        <w:rPr>
          <w:rFonts w:ascii="Times New Roman" w:hAnsi="Times New Roman"/>
          <w:color w:val="000000"/>
          <w:sz w:val="20"/>
          <w:szCs w:val="20"/>
        </w:rPr>
        <w:t>Sickling</w:t>
      </w:r>
      <w:proofErr w:type="spellEnd"/>
      <w:r w:rsidRPr="004B5857">
        <w:rPr>
          <w:rFonts w:ascii="Times New Roman" w:hAnsi="Times New Roman"/>
          <w:color w:val="000000"/>
          <w:sz w:val="20"/>
          <w:szCs w:val="20"/>
        </w:rPr>
        <w:t xml:space="preserve"> test using Na </w:t>
      </w:r>
      <w:proofErr w:type="spellStart"/>
      <w:r w:rsidRPr="004B5857">
        <w:rPr>
          <w:rFonts w:ascii="Times New Roman" w:hAnsi="Times New Roman"/>
          <w:color w:val="000000"/>
          <w:sz w:val="20"/>
          <w:szCs w:val="20"/>
        </w:rPr>
        <w:t>metabisulphite</w:t>
      </w:r>
      <w:proofErr w:type="spellEnd"/>
      <w:r w:rsidRPr="004B5857">
        <w:rPr>
          <w:rFonts w:ascii="Times New Roman" w:hAnsi="Times New Roman"/>
          <w:color w:val="000000"/>
          <w:sz w:val="20"/>
          <w:szCs w:val="20"/>
        </w:rPr>
        <w:t xml:space="preserve"> method (if necessary)</w:t>
      </w:r>
    </w:p>
    <w:p w:rsidR="00820C0B" w:rsidRPr="004B5857" w:rsidRDefault="00820C0B" w:rsidP="004C1CFC">
      <w:pPr>
        <w:pStyle w:val="ListParagraph"/>
        <w:numPr>
          <w:ilvl w:val="0"/>
          <w:numId w:val="5"/>
        </w:numPr>
        <w:spacing w:after="0" w:line="240" w:lineRule="auto"/>
        <w:jc w:val="both"/>
        <w:rPr>
          <w:rFonts w:ascii="Times New Roman" w:hAnsi="Times New Roman"/>
          <w:sz w:val="20"/>
          <w:szCs w:val="20"/>
        </w:rPr>
      </w:pPr>
      <w:r w:rsidRPr="004B5857">
        <w:rPr>
          <w:rFonts w:ascii="Times New Roman" w:hAnsi="Times New Roman"/>
          <w:sz w:val="20"/>
          <w:szCs w:val="20"/>
        </w:rPr>
        <w:t>Serum Zin</w:t>
      </w:r>
      <w:r w:rsidR="007676C5">
        <w:rPr>
          <w:rFonts w:ascii="Times New Roman" w:hAnsi="Times New Roman"/>
          <w:sz w:val="20"/>
          <w:szCs w:val="20"/>
        </w:rPr>
        <w:t>c</w:t>
      </w:r>
    </w:p>
    <w:p w:rsidR="00820C0B" w:rsidRPr="004B5857" w:rsidRDefault="00820C0B" w:rsidP="004C1CFC">
      <w:pPr>
        <w:pStyle w:val="ListParagraph"/>
        <w:numPr>
          <w:ilvl w:val="0"/>
          <w:numId w:val="5"/>
        </w:numPr>
        <w:tabs>
          <w:tab w:val="left" w:pos="2190"/>
        </w:tabs>
        <w:spacing w:after="0" w:line="240" w:lineRule="auto"/>
        <w:jc w:val="both"/>
        <w:rPr>
          <w:rFonts w:ascii="Times New Roman" w:hAnsi="Times New Roman"/>
          <w:sz w:val="20"/>
          <w:szCs w:val="20"/>
        </w:rPr>
      </w:pPr>
      <w:r w:rsidRPr="004B5857">
        <w:rPr>
          <w:rFonts w:ascii="Times New Roman" w:hAnsi="Times New Roman"/>
          <w:sz w:val="20"/>
          <w:szCs w:val="20"/>
        </w:rPr>
        <w:t xml:space="preserve">Serum  </w:t>
      </w:r>
      <w:proofErr w:type="spellStart"/>
      <w:r w:rsidRPr="004B5857">
        <w:rPr>
          <w:rFonts w:ascii="Times New Roman" w:hAnsi="Times New Roman"/>
          <w:sz w:val="20"/>
          <w:szCs w:val="20"/>
        </w:rPr>
        <w:t>Ferrit</w:t>
      </w:r>
      <w:r w:rsidR="004C1CFC" w:rsidRPr="004B5857">
        <w:rPr>
          <w:rFonts w:ascii="Times New Roman" w:hAnsi="Times New Roman"/>
          <w:sz w:val="20"/>
          <w:szCs w:val="20"/>
        </w:rPr>
        <w:t>in</w:t>
      </w:r>
      <w:proofErr w:type="spellEnd"/>
    </w:p>
    <w:p w:rsidR="00820C0B" w:rsidRPr="005D3D09" w:rsidRDefault="00820C0B" w:rsidP="00F42FFB">
      <w:pPr>
        <w:pStyle w:val="Default"/>
        <w:jc w:val="both"/>
        <w:rPr>
          <w:sz w:val="26"/>
        </w:rPr>
      </w:pPr>
    </w:p>
    <w:p w:rsidR="00557491" w:rsidRPr="007676C5" w:rsidRDefault="00557491" w:rsidP="00F42FFB">
      <w:pPr>
        <w:spacing w:after="0" w:line="240" w:lineRule="auto"/>
        <w:jc w:val="both"/>
        <w:rPr>
          <w:rFonts w:ascii="Times New Roman" w:hAnsi="Times New Roman" w:cs="Times New Roman"/>
          <w:b/>
          <w:sz w:val="20"/>
          <w:szCs w:val="20"/>
          <w:vertAlign w:val="superscript"/>
        </w:rPr>
      </w:pPr>
      <w:r w:rsidRPr="004B5857">
        <w:rPr>
          <w:rFonts w:ascii="Times New Roman" w:hAnsi="Times New Roman" w:cs="Times New Roman"/>
          <w:b/>
          <w:sz w:val="20"/>
          <w:szCs w:val="20"/>
        </w:rPr>
        <w:t>HAEMOGLOBIN TYPING BY CATION EXCHANGE HIGH PERFORMANCE LIQUID CHROMATOGRAPHY (BIO-</w:t>
      </w:r>
      <w:proofErr w:type="gramStart"/>
      <w:r w:rsidRPr="004B5857">
        <w:rPr>
          <w:rFonts w:ascii="Times New Roman" w:hAnsi="Times New Roman" w:cs="Times New Roman"/>
          <w:b/>
          <w:sz w:val="20"/>
          <w:szCs w:val="20"/>
        </w:rPr>
        <w:t>RAD  D</w:t>
      </w:r>
      <w:proofErr w:type="gramEnd"/>
      <w:r w:rsidRPr="004B5857">
        <w:rPr>
          <w:rFonts w:ascii="Times New Roman" w:hAnsi="Times New Roman" w:cs="Times New Roman"/>
          <w:b/>
          <w:sz w:val="20"/>
          <w:szCs w:val="20"/>
        </w:rPr>
        <w:t>-10)</w:t>
      </w:r>
      <w:r w:rsidR="00E815C3">
        <w:rPr>
          <w:rFonts w:ascii="Times New Roman" w:hAnsi="Times New Roman" w:cs="Times New Roman"/>
          <w:b/>
          <w:sz w:val="20"/>
          <w:szCs w:val="20"/>
          <w:vertAlign w:val="superscript"/>
        </w:rPr>
        <w:t>10</w:t>
      </w:r>
    </w:p>
    <w:p w:rsidR="00557491" w:rsidRPr="004B5857" w:rsidRDefault="00557491" w:rsidP="00F42FFB">
      <w:pPr>
        <w:spacing w:after="0" w:line="240" w:lineRule="auto"/>
        <w:ind w:firstLine="720"/>
        <w:jc w:val="both"/>
        <w:rPr>
          <w:rFonts w:ascii="Times New Roman" w:hAnsi="Times New Roman" w:cs="Times New Roman"/>
          <w:color w:val="000000"/>
          <w:sz w:val="20"/>
          <w:szCs w:val="20"/>
        </w:rPr>
      </w:pPr>
      <w:r w:rsidRPr="004B5857">
        <w:rPr>
          <w:rFonts w:ascii="Times New Roman" w:hAnsi="Times New Roman" w:cs="Times New Roman"/>
          <w:sz w:val="20"/>
          <w:szCs w:val="20"/>
        </w:rPr>
        <w:t xml:space="preserve">The D-10 Dual </w:t>
      </w:r>
      <w:proofErr w:type="spellStart"/>
      <w:r w:rsidRPr="004B5857">
        <w:rPr>
          <w:rFonts w:ascii="Times New Roman" w:hAnsi="Times New Roman" w:cs="Times New Roman"/>
          <w:sz w:val="20"/>
          <w:szCs w:val="20"/>
        </w:rPr>
        <w:t>programme</w:t>
      </w:r>
      <w:proofErr w:type="spellEnd"/>
      <w:r w:rsidRPr="004B5857">
        <w:rPr>
          <w:rFonts w:ascii="Times New Roman" w:hAnsi="Times New Roman" w:cs="Times New Roman"/>
          <w:sz w:val="20"/>
          <w:szCs w:val="20"/>
        </w:rPr>
        <w:t xml:space="preserve"> is based on chromatographic separation of the </w:t>
      </w:r>
      <w:proofErr w:type="spellStart"/>
      <w:r w:rsidRPr="004B5857">
        <w:rPr>
          <w:rFonts w:ascii="Times New Roman" w:hAnsi="Times New Roman" w:cs="Times New Roman"/>
          <w:sz w:val="20"/>
          <w:szCs w:val="20"/>
        </w:rPr>
        <w:t>analytes</w:t>
      </w:r>
      <w:proofErr w:type="spellEnd"/>
      <w:r w:rsidRPr="004B5857">
        <w:rPr>
          <w:rFonts w:ascii="Times New Roman" w:hAnsi="Times New Roman" w:cs="Times New Roman"/>
          <w:sz w:val="20"/>
          <w:szCs w:val="20"/>
        </w:rPr>
        <w:t xml:space="preserve"> by </w:t>
      </w:r>
      <w:r w:rsidRPr="004B5857">
        <w:rPr>
          <w:rFonts w:ascii="Times New Roman" w:hAnsi="Times New Roman" w:cs="Times New Roman"/>
          <w:color w:val="000000"/>
          <w:sz w:val="20"/>
          <w:szCs w:val="20"/>
        </w:rPr>
        <w:t xml:space="preserve">Ion-exchange high performance liquid chromatography. The samples are automatically diluted on the D-10 and injected into the analytical cartridge. The D-10 delivers a programmed buffer gradient of increasing ionic strength to the cartridge, where the </w:t>
      </w:r>
      <w:proofErr w:type="spellStart"/>
      <w:r w:rsidRPr="004B5857">
        <w:rPr>
          <w:rFonts w:ascii="Times New Roman" w:hAnsi="Times New Roman" w:cs="Times New Roman"/>
          <w:color w:val="000000"/>
          <w:sz w:val="20"/>
          <w:szCs w:val="20"/>
        </w:rPr>
        <w:t>haemoglobin</w:t>
      </w:r>
      <w:proofErr w:type="spellEnd"/>
      <w:r w:rsidRPr="004B5857">
        <w:rPr>
          <w:rFonts w:ascii="Times New Roman" w:hAnsi="Times New Roman" w:cs="Times New Roman"/>
          <w:color w:val="000000"/>
          <w:sz w:val="20"/>
          <w:szCs w:val="20"/>
        </w:rPr>
        <w:t xml:space="preserve"> </w:t>
      </w:r>
      <w:proofErr w:type="gramStart"/>
      <w:r w:rsidRPr="004B5857">
        <w:rPr>
          <w:rFonts w:ascii="Times New Roman" w:hAnsi="Times New Roman" w:cs="Times New Roman"/>
          <w:color w:val="000000"/>
          <w:sz w:val="20"/>
          <w:szCs w:val="20"/>
        </w:rPr>
        <w:t>are</w:t>
      </w:r>
      <w:proofErr w:type="gramEnd"/>
      <w:r w:rsidRPr="004B5857">
        <w:rPr>
          <w:rFonts w:ascii="Times New Roman" w:hAnsi="Times New Roman" w:cs="Times New Roman"/>
          <w:color w:val="000000"/>
          <w:sz w:val="20"/>
          <w:szCs w:val="20"/>
        </w:rPr>
        <w:t xml:space="preserve"> separated based on their ionic interaction with the cartridge material. The separated </w:t>
      </w:r>
      <w:proofErr w:type="spellStart"/>
      <w:r w:rsidRPr="004B5857">
        <w:rPr>
          <w:rFonts w:ascii="Times New Roman" w:hAnsi="Times New Roman" w:cs="Times New Roman"/>
          <w:color w:val="000000"/>
          <w:sz w:val="20"/>
          <w:szCs w:val="20"/>
        </w:rPr>
        <w:t>haemoglobins</w:t>
      </w:r>
      <w:proofErr w:type="spellEnd"/>
      <w:r w:rsidRPr="004B5857">
        <w:rPr>
          <w:rFonts w:ascii="Times New Roman" w:hAnsi="Times New Roman" w:cs="Times New Roman"/>
          <w:color w:val="000000"/>
          <w:sz w:val="20"/>
          <w:szCs w:val="20"/>
        </w:rPr>
        <w:t xml:space="preserve"> then pass through the flow cell of the filer photometer, where changes in the absorbance at 415 nm are measured.</w:t>
      </w:r>
    </w:p>
    <w:p w:rsidR="00557491" w:rsidRPr="004B5857" w:rsidRDefault="00557491" w:rsidP="00F42FFB">
      <w:pPr>
        <w:spacing w:after="0" w:line="240" w:lineRule="auto"/>
        <w:ind w:firstLine="720"/>
        <w:jc w:val="both"/>
        <w:rPr>
          <w:rFonts w:ascii="Times New Roman" w:hAnsi="Times New Roman" w:cs="Times New Roman"/>
          <w:color w:val="000000"/>
          <w:sz w:val="20"/>
          <w:szCs w:val="20"/>
        </w:rPr>
      </w:pPr>
      <w:r w:rsidRPr="004B5857">
        <w:rPr>
          <w:rFonts w:ascii="Times New Roman" w:hAnsi="Times New Roman" w:cs="Times New Roman"/>
          <w:color w:val="000000"/>
          <w:sz w:val="20"/>
          <w:szCs w:val="20"/>
        </w:rPr>
        <w:t xml:space="preserve">D-10 software performs reduction of raw data collected from each analysis. Two level </w:t>
      </w:r>
      <w:proofErr w:type="gramStart"/>
      <w:r w:rsidRPr="004B5857">
        <w:rPr>
          <w:rFonts w:ascii="Times New Roman" w:hAnsi="Times New Roman" w:cs="Times New Roman"/>
          <w:color w:val="000000"/>
          <w:sz w:val="20"/>
          <w:szCs w:val="20"/>
        </w:rPr>
        <w:t>calibration</w:t>
      </w:r>
      <w:proofErr w:type="gramEnd"/>
      <w:r w:rsidRPr="004B5857">
        <w:rPr>
          <w:rFonts w:ascii="Times New Roman" w:hAnsi="Times New Roman" w:cs="Times New Roman"/>
          <w:color w:val="000000"/>
          <w:sz w:val="20"/>
          <w:szCs w:val="20"/>
        </w:rPr>
        <w:t xml:space="preserve"> is used for </w:t>
      </w:r>
      <w:proofErr w:type="spellStart"/>
      <w:r w:rsidRPr="004B5857">
        <w:rPr>
          <w:rFonts w:ascii="Times New Roman" w:hAnsi="Times New Roman" w:cs="Times New Roman"/>
          <w:color w:val="000000"/>
          <w:sz w:val="20"/>
          <w:szCs w:val="20"/>
        </w:rPr>
        <w:t>quantitation</w:t>
      </w:r>
      <w:proofErr w:type="spellEnd"/>
      <w:r w:rsidRPr="004B5857">
        <w:rPr>
          <w:rFonts w:ascii="Times New Roman" w:hAnsi="Times New Roman" w:cs="Times New Roman"/>
          <w:color w:val="000000"/>
          <w:sz w:val="20"/>
          <w:szCs w:val="20"/>
        </w:rPr>
        <w:t xml:space="preserve"> of the HbA</w:t>
      </w:r>
      <w:r w:rsidRPr="004B5857">
        <w:rPr>
          <w:rFonts w:ascii="Times New Roman" w:hAnsi="Times New Roman" w:cs="Times New Roman"/>
          <w:color w:val="000000"/>
          <w:sz w:val="20"/>
          <w:szCs w:val="20"/>
          <w:vertAlign w:val="subscript"/>
        </w:rPr>
        <w:t>2/</w:t>
      </w:r>
      <w:r w:rsidRPr="004B5857">
        <w:rPr>
          <w:rFonts w:ascii="Times New Roman" w:hAnsi="Times New Roman" w:cs="Times New Roman"/>
          <w:color w:val="000000"/>
          <w:sz w:val="20"/>
          <w:szCs w:val="20"/>
        </w:rPr>
        <w:t>F/A</w:t>
      </w:r>
      <w:r w:rsidRPr="004B5857">
        <w:rPr>
          <w:rFonts w:ascii="Times New Roman" w:hAnsi="Times New Roman" w:cs="Times New Roman"/>
          <w:color w:val="000000"/>
          <w:sz w:val="20"/>
          <w:szCs w:val="20"/>
          <w:vertAlign w:val="subscript"/>
        </w:rPr>
        <w:t>1C</w:t>
      </w:r>
      <w:r w:rsidRPr="004B5857">
        <w:rPr>
          <w:rFonts w:ascii="Times New Roman" w:hAnsi="Times New Roman" w:cs="Times New Roman"/>
          <w:color w:val="000000"/>
          <w:sz w:val="20"/>
          <w:szCs w:val="20"/>
        </w:rPr>
        <w:t xml:space="preserve"> values. A sample report and a chromatogram are generated for each sample. The A</w:t>
      </w:r>
      <w:r w:rsidRPr="004B5857">
        <w:rPr>
          <w:rFonts w:ascii="Times New Roman" w:hAnsi="Times New Roman" w:cs="Times New Roman"/>
          <w:color w:val="000000"/>
          <w:sz w:val="20"/>
          <w:szCs w:val="20"/>
          <w:vertAlign w:val="subscript"/>
        </w:rPr>
        <w:t>2</w:t>
      </w:r>
      <w:proofErr w:type="gramStart"/>
      <w:r w:rsidRPr="004B5857">
        <w:rPr>
          <w:rFonts w:ascii="Times New Roman" w:hAnsi="Times New Roman" w:cs="Times New Roman"/>
          <w:color w:val="000000"/>
          <w:sz w:val="20"/>
          <w:szCs w:val="20"/>
          <w:vertAlign w:val="subscript"/>
        </w:rPr>
        <w:t>,</w:t>
      </w:r>
      <w:r w:rsidRPr="004B5857">
        <w:rPr>
          <w:rFonts w:ascii="Times New Roman" w:hAnsi="Times New Roman" w:cs="Times New Roman"/>
          <w:color w:val="000000"/>
          <w:sz w:val="20"/>
          <w:szCs w:val="20"/>
        </w:rPr>
        <w:t>F</w:t>
      </w:r>
      <w:proofErr w:type="gramEnd"/>
      <w:r w:rsidRPr="004B5857">
        <w:rPr>
          <w:rFonts w:ascii="Times New Roman" w:hAnsi="Times New Roman" w:cs="Times New Roman"/>
          <w:color w:val="000000"/>
          <w:sz w:val="20"/>
          <w:szCs w:val="20"/>
        </w:rPr>
        <w:t xml:space="preserve"> and A</w:t>
      </w:r>
      <w:r w:rsidRPr="004B5857">
        <w:rPr>
          <w:rFonts w:ascii="Times New Roman" w:hAnsi="Times New Roman" w:cs="Times New Roman"/>
          <w:color w:val="000000"/>
          <w:sz w:val="20"/>
          <w:szCs w:val="20"/>
          <w:vertAlign w:val="subscript"/>
        </w:rPr>
        <w:t>1C</w:t>
      </w:r>
      <w:r w:rsidRPr="004B5857">
        <w:rPr>
          <w:rFonts w:ascii="Times New Roman" w:hAnsi="Times New Roman" w:cs="Times New Roman"/>
          <w:color w:val="000000"/>
          <w:sz w:val="20"/>
          <w:szCs w:val="20"/>
        </w:rPr>
        <w:t xml:space="preserve"> </w:t>
      </w:r>
      <w:proofErr w:type="spellStart"/>
      <w:r w:rsidRPr="004B5857">
        <w:rPr>
          <w:rFonts w:ascii="Times New Roman" w:hAnsi="Times New Roman" w:cs="Times New Roman"/>
          <w:color w:val="000000"/>
          <w:sz w:val="20"/>
          <w:szCs w:val="20"/>
        </w:rPr>
        <w:t>peakes</w:t>
      </w:r>
      <w:proofErr w:type="spellEnd"/>
      <w:r w:rsidRPr="004B5857">
        <w:rPr>
          <w:rFonts w:ascii="Times New Roman" w:hAnsi="Times New Roman" w:cs="Times New Roman"/>
          <w:color w:val="000000"/>
          <w:sz w:val="20"/>
          <w:szCs w:val="20"/>
        </w:rPr>
        <w:t xml:space="preserve"> are shaded. The A</w:t>
      </w:r>
      <w:r w:rsidRPr="004B5857">
        <w:rPr>
          <w:rFonts w:ascii="Times New Roman" w:hAnsi="Times New Roman" w:cs="Times New Roman"/>
          <w:color w:val="000000"/>
          <w:sz w:val="20"/>
          <w:szCs w:val="20"/>
          <w:vertAlign w:val="subscript"/>
        </w:rPr>
        <w:t>1c</w:t>
      </w:r>
      <w:r w:rsidRPr="004B5857">
        <w:rPr>
          <w:rFonts w:ascii="Times New Roman" w:hAnsi="Times New Roman" w:cs="Times New Roman"/>
          <w:color w:val="000000"/>
          <w:sz w:val="20"/>
          <w:szCs w:val="20"/>
        </w:rPr>
        <w:t xml:space="preserve"> area is calculated using an exponentially modified Gaussian algorithm that excludes the labile </w:t>
      </w:r>
      <w:proofErr w:type="gramStart"/>
      <w:r w:rsidRPr="004B5857">
        <w:rPr>
          <w:rFonts w:ascii="Times New Roman" w:hAnsi="Times New Roman" w:cs="Times New Roman"/>
          <w:color w:val="000000"/>
          <w:sz w:val="20"/>
          <w:szCs w:val="20"/>
        </w:rPr>
        <w:t>A</w:t>
      </w:r>
      <w:r w:rsidRPr="004B5857">
        <w:rPr>
          <w:rFonts w:ascii="Times New Roman" w:hAnsi="Times New Roman" w:cs="Times New Roman"/>
          <w:color w:val="000000"/>
          <w:sz w:val="20"/>
          <w:szCs w:val="20"/>
          <w:vertAlign w:val="subscript"/>
        </w:rPr>
        <w:t xml:space="preserve">1C </w:t>
      </w:r>
      <w:r w:rsidRPr="004B5857">
        <w:rPr>
          <w:rFonts w:ascii="Times New Roman" w:hAnsi="Times New Roman" w:cs="Times New Roman"/>
          <w:color w:val="000000"/>
          <w:sz w:val="20"/>
          <w:szCs w:val="20"/>
        </w:rPr>
        <w:t xml:space="preserve"> and</w:t>
      </w:r>
      <w:proofErr w:type="gramEnd"/>
      <w:r w:rsidRPr="004B5857">
        <w:rPr>
          <w:rFonts w:ascii="Times New Roman" w:hAnsi="Times New Roman" w:cs="Times New Roman"/>
          <w:color w:val="000000"/>
          <w:sz w:val="20"/>
          <w:szCs w:val="20"/>
        </w:rPr>
        <w:t xml:space="preserve"> </w:t>
      </w:r>
      <w:proofErr w:type="spellStart"/>
      <w:r w:rsidRPr="004B5857">
        <w:rPr>
          <w:rFonts w:ascii="Times New Roman" w:hAnsi="Times New Roman" w:cs="Times New Roman"/>
          <w:color w:val="000000"/>
          <w:sz w:val="20"/>
          <w:szCs w:val="20"/>
        </w:rPr>
        <w:t>carbamylated</w:t>
      </w:r>
      <w:proofErr w:type="spellEnd"/>
      <w:r w:rsidRPr="004B5857">
        <w:rPr>
          <w:rFonts w:ascii="Times New Roman" w:hAnsi="Times New Roman" w:cs="Times New Roman"/>
          <w:color w:val="000000"/>
          <w:sz w:val="20"/>
          <w:szCs w:val="20"/>
        </w:rPr>
        <w:t xml:space="preserve"> peak areas from the A</w:t>
      </w:r>
      <w:r w:rsidRPr="004B5857">
        <w:rPr>
          <w:rFonts w:ascii="Times New Roman" w:hAnsi="Times New Roman" w:cs="Times New Roman"/>
          <w:color w:val="000000"/>
          <w:sz w:val="20"/>
          <w:szCs w:val="20"/>
          <w:vertAlign w:val="subscript"/>
        </w:rPr>
        <w:t xml:space="preserve">1c </w:t>
      </w:r>
      <w:r w:rsidRPr="004B5857">
        <w:rPr>
          <w:rFonts w:ascii="Times New Roman" w:hAnsi="Times New Roman" w:cs="Times New Roman"/>
          <w:color w:val="000000"/>
          <w:sz w:val="20"/>
          <w:szCs w:val="20"/>
        </w:rPr>
        <w:t xml:space="preserve"> peak area.</w:t>
      </w:r>
    </w:p>
    <w:p w:rsidR="00557491" w:rsidRPr="004B5857" w:rsidRDefault="00557491" w:rsidP="00F42FFB">
      <w:pPr>
        <w:spacing w:after="0" w:line="240" w:lineRule="auto"/>
        <w:jc w:val="both"/>
        <w:rPr>
          <w:rFonts w:ascii="Times New Roman" w:hAnsi="Times New Roman" w:cs="Times New Roman"/>
          <w:color w:val="000000"/>
          <w:sz w:val="20"/>
          <w:szCs w:val="20"/>
        </w:rPr>
      </w:pPr>
    </w:p>
    <w:p w:rsidR="00557491" w:rsidRPr="004B5857" w:rsidRDefault="00557491" w:rsidP="00F42FFB">
      <w:pPr>
        <w:spacing w:after="0" w:line="240" w:lineRule="auto"/>
        <w:jc w:val="both"/>
        <w:rPr>
          <w:rFonts w:ascii="Times New Roman" w:hAnsi="Times New Roman" w:cs="Times New Roman"/>
          <w:b/>
          <w:sz w:val="20"/>
          <w:szCs w:val="20"/>
        </w:rPr>
      </w:pPr>
      <w:r w:rsidRPr="004B5857">
        <w:rPr>
          <w:rFonts w:ascii="Times New Roman" w:hAnsi="Times New Roman" w:cs="Times New Roman"/>
          <w:b/>
          <w:sz w:val="20"/>
          <w:szCs w:val="20"/>
        </w:rPr>
        <w:t xml:space="preserve">ESTIMATION OF SERUM ZINC BY COLORIMETRIC </w:t>
      </w:r>
      <w:proofErr w:type="gramStart"/>
      <w:r w:rsidRPr="004B5857">
        <w:rPr>
          <w:rFonts w:ascii="Times New Roman" w:hAnsi="Times New Roman" w:cs="Times New Roman"/>
          <w:b/>
          <w:sz w:val="20"/>
          <w:szCs w:val="20"/>
        </w:rPr>
        <w:t>METHOD(</w:t>
      </w:r>
      <w:proofErr w:type="gramEnd"/>
      <w:r w:rsidRPr="004B5857">
        <w:rPr>
          <w:rFonts w:ascii="Times New Roman" w:hAnsi="Times New Roman" w:cs="Times New Roman"/>
          <w:b/>
          <w:sz w:val="20"/>
          <w:szCs w:val="20"/>
        </w:rPr>
        <w:t xml:space="preserve"> in </w:t>
      </w:r>
      <w:proofErr w:type="spellStart"/>
      <w:r w:rsidRPr="004B5857">
        <w:rPr>
          <w:rFonts w:ascii="Times New Roman" w:hAnsi="Times New Roman" w:cs="Times New Roman"/>
          <w:b/>
          <w:sz w:val="20"/>
          <w:szCs w:val="20"/>
        </w:rPr>
        <w:t>semiautoanalyzer</w:t>
      </w:r>
      <w:proofErr w:type="spellEnd"/>
      <w:r w:rsidRPr="004B5857">
        <w:rPr>
          <w:rFonts w:ascii="Times New Roman" w:hAnsi="Times New Roman" w:cs="Times New Roman"/>
          <w:b/>
          <w:sz w:val="20"/>
          <w:szCs w:val="20"/>
        </w:rPr>
        <w:t xml:space="preserve"> ,</w:t>
      </w:r>
      <w:proofErr w:type="spellStart"/>
      <w:r w:rsidRPr="004B5857">
        <w:rPr>
          <w:rFonts w:ascii="Times New Roman" w:hAnsi="Times New Roman" w:cs="Times New Roman"/>
          <w:b/>
          <w:sz w:val="20"/>
          <w:szCs w:val="20"/>
        </w:rPr>
        <w:t>microlab</w:t>
      </w:r>
      <w:proofErr w:type="spellEnd"/>
      <w:r w:rsidRPr="004B5857">
        <w:rPr>
          <w:rFonts w:ascii="Times New Roman" w:hAnsi="Times New Roman" w:cs="Times New Roman"/>
          <w:b/>
          <w:sz w:val="20"/>
          <w:szCs w:val="20"/>
        </w:rPr>
        <w:t xml:space="preserve"> 300 MERK )</w:t>
      </w:r>
      <w:r w:rsidR="00E815C3">
        <w:rPr>
          <w:rFonts w:ascii="Times New Roman" w:hAnsi="Times New Roman" w:cs="Times New Roman"/>
          <w:b/>
          <w:sz w:val="20"/>
          <w:szCs w:val="20"/>
          <w:vertAlign w:val="superscript"/>
        </w:rPr>
        <w:t>11,12</w:t>
      </w:r>
      <w:r w:rsidRPr="004B5857">
        <w:rPr>
          <w:rFonts w:ascii="Times New Roman" w:hAnsi="Times New Roman" w:cs="Times New Roman"/>
          <w:b/>
          <w:sz w:val="20"/>
          <w:szCs w:val="20"/>
          <w:vertAlign w:val="superscript"/>
        </w:rPr>
        <w:t xml:space="preserve">  </w:t>
      </w:r>
    </w:p>
    <w:p w:rsidR="00557491" w:rsidRPr="004B5857" w:rsidRDefault="00557491" w:rsidP="00F42FFB">
      <w:pPr>
        <w:spacing w:after="0" w:line="240" w:lineRule="auto"/>
        <w:jc w:val="both"/>
        <w:rPr>
          <w:rFonts w:ascii="Times New Roman" w:hAnsi="Times New Roman" w:cs="Times New Roman"/>
          <w:sz w:val="20"/>
          <w:szCs w:val="20"/>
        </w:rPr>
      </w:pPr>
      <w:r w:rsidRPr="004B5857">
        <w:rPr>
          <w:rFonts w:ascii="Times New Roman" w:hAnsi="Times New Roman" w:cs="Times New Roman"/>
          <w:sz w:val="20"/>
          <w:szCs w:val="20"/>
        </w:rPr>
        <w:tab/>
        <w:t xml:space="preserve">Zinc in an alkaline medium reacts with Nitro-PAPS to form a purple </w:t>
      </w:r>
      <w:proofErr w:type="spellStart"/>
      <w:r w:rsidRPr="004B5857">
        <w:rPr>
          <w:rFonts w:ascii="Times New Roman" w:hAnsi="Times New Roman" w:cs="Times New Roman"/>
          <w:sz w:val="20"/>
          <w:szCs w:val="20"/>
        </w:rPr>
        <w:t>coloured</w:t>
      </w:r>
      <w:proofErr w:type="spellEnd"/>
      <w:r w:rsidRPr="004B5857">
        <w:rPr>
          <w:rFonts w:ascii="Times New Roman" w:hAnsi="Times New Roman" w:cs="Times New Roman"/>
          <w:sz w:val="20"/>
          <w:szCs w:val="20"/>
        </w:rPr>
        <w:t xml:space="preserve"> complex. Intensity of the complex formed is directly proportional to the amount of zinc present in the </w:t>
      </w:r>
      <w:proofErr w:type="gramStart"/>
      <w:r w:rsidRPr="004B5857">
        <w:rPr>
          <w:rFonts w:ascii="Times New Roman" w:hAnsi="Times New Roman" w:cs="Times New Roman"/>
          <w:sz w:val="20"/>
          <w:szCs w:val="20"/>
        </w:rPr>
        <w:t>sample .</w:t>
      </w:r>
      <w:proofErr w:type="gramEnd"/>
    </w:p>
    <w:p w:rsidR="00557491" w:rsidRPr="004B5857" w:rsidRDefault="00557491" w:rsidP="00F42FFB">
      <w:pPr>
        <w:tabs>
          <w:tab w:val="left" w:pos="4170"/>
          <w:tab w:val="left" w:pos="4694"/>
        </w:tabs>
        <w:spacing w:after="0" w:line="240" w:lineRule="auto"/>
        <w:jc w:val="both"/>
        <w:rPr>
          <w:rFonts w:ascii="Times New Roman" w:hAnsi="Times New Roman" w:cs="Times New Roman"/>
          <w:spacing w:val="10"/>
          <w:sz w:val="20"/>
          <w:szCs w:val="20"/>
        </w:rPr>
      </w:pPr>
      <w:r w:rsidRPr="004B5857">
        <w:rPr>
          <w:rFonts w:ascii="Times New Roman" w:hAnsi="Times New Roman" w:cs="Times New Roman"/>
          <w:spacing w:val="10"/>
          <w:sz w:val="20"/>
          <w:szCs w:val="20"/>
        </w:rPr>
        <w:t xml:space="preserve">                                         </w:t>
      </w:r>
      <w:r w:rsidR="004B5857">
        <w:rPr>
          <w:rFonts w:ascii="Times New Roman" w:hAnsi="Times New Roman" w:cs="Times New Roman"/>
          <w:spacing w:val="10"/>
          <w:sz w:val="20"/>
          <w:szCs w:val="20"/>
        </w:rPr>
        <w:t xml:space="preserve">   </w:t>
      </w:r>
      <w:r w:rsidRPr="004B5857">
        <w:rPr>
          <w:rFonts w:ascii="Times New Roman" w:hAnsi="Times New Roman" w:cs="Times New Roman"/>
          <w:spacing w:val="10"/>
          <w:sz w:val="20"/>
          <w:szCs w:val="20"/>
        </w:rPr>
        <w:t xml:space="preserve"> Alkaline</w:t>
      </w:r>
      <w:r w:rsidRPr="004B5857">
        <w:rPr>
          <w:rFonts w:ascii="Times New Roman" w:hAnsi="Times New Roman" w:cs="Times New Roman"/>
          <w:spacing w:val="10"/>
          <w:sz w:val="20"/>
          <w:szCs w:val="20"/>
        </w:rPr>
        <w:tab/>
      </w:r>
      <w:r w:rsidRPr="004B5857">
        <w:rPr>
          <w:rFonts w:ascii="Times New Roman" w:hAnsi="Times New Roman" w:cs="Times New Roman"/>
          <w:spacing w:val="10"/>
          <w:sz w:val="20"/>
          <w:szCs w:val="20"/>
        </w:rPr>
        <w:tab/>
      </w:r>
    </w:p>
    <w:p w:rsidR="00557491" w:rsidRPr="004B5857" w:rsidRDefault="00A33DE2" w:rsidP="00F42FFB">
      <w:pPr>
        <w:tabs>
          <w:tab w:val="left" w:pos="990"/>
          <w:tab w:val="left" w:pos="5910"/>
        </w:tabs>
        <w:spacing w:after="0" w:line="240" w:lineRule="auto"/>
        <w:jc w:val="both"/>
        <w:rPr>
          <w:rFonts w:ascii="Times New Roman" w:hAnsi="Times New Roman" w:cs="Times New Roman"/>
          <w:spacing w:val="10"/>
          <w:sz w:val="20"/>
          <w:szCs w:val="20"/>
        </w:rPr>
      </w:pPr>
      <w:r>
        <w:rPr>
          <w:rFonts w:ascii="Times New Roman" w:hAnsi="Times New Roman" w:cs="Times New Roman"/>
          <w:noProof/>
          <w:spacing w:val="10"/>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02.45pt;margin-top:9.1pt;width:105.75pt;height:.05pt;z-index:251660288" o:connectortype="straight">
            <v:stroke endarrow="block"/>
          </v:shape>
        </w:pict>
      </w:r>
      <w:proofErr w:type="spellStart"/>
      <w:r w:rsidR="00557491" w:rsidRPr="004B5857">
        <w:rPr>
          <w:rFonts w:ascii="Times New Roman" w:hAnsi="Times New Roman" w:cs="Times New Roman"/>
          <w:spacing w:val="10"/>
          <w:sz w:val="20"/>
          <w:szCs w:val="20"/>
        </w:rPr>
        <w:t>Zinc+nitro</w:t>
      </w:r>
      <w:proofErr w:type="spellEnd"/>
      <w:r w:rsidR="00557491" w:rsidRPr="004B5857">
        <w:rPr>
          <w:rFonts w:ascii="Times New Roman" w:hAnsi="Times New Roman" w:cs="Times New Roman"/>
          <w:spacing w:val="10"/>
          <w:sz w:val="20"/>
          <w:szCs w:val="20"/>
        </w:rPr>
        <w:t xml:space="preserve">-PAPS                                          purple </w:t>
      </w:r>
      <w:proofErr w:type="spellStart"/>
      <w:r w:rsidR="00557491" w:rsidRPr="004B5857">
        <w:rPr>
          <w:rFonts w:ascii="Times New Roman" w:hAnsi="Times New Roman" w:cs="Times New Roman"/>
          <w:spacing w:val="10"/>
          <w:sz w:val="20"/>
          <w:szCs w:val="20"/>
        </w:rPr>
        <w:t>coloured</w:t>
      </w:r>
      <w:proofErr w:type="spellEnd"/>
      <w:r w:rsidR="00557491" w:rsidRPr="004B5857">
        <w:rPr>
          <w:rFonts w:ascii="Times New Roman" w:hAnsi="Times New Roman" w:cs="Times New Roman"/>
          <w:spacing w:val="10"/>
          <w:sz w:val="20"/>
          <w:szCs w:val="20"/>
        </w:rPr>
        <w:t xml:space="preserve"> complex</w:t>
      </w:r>
    </w:p>
    <w:p w:rsidR="00820C0B" w:rsidRPr="004B5857" w:rsidRDefault="00557491" w:rsidP="00F42FFB">
      <w:pPr>
        <w:spacing w:line="240" w:lineRule="auto"/>
        <w:rPr>
          <w:rFonts w:ascii="Times New Roman" w:hAnsi="Times New Roman" w:cs="Times New Roman"/>
          <w:spacing w:val="10"/>
          <w:sz w:val="20"/>
          <w:szCs w:val="20"/>
        </w:rPr>
      </w:pPr>
      <w:r w:rsidRPr="005D3D09">
        <w:rPr>
          <w:rFonts w:ascii="Times New Roman" w:hAnsi="Times New Roman" w:cs="Times New Roman"/>
          <w:spacing w:val="10"/>
          <w:sz w:val="26"/>
          <w:szCs w:val="24"/>
        </w:rPr>
        <w:t xml:space="preserve">                                     </w:t>
      </w:r>
      <w:r>
        <w:rPr>
          <w:rFonts w:ascii="Times New Roman" w:hAnsi="Times New Roman" w:cs="Times New Roman"/>
          <w:spacing w:val="10"/>
          <w:sz w:val="26"/>
          <w:szCs w:val="24"/>
        </w:rPr>
        <w:tab/>
        <w:t xml:space="preserve">  </w:t>
      </w:r>
      <w:r w:rsidRPr="004B5857">
        <w:rPr>
          <w:rFonts w:ascii="Times New Roman" w:hAnsi="Times New Roman" w:cs="Times New Roman"/>
          <w:spacing w:val="10"/>
          <w:sz w:val="20"/>
          <w:szCs w:val="20"/>
        </w:rPr>
        <w:t xml:space="preserve">Medium                                     </w:t>
      </w:r>
    </w:p>
    <w:p w:rsidR="00557491" w:rsidRPr="000E1D43" w:rsidRDefault="00557491" w:rsidP="000E1D43">
      <w:pPr>
        <w:pStyle w:val="Default"/>
        <w:jc w:val="both"/>
        <w:rPr>
          <w:b/>
          <w:sz w:val="20"/>
          <w:szCs w:val="20"/>
        </w:rPr>
      </w:pPr>
      <w:r w:rsidRPr="004B5857">
        <w:rPr>
          <w:b/>
          <w:sz w:val="20"/>
          <w:szCs w:val="20"/>
        </w:rPr>
        <w:t>4. SERUM FERRITIN ESTIMATION</w:t>
      </w:r>
      <w:r w:rsidR="00E815C3">
        <w:rPr>
          <w:b/>
          <w:sz w:val="20"/>
          <w:szCs w:val="20"/>
          <w:vertAlign w:val="superscript"/>
        </w:rPr>
        <w:t>13</w:t>
      </w:r>
      <w:r w:rsidRPr="004B5857">
        <w:rPr>
          <w:b/>
          <w:sz w:val="20"/>
          <w:szCs w:val="20"/>
          <w:vertAlign w:val="superscript"/>
        </w:rPr>
        <w:t xml:space="preserve"> </w:t>
      </w:r>
    </w:p>
    <w:p w:rsidR="00557491" w:rsidRPr="007676C5" w:rsidRDefault="00557491" w:rsidP="00F42FFB">
      <w:pPr>
        <w:spacing w:after="0" w:line="240" w:lineRule="auto"/>
        <w:jc w:val="both"/>
        <w:rPr>
          <w:rFonts w:ascii="Times New Roman" w:hAnsi="Times New Roman" w:cs="Times New Roman"/>
          <w:sz w:val="20"/>
          <w:szCs w:val="20"/>
        </w:rPr>
      </w:pPr>
      <w:r w:rsidRPr="004B5857">
        <w:rPr>
          <w:rFonts w:ascii="Times New Roman" w:hAnsi="Times New Roman" w:cs="Times New Roman"/>
          <w:sz w:val="20"/>
          <w:szCs w:val="20"/>
        </w:rPr>
        <w:t xml:space="preserve">Serum </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was measured by MAG-16 kit, which is </w:t>
      </w:r>
      <w:proofErr w:type="gramStart"/>
      <w:r w:rsidRPr="004B5857">
        <w:rPr>
          <w:rFonts w:ascii="Times New Roman" w:hAnsi="Times New Roman" w:cs="Times New Roman"/>
          <w:sz w:val="20"/>
          <w:szCs w:val="20"/>
        </w:rPr>
        <w:t>a</w:t>
      </w:r>
      <w:proofErr w:type="gramEnd"/>
      <w:r w:rsidRPr="004B5857">
        <w:rPr>
          <w:rFonts w:ascii="Times New Roman" w:hAnsi="Times New Roman" w:cs="Times New Roman"/>
          <w:sz w:val="20"/>
          <w:szCs w:val="20"/>
        </w:rPr>
        <w:t xml:space="preserve"> </w:t>
      </w:r>
      <w:proofErr w:type="spellStart"/>
      <w:r w:rsidRPr="004B5857">
        <w:rPr>
          <w:rFonts w:ascii="Times New Roman" w:hAnsi="Times New Roman" w:cs="Times New Roman"/>
          <w:sz w:val="20"/>
          <w:szCs w:val="20"/>
        </w:rPr>
        <w:t>immunoradiometric</w:t>
      </w:r>
      <w:proofErr w:type="spellEnd"/>
      <w:r w:rsidRPr="004B5857">
        <w:rPr>
          <w:rFonts w:ascii="Times New Roman" w:hAnsi="Times New Roman" w:cs="Times New Roman"/>
          <w:sz w:val="20"/>
          <w:szCs w:val="20"/>
        </w:rPr>
        <w:t xml:space="preserve"> assay kit.</w:t>
      </w:r>
    </w:p>
    <w:p w:rsidR="00557491" w:rsidRDefault="00557491" w:rsidP="00F42FFB">
      <w:pPr>
        <w:spacing w:after="0" w:line="240" w:lineRule="auto"/>
        <w:jc w:val="both"/>
        <w:rPr>
          <w:rFonts w:ascii="Times New Roman" w:hAnsi="Times New Roman" w:cs="Times New Roman"/>
          <w:sz w:val="20"/>
          <w:szCs w:val="20"/>
        </w:rPr>
      </w:pPr>
      <w:r w:rsidRPr="004B5857">
        <w:rPr>
          <w:rFonts w:ascii="Times New Roman" w:hAnsi="Times New Roman" w:cs="Times New Roman"/>
          <w:sz w:val="20"/>
          <w:szCs w:val="20"/>
        </w:rPr>
        <w:lastRenderedPageBreak/>
        <w:t xml:space="preserve">MAG -16 IRMA kit is a solid phase </w:t>
      </w:r>
      <w:proofErr w:type="spellStart"/>
      <w:r w:rsidRPr="004B5857">
        <w:rPr>
          <w:rFonts w:ascii="Times New Roman" w:hAnsi="Times New Roman" w:cs="Times New Roman"/>
          <w:sz w:val="20"/>
          <w:szCs w:val="20"/>
        </w:rPr>
        <w:t>immunoradiometric</w:t>
      </w:r>
      <w:proofErr w:type="spellEnd"/>
      <w:r w:rsidRPr="004B5857">
        <w:rPr>
          <w:rFonts w:ascii="Times New Roman" w:hAnsi="Times New Roman" w:cs="Times New Roman"/>
          <w:sz w:val="20"/>
          <w:szCs w:val="20"/>
        </w:rPr>
        <w:t xml:space="preserve"> assay of the sandwich type based on two monoclonal </w:t>
      </w:r>
      <w:proofErr w:type="spellStart"/>
      <w:r w:rsidRPr="004B5857">
        <w:rPr>
          <w:rFonts w:ascii="Times New Roman" w:hAnsi="Times New Roman" w:cs="Times New Roman"/>
          <w:sz w:val="20"/>
          <w:szCs w:val="20"/>
        </w:rPr>
        <w:t>antiferritin</w:t>
      </w:r>
      <w:proofErr w:type="spellEnd"/>
      <w:r w:rsidRPr="004B5857">
        <w:rPr>
          <w:rFonts w:ascii="Times New Roman" w:hAnsi="Times New Roman" w:cs="Times New Roman"/>
          <w:sz w:val="20"/>
          <w:szCs w:val="20"/>
        </w:rPr>
        <w:t xml:space="preserve"> antibodies: one </w:t>
      </w:r>
      <w:r w:rsidRPr="004B5857">
        <w:rPr>
          <w:rFonts w:ascii="Times New Roman" w:hAnsi="Times New Roman" w:cs="Times New Roman"/>
          <w:sz w:val="20"/>
          <w:szCs w:val="20"/>
          <w:vertAlign w:val="superscript"/>
        </w:rPr>
        <w:t>125</w:t>
      </w:r>
      <w:r w:rsidRPr="004B5857">
        <w:rPr>
          <w:rFonts w:ascii="Times New Roman" w:hAnsi="Times New Roman" w:cs="Times New Roman"/>
          <w:sz w:val="20"/>
          <w:szCs w:val="20"/>
        </w:rPr>
        <w:t>I-labelled anti-</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antibody in liquid phase and other monoclonal </w:t>
      </w:r>
      <w:proofErr w:type="spellStart"/>
      <w:r w:rsidRPr="004B5857">
        <w:rPr>
          <w:rFonts w:ascii="Times New Roman" w:hAnsi="Times New Roman" w:cs="Times New Roman"/>
          <w:sz w:val="20"/>
          <w:szCs w:val="20"/>
        </w:rPr>
        <w:t>antiferritin</w:t>
      </w:r>
      <w:proofErr w:type="spellEnd"/>
      <w:r w:rsidRPr="004B5857">
        <w:rPr>
          <w:rFonts w:ascii="Times New Roman" w:hAnsi="Times New Roman" w:cs="Times New Roman"/>
          <w:sz w:val="20"/>
          <w:szCs w:val="20"/>
        </w:rPr>
        <w:t xml:space="preserve"> antibody is coupled to </w:t>
      </w:r>
      <w:proofErr w:type="spellStart"/>
      <w:r w:rsidRPr="004B5857">
        <w:rPr>
          <w:rFonts w:ascii="Times New Roman" w:hAnsi="Times New Roman" w:cs="Times New Roman"/>
          <w:sz w:val="20"/>
          <w:szCs w:val="20"/>
        </w:rPr>
        <w:t>magnetizable</w:t>
      </w:r>
      <w:proofErr w:type="spellEnd"/>
      <w:r w:rsidRPr="004B5857">
        <w:rPr>
          <w:rFonts w:ascii="Times New Roman" w:hAnsi="Times New Roman" w:cs="Times New Roman"/>
          <w:sz w:val="20"/>
          <w:szCs w:val="20"/>
        </w:rPr>
        <w:t xml:space="preserve"> cellulose. </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antigen from sample or standard binds simultaneously to the anti-</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antibody coupled </w:t>
      </w:r>
      <w:proofErr w:type="spellStart"/>
      <w:r w:rsidRPr="004B5857">
        <w:rPr>
          <w:rFonts w:ascii="Times New Roman" w:hAnsi="Times New Roman" w:cs="Times New Roman"/>
          <w:sz w:val="20"/>
          <w:szCs w:val="20"/>
        </w:rPr>
        <w:t>magnetizable</w:t>
      </w:r>
      <w:proofErr w:type="spellEnd"/>
      <w:r w:rsidRPr="004B5857">
        <w:rPr>
          <w:rFonts w:ascii="Times New Roman" w:hAnsi="Times New Roman" w:cs="Times New Roman"/>
          <w:sz w:val="20"/>
          <w:szCs w:val="20"/>
        </w:rPr>
        <w:t xml:space="preserve"> cellulose as well as the </w:t>
      </w:r>
      <w:r w:rsidRPr="004B5857">
        <w:rPr>
          <w:rFonts w:ascii="Times New Roman" w:hAnsi="Times New Roman" w:cs="Times New Roman"/>
          <w:sz w:val="20"/>
          <w:szCs w:val="20"/>
          <w:vertAlign w:val="superscript"/>
        </w:rPr>
        <w:t>125</w:t>
      </w:r>
      <w:r w:rsidRPr="004B5857">
        <w:rPr>
          <w:rFonts w:ascii="Times New Roman" w:hAnsi="Times New Roman" w:cs="Times New Roman"/>
          <w:sz w:val="20"/>
          <w:szCs w:val="20"/>
        </w:rPr>
        <w:t>I-labelled anti-</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antibody. The bound complex of antigen sandwiched between the antibody on </w:t>
      </w:r>
      <w:proofErr w:type="spellStart"/>
      <w:r w:rsidRPr="004B5857">
        <w:rPr>
          <w:rFonts w:ascii="Times New Roman" w:hAnsi="Times New Roman" w:cs="Times New Roman"/>
          <w:sz w:val="20"/>
          <w:szCs w:val="20"/>
        </w:rPr>
        <w:t>magnetizable</w:t>
      </w:r>
      <w:proofErr w:type="spellEnd"/>
      <w:r w:rsidRPr="004B5857">
        <w:rPr>
          <w:rFonts w:ascii="Times New Roman" w:hAnsi="Times New Roman" w:cs="Times New Roman"/>
          <w:sz w:val="20"/>
          <w:szCs w:val="20"/>
        </w:rPr>
        <w:t xml:space="preserve"> cellulose and </w:t>
      </w:r>
      <w:proofErr w:type="spellStart"/>
      <w:r w:rsidRPr="004B5857">
        <w:rPr>
          <w:rFonts w:ascii="Times New Roman" w:hAnsi="Times New Roman" w:cs="Times New Roman"/>
          <w:sz w:val="20"/>
          <w:szCs w:val="20"/>
        </w:rPr>
        <w:t>radiolabelled</w:t>
      </w:r>
      <w:proofErr w:type="spellEnd"/>
      <w:r w:rsidRPr="004B5857">
        <w:rPr>
          <w:rFonts w:ascii="Times New Roman" w:hAnsi="Times New Roman" w:cs="Times New Roman"/>
          <w:sz w:val="20"/>
          <w:szCs w:val="20"/>
        </w:rPr>
        <w:t xml:space="preserve"> antibody is separated from the unbound </w:t>
      </w:r>
      <w:r w:rsidRPr="004B5857">
        <w:rPr>
          <w:rFonts w:ascii="Times New Roman" w:hAnsi="Times New Roman" w:cs="Times New Roman"/>
          <w:sz w:val="20"/>
          <w:szCs w:val="20"/>
          <w:vertAlign w:val="superscript"/>
        </w:rPr>
        <w:t>125</w:t>
      </w:r>
      <w:r w:rsidRPr="004B5857">
        <w:rPr>
          <w:rFonts w:ascii="Times New Roman" w:hAnsi="Times New Roman" w:cs="Times New Roman"/>
          <w:sz w:val="20"/>
          <w:szCs w:val="20"/>
        </w:rPr>
        <w:t>I-labelled anti-</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antibody by washing and subsequent decantation after a given time for setting of </w:t>
      </w:r>
      <w:proofErr w:type="spellStart"/>
      <w:r w:rsidRPr="004B5857">
        <w:rPr>
          <w:rFonts w:ascii="Times New Roman" w:hAnsi="Times New Roman" w:cs="Times New Roman"/>
          <w:sz w:val="20"/>
          <w:szCs w:val="20"/>
        </w:rPr>
        <w:t>magnetizable</w:t>
      </w:r>
      <w:proofErr w:type="spellEnd"/>
      <w:r w:rsidRPr="004B5857">
        <w:rPr>
          <w:rFonts w:ascii="Times New Roman" w:hAnsi="Times New Roman" w:cs="Times New Roman"/>
          <w:sz w:val="20"/>
          <w:szCs w:val="20"/>
        </w:rPr>
        <w:t xml:space="preserve"> cellulose on the magnetic rack. The reaction mixture not bound to </w:t>
      </w:r>
      <w:proofErr w:type="spellStart"/>
      <w:r w:rsidRPr="004B5857">
        <w:rPr>
          <w:rFonts w:ascii="Times New Roman" w:hAnsi="Times New Roman" w:cs="Times New Roman"/>
          <w:sz w:val="20"/>
          <w:szCs w:val="20"/>
        </w:rPr>
        <w:t>magnetizable</w:t>
      </w:r>
      <w:proofErr w:type="spellEnd"/>
      <w:r w:rsidRPr="004B5857">
        <w:rPr>
          <w:rFonts w:ascii="Times New Roman" w:hAnsi="Times New Roman" w:cs="Times New Roman"/>
          <w:sz w:val="20"/>
          <w:szCs w:val="20"/>
        </w:rPr>
        <w:t xml:space="preserve"> cellulose gets decanted and this reduce non- specific binding to a very low level, thereby ensuring excellent low end precision. The radioactivity in the bound fraction is directly related to the concentration of </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and </w:t>
      </w:r>
      <w:proofErr w:type="spellStart"/>
      <w:r w:rsidRPr="004B5857">
        <w:rPr>
          <w:rFonts w:ascii="Times New Roman" w:hAnsi="Times New Roman" w:cs="Times New Roman"/>
          <w:sz w:val="20"/>
          <w:szCs w:val="20"/>
        </w:rPr>
        <w:t>quantitated</w:t>
      </w:r>
      <w:proofErr w:type="spellEnd"/>
      <w:r w:rsidRPr="004B5857">
        <w:rPr>
          <w:rFonts w:ascii="Times New Roman" w:hAnsi="Times New Roman" w:cs="Times New Roman"/>
          <w:sz w:val="20"/>
          <w:szCs w:val="20"/>
        </w:rPr>
        <w:t xml:space="preserve"> using gamma counter calibrated for </w:t>
      </w:r>
      <w:r w:rsidRPr="004B5857">
        <w:rPr>
          <w:rFonts w:ascii="Times New Roman" w:hAnsi="Times New Roman" w:cs="Times New Roman"/>
          <w:sz w:val="20"/>
          <w:szCs w:val="20"/>
          <w:vertAlign w:val="superscript"/>
        </w:rPr>
        <w:t>125</w:t>
      </w:r>
      <w:r w:rsidRPr="004B5857">
        <w:rPr>
          <w:rFonts w:ascii="Times New Roman" w:hAnsi="Times New Roman" w:cs="Times New Roman"/>
          <w:sz w:val="20"/>
          <w:szCs w:val="20"/>
        </w:rPr>
        <w:t xml:space="preserve">I after which the concentration of </w:t>
      </w:r>
      <w:proofErr w:type="spellStart"/>
      <w:r w:rsidRPr="004B5857">
        <w:rPr>
          <w:rFonts w:ascii="Times New Roman" w:hAnsi="Times New Roman" w:cs="Times New Roman"/>
          <w:sz w:val="20"/>
          <w:szCs w:val="20"/>
        </w:rPr>
        <w:t>ferritin</w:t>
      </w:r>
      <w:proofErr w:type="spellEnd"/>
      <w:r w:rsidRPr="004B5857">
        <w:rPr>
          <w:rFonts w:ascii="Times New Roman" w:hAnsi="Times New Roman" w:cs="Times New Roman"/>
          <w:sz w:val="20"/>
          <w:szCs w:val="20"/>
        </w:rPr>
        <w:t xml:space="preserve"> in the patient sample is obtained by comparing the patient count per minute with those obtained for the set of calibrators provided.</w:t>
      </w:r>
    </w:p>
    <w:p w:rsidR="007676C5" w:rsidRPr="004B5857" w:rsidRDefault="007676C5" w:rsidP="00F42FFB">
      <w:pPr>
        <w:spacing w:after="0" w:line="240" w:lineRule="auto"/>
        <w:jc w:val="both"/>
        <w:rPr>
          <w:rFonts w:ascii="Times New Roman" w:hAnsi="Times New Roman" w:cs="Times New Roman"/>
          <w:sz w:val="20"/>
          <w:szCs w:val="20"/>
        </w:rPr>
      </w:pPr>
    </w:p>
    <w:p w:rsidR="00557491" w:rsidRPr="004B5857" w:rsidRDefault="00557491" w:rsidP="00F42FFB">
      <w:pPr>
        <w:widowControl w:val="0"/>
        <w:spacing w:after="0" w:line="240" w:lineRule="auto"/>
        <w:jc w:val="both"/>
        <w:rPr>
          <w:rFonts w:ascii="Times New Roman" w:hAnsi="Times New Roman" w:cs="Times New Roman"/>
          <w:sz w:val="20"/>
          <w:szCs w:val="20"/>
        </w:rPr>
      </w:pPr>
      <w:proofErr w:type="gramStart"/>
      <w:r w:rsidRPr="004B5857">
        <w:rPr>
          <w:rFonts w:ascii="Times New Roman" w:hAnsi="Times New Roman" w:cs="Times New Roman"/>
          <w:sz w:val="20"/>
          <w:szCs w:val="20"/>
        </w:rPr>
        <w:t>Students  't'</w:t>
      </w:r>
      <w:proofErr w:type="gramEnd"/>
      <w:r w:rsidRPr="004B5857">
        <w:rPr>
          <w:rFonts w:ascii="Times New Roman" w:hAnsi="Times New Roman" w:cs="Times New Roman"/>
          <w:sz w:val="20"/>
          <w:szCs w:val="20"/>
        </w:rPr>
        <w:t xml:space="preserve"> test was used for comparison of quantitative variables. Co-relation between serum zinc and iron status in patients were evaluated using Pearson Co-relation Co-efficient. All tests were considered statistically significant if the p-value was &lt;0.05.</w:t>
      </w:r>
    </w:p>
    <w:p w:rsidR="000F1683" w:rsidRDefault="00557491" w:rsidP="000F1683">
      <w:pPr>
        <w:spacing w:line="240" w:lineRule="auto"/>
        <w:rPr>
          <w:rFonts w:ascii="Times New Roman" w:hAnsi="Times New Roman" w:cs="Times New Roman"/>
          <w:sz w:val="20"/>
          <w:szCs w:val="20"/>
        </w:rPr>
      </w:pPr>
      <w:r w:rsidRPr="004B5857">
        <w:rPr>
          <w:rFonts w:ascii="Times New Roman" w:hAnsi="Times New Roman" w:cs="Times New Roman"/>
          <w:sz w:val="20"/>
          <w:szCs w:val="20"/>
        </w:rPr>
        <w:t>To see the correlation between two variables co-efficient of correlation (</w:t>
      </w:r>
      <w:r w:rsidRPr="004B5857">
        <w:rPr>
          <w:rFonts w:ascii="Times New Roman" w:hAnsi="Times New Roman" w:cs="Times New Roman"/>
          <w:iCs/>
          <w:sz w:val="20"/>
          <w:szCs w:val="20"/>
        </w:rPr>
        <w:t>r</w:t>
      </w:r>
      <w:r w:rsidRPr="004B5857">
        <w:rPr>
          <w:rFonts w:ascii="Times New Roman" w:hAnsi="Times New Roman" w:cs="Times New Roman"/>
          <w:sz w:val="20"/>
          <w:szCs w:val="20"/>
        </w:rPr>
        <w:t>) is applied.</w:t>
      </w:r>
    </w:p>
    <w:p w:rsidR="000E0CC3" w:rsidRPr="004B5857" w:rsidRDefault="000E0CC3" w:rsidP="000F1683">
      <w:pPr>
        <w:spacing w:line="240" w:lineRule="auto"/>
        <w:rPr>
          <w:rFonts w:ascii="Times New Roman" w:hAnsi="Times New Roman" w:cs="Times New Roman"/>
          <w:sz w:val="20"/>
          <w:szCs w:val="20"/>
        </w:rPr>
      </w:pPr>
      <w:r w:rsidRPr="004B5857">
        <w:rPr>
          <w:rFonts w:ascii="Times New Roman" w:hAnsi="Times New Roman" w:cs="Times New Roman"/>
          <w:sz w:val="20"/>
          <w:szCs w:val="20"/>
        </w:rPr>
        <w:t xml:space="preserve">All statistical analysis were done in Microsoft Excel and </w:t>
      </w:r>
      <w:proofErr w:type="spellStart"/>
      <w:r w:rsidRPr="004B5857">
        <w:rPr>
          <w:rFonts w:ascii="Times New Roman" w:hAnsi="Times New Roman" w:cs="Times New Roman"/>
          <w:sz w:val="20"/>
          <w:szCs w:val="20"/>
        </w:rPr>
        <w:t>Graphpad</w:t>
      </w:r>
      <w:proofErr w:type="spellEnd"/>
      <w:r w:rsidRPr="004B5857">
        <w:rPr>
          <w:rFonts w:ascii="Times New Roman" w:hAnsi="Times New Roman" w:cs="Times New Roman"/>
          <w:sz w:val="20"/>
          <w:szCs w:val="20"/>
        </w:rPr>
        <w:t xml:space="preserve"> </w:t>
      </w:r>
      <w:proofErr w:type="spellStart"/>
      <w:proofErr w:type="gramStart"/>
      <w:r w:rsidRPr="004B5857">
        <w:rPr>
          <w:rFonts w:ascii="Times New Roman" w:hAnsi="Times New Roman" w:cs="Times New Roman"/>
          <w:sz w:val="20"/>
          <w:szCs w:val="20"/>
        </w:rPr>
        <w:t>instat</w:t>
      </w:r>
      <w:proofErr w:type="spellEnd"/>
      <w:r w:rsidRPr="004B5857">
        <w:rPr>
          <w:rFonts w:ascii="Times New Roman" w:hAnsi="Times New Roman" w:cs="Times New Roman"/>
          <w:sz w:val="20"/>
          <w:szCs w:val="20"/>
        </w:rPr>
        <w:t xml:space="preserve"> .</w:t>
      </w:r>
      <w:proofErr w:type="gramEnd"/>
    </w:p>
    <w:p w:rsidR="000E0CC3" w:rsidRPr="00C25011" w:rsidRDefault="000E0CC3" w:rsidP="00F42FFB">
      <w:pPr>
        <w:widowControl w:val="0"/>
        <w:shd w:val="clear" w:color="auto" w:fill="FFFFFF"/>
        <w:spacing w:before="240" w:after="120" w:line="240" w:lineRule="auto"/>
        <w:jc w:val="both"/>
        <w:rPr>
          <w:rFonts w:ascii="Times New Roman" w:eastAsia="Calibri" w:hAnsi="Times New Roman" w:cs="Times New Roman"/>
          <w:b/>
          <w:sz w:val="28"/>
          <w:szCs w:val="28"/>
        </w:rPr>
      </w:pPr>
      <w:proofErr w:type="gramStart"/>
      <w:r w:rsidRPr="00C25011">
        <w:rPr>
          <w:rFonts w:ascii="Times New Roman" w:eastAsia="Calibri" w:hAnsi="Times New Roman" w:cs="Times New Roman"/>
          <w:b/>
          <w:sz w:val="28"/>
          <w:szCs w:val="28"/>
        </w:rPr>
        <w:t>Result :</w:t>
      </w:r>
      <w:proofErr w:type="gramEnd"/>
    </w:p>
    <w:p w:rsidR="00BE3B18" w:rsidRDefault="00BE3B18" w:rsidP="004C1CFC">
      <w:pPr>
        <w:pStyle w:val="Caption"/>
        <w:keepNext/>
        <w:jc w:val="both"/>
        <w:rPr>
          <w:rFonts w:ascii="Times New Roman" w:hAnsi="Times New Roman" w:cs="Times New Roman"/>
          <w:color w:val="auto"/>
        </w:rPr>
      </w:pPr>
    </w:p>
    <w:p w:rsidR="004C1CFC" w:rsidRPr="004B5857" w:rsidRDefault="004C1CFC" w:rsidP="004C1CFC">
      <w:pPr>
        <w:pStyle w:val="Caption"/>
        <w:keepNext/>
        <w:jc w:val="both"/>
        <w:rPr>
          <w:rFonts w:ascii="Times New Roman" w:hAnsi="Times New Roman" w:cs="Times New Roman"/>
          <w:color w:val="auto"/>
        </w:rPr>
      </w:pPr>
      <w:r w:rsidRPr="004B5857">
        <w:rPr>
          <w:rFonts w:ascii="Times New Roman" w:hAnsi="Times New Roman" w:cs="Times New Roman"/>
          <w:color w:val="auto"/>
        </w:rPr>
        <w:t xml:space="preserve">FIGURE </w:t>
      </w:r>
      <w:proofErr w:type="gramStart"/>
      <w:r w:rsidR="006F3061" w:rsidRPr="004B5857">
        <w:rPr>
          <w:rFonts w:ascii="Times New Roman" w:hAnsi="Times New Roman" w:cs="Times New Roman"/>
          <w:color w:val="auto"/>
        </w:rPr>
        <w:t>1</w:t>
      </w:r>
      <w:r w:rsidR="006946A0" w:rsidRPr="004B5857">
        <w:rPr>
          <w:rFonts w:ascii="Times New Roman" w:hAnsi="Times New Roman" w:cs="Times New Roman"/>
          <w:color w:val="auto"/>
        </w:rPr>
        <w:t xml:space="preserve"> :</w:t>
      </w:r>
      <w:proofErr w:type="gramEnd"/>
      <w:r w:rsidRPr="004B5857">
        <w:rPr>
          <w:rFonts w:ascii="Times New Roman" w:hAnsi="Times New Roman" w:cs="Times New Roman"/>
          <w:color w:val="auto"/>
        </w:rPr>
        <w:t xml:space="preserve"> DISTRIBUTION OF CASES ACCORDING TO HPLC RESULT</w:t>
      </w:r>
    </w:p>
    <w:p w:rsidR="004C1CFC" w:rsidRPr="004B5857" w:rsidRDefault="004C1CFC" w:rsidP="004C1CFC">
      <w:pPr>
        <w:jc w:val="both"/>
        <w:rPr>
          <w:rFonts w:ascii="Times New Roman" w:hAnsi="Times New Roman"/>
          <w:sz w:val="18"/>
          <w:szCs w:val="18"/>
        </w:rPr>
      </w:pPr>
    </w:p>
    <w:p w:rsidR="006F3061" w:rsidRPr="004B5857" w:rsidRDefault="004C1CFC" w:rsidP="006946A0">
      <w:pPr>
        <w:jc w:val="center"/>
        <w:rPr>
          <w:rFonts w:ascii="Times New Roman" w:hAnsi="Times New Roman" w:cs="Times New Roman"/>
          <w:sz w:val="18"/>
          <w:szCs w:val="18"/>
        </w:rPr>
      </w:pPr>
      <w:r w:rsidRPr="004B5857">
        <w:rPr>
          <w:rFonts w:ascii="Times New Roman" w:hAnsi="Times New Roman"/>
          <w:noProof/>
          <w:sz w:val="18"/>
          <w:szCs w:val="18"/>
        </w:rPr>
        <w:drawing>
          <wp:inline distT="0" distB="0" distL="0" distR="0">
            <wp:extent cx="4686300" cy="3409950"/>
            <wp:effectExtent l="1905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B5857" w:rsidRDefault="004B5857" w:rsidP="004B5857">
      <w:pPr>
        <w:rPr>
          <w:rFonts w:ascii="Times New Roman" w:hAnsi="Times New Roman" w:cs="Times New Roman"/>
          <w:sz w:val="18"/>
          <w:szCs w:val="18"/>
        </w:rPr>
      </w:pPr>
    </w:p>
    <w:p w:rsidR="00BE3B18" w:rsidRDefault="00BE3B18" w:rsidP="004B5857">
      <w:pPr>
        <w:rPr>
          <w:rFonts w:ascii="Times New Roman" w:hAnsi="Times New Roman" w:cs="Times New Roman"/>
          <w:b/>
          <w:sz w:val="18"/>
          <w:szCs w:val="18"/>
        </w:rPr>
      </w:pPr>
    </w:p>
    <w:p w:rsidR="00BE3B18" w:rsidRDefault="00BE3B18" w:rsidP="004B5857">
      <w:pPr>
        <w:rPr>
          <w:rFonts w:ascii="Times New Roman" w:hAnsi="Times New Roman" w:cs="Times New Roman"/>
          <w:b/>
          <w:sz w:val="18"/>
          <w:szCs w:val="18"/>
        </w:rPr>
      </w:pPr>
    </w:p>
    <w:p w:rsidR="00BE3B18" w:rsidRDefault="00BE3B18" w:rsidP="004B5857">
      <w:pPr>
        <w:rPr>
          <w:rFonts w:ascii="Times New Roman" w:hAnsi="Times New Roman" w:cs="Times New Roman"/>
          <w:b/>
          <w:sz w:val="18"/>
          <w:szCs w:val="18"/>
        </w:rPr>
      </w:pPr>
    </w:p>
    <w:p w:rsidR="00C25011" w:rsidRPr="004B5857" w:rsidRDefault="006F3061" w:rsidP="004B5857">
      <w:pPr>
        <w:rPr>
          <w:rFonts w:ascii="Times New Roman" w:hAnsi="Times New Roman" w:cs="Times New Roman"/>
          <w:b/>
          <w:sz w:val="18"/>
          <w:szCs w:val="18"/>
        </w:rPr>
      </w:pPr>
      <w:r w:rsidRPr="004B5857">
        <w:rPr>
          <w:rFonts w:ascii="Times New Roman" w:hAnsi="Times New Roman" w:cs="Times New Roman"/>
          <w:b/>
          <w:sz w:val="18"/>
          <w:szCs w:val="18"/>
        </w:rPr>
        <w:t xml:space="preserve">FIGURE </w:t>
      </w:r>
      <w:proofErr w:type="gramStart"/>
      <w:r w:rsidRPr="004B5857">
        <w:rPr>
          <w:rFonts w:ascii="Times New Roman" w:hAnsi="Times New Roman" w:cs="Times New Roman"/>
          <w:b/>
          <w:sz w:val="18"/>
          <w:szCs w:val="18"/>
        </w:rPr>
        <w:t>2 :</w:t>
      </w:r>
      <w:proofErr w:type="gramEnd"/>
      <w:r w:rsidRPr="004B5857">
        <w:rPr>
          <w:rFonts w:ascii="Times New Roman" w:hAnsi="Times New Roman" w:cs="Times New Roman"/>
          <w:b/>
          <w:sz w:val="18"/>
          <w:szCs w:val="18"/>
        </w:rPr>
        <w:t xml:space="preserve"> </w:t>
      </w:r>
      <w:r w:rsidR="00C25011" w:rsidRPr="004B5857">
        <w:rPr>
          <w:rFonts w:ascii="Times New Roman" w:hAnsi="Times New Roman" w:cs="Times New Roman"/>
          <w:b/>
          <w:sz w:val="18"/>
          <w:szCs w:val="18"/>
        </w:rPr>
        <w:t>DISTRIBUTION OF CASES ACCORDING TO GENDER</w:t>
      </w:r>
    </w:p>
    <w:p w:rsidR="00C25011" w:rsidRPr="004B5857" w:rsidRDefault="00C25011" w:rsidP="00C25011">
      <w:pPr>
        <w:jc w:val="center"/>
        <w:rPr>
          <w:rFonts w:ascii="Times New Roman" w:hAnsi="Times New Roman"/>
          <w:noProof/>
          <w:sz w:val="18"/>
          <w:szCs w:val="18"/>
        </w:rPr>
      </w:pPr>
      <w:r w:rsidRPr="004B5857">
        <w:rPr>
          <w:rFonts w:ascii="Times New Roman" w:hAnsi="Times New Roman"/>
          <w:noProof/>
          <w:sz w:val="18"/>
          <w:szCs w:val="18"/>
        </w:rPr>
        <w:drawing>
          <wp:inline distT="0" distB="0" distL="0" distR="0">
            <wp:extent cx="3956050" cy="2578100"/>
            <wp:effectExtent l="19050" t="0" r="2540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946A0" w:rsidRPr="004B5857" w:rsidRDefault="00C25011" w:rsidP="006946A0">
      <w:pPr>
        <w:widowControl w:val="0"/>
        <w:autoSpaceDE w:val="0"/>
        <w:autoSpaceDN w:val="0"/>
        <w:adjustRightInd w:val="0"/>
        <w:spacing w:before="240" w:after="240" w:line="480" w:lineRule="auto"/>
        <w:jc w:val="both"/>
        <w:rPr>
          <w:rFonts w:ascii="Times New Roman" w:eastAsia="Calibri" w:hAnsi="Times New Roman" w:cs="Times New Roman"/>
          <w:sz w:val="18"/>
          <w:szCs w:val="18"/>
        </w:rPr>
      </w:pPr>
      <w:proofErr w:type="gramStart"/>
      <w:r w:rsidRPr="004B5857">
        <w:rPr>
          <w:rFonts w:ascii="Times New Roman" w:eastAsia="Calibri" w:hAnsi="Times New Roman" w:cs="Times New Roman"/>
          <w:sz w:val="18"/>
          <w:szCs w:val="18"/>
        </w:rPr>
        <w:t>majority</w:t>
      </w:r>
      <w:proofErr w:type="gramEnd"/>
      <w:r w:rsidRPr="004B5857">
        <w:rPr>
          <w:rFonts w:ascii="Times New Roman" w:eastAsia="Calibri" w:hAnsi="Times New Roman" w:cs="Times New Roman"/>
          <w:sz w:val="18"/>
          <w:szCs w:val="18"/>
        </w:rPr>
        <w:t xml:space="preserve"> of the </w:t>
      </w:r>
      <w:proofErr w:type="spellStart"/>
      <w:r w:rsidRPr="004B5857">
        <w:rPr>
          <w:rFonts w:ascii="Times New Roman" w:eastAsia="Calibri" w:hAnsi="Times New Roman" w:cs="Times New Roman"/>
          <w:sz w:val="18"/>
          <w:szCs w:val="18"/>
        </w:rPr>
        <w:t>thalassemic</w:t>
      </w:r>
      <w:proofErr w:type="spellEnd"/>
      <w:r w:rsidRPr="004B5857">
        <w:rPr>
          <w:rFonts w:ascii="Times New Roman" w:eastAsia="Calibri" w:hAnsi="Times New Roman" w:cs="Times New Roman"/>
          <w:sz w:val="18"/>
          <w:szCs w:val="18"/>
        </w:rPr>
        <w:t xml:space="preserve"> patients in the present study were female(53.23%) whereas majority of the sickle cell disease patients were male (65.78%) </w:t>
      </w:r>
    </w:p>
    <w:p w:rsidR="004149DB" w:rsidRPr="004149DB" w:rsidRDefault="00241E52" w:rsidP="004149DB">
      <w:pPr>
        <w:widowControl w:val="0"/>
        <w:autoSpaceDE w:val="0"/>
        <w:autoSpaceDN w:val="0"/>
        <w:adjustRightInd w:val="0"/>
        <w:spacing w:before="240" w:after="120" w:line="36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TABLE –1: </w:t>
      </w:r>
      <w:r w:rsidR="004149DB" w:rsidRPr="004149DB">
        <w:rPr>
          <w:rFonts w:ascii="Times New Roman" w:eastAsia="Calibri" w:hAnsi="Times New Roman" w:cs="Times New Roman"/>
          <w:b/>
          <w:bCs/>
          <w:sz w:val="18"/>
          <w:szCs w:val="18"/>
        </w:rPr>
        <w:t>DISTRIBUTION OF PATIENTS BASED ON LEVEL OF SERUM FERRITIN ((</w:t>
      </w:r>
      <w:proofErr w:type="spellStart"/>
      <w:r w:rsidR="004149DB" w:rsidRPr="004149DB">
        <w:rPr>
          <w:rFonts w:ascii="Times New Roman" w:eastAsia="Calibri" w:hAnsi="Times New Roman" w:cs="Times New Roman"/>
          <w:b/>
          <w:bCs/>
          <w:sz w:val="18"/>
          <w:szCs w:val="18"/>
        </w:rPr>
        <w:t>ng</w:t>
      </w:r>
      <w:proofErr w:type="spellEnd"/>
      <w:r w:rsidR="004149DB" w:rsidRPr="004149DB">
        <w:rPr>
          <w:rFonts w:ascii="Times New Roman" w:eastAsia="Calibri" w:hAnsi="Times New Roman" w:cs="Times New Roman"/>
          <w:b/>
          <w:bCs/>
          <w:sz w:val="18"/>
          <w:szCs w:val="18"/>
        </w:rPr>
        <w:t>/ml)</w:t>
      </w:r>
    </w:p>
    <w:tbl>
      <w:tblPr>
        <w:tblStyle w:val="TableGrid"/>
        <w:tblW w:w="0" w:type="auto"/>
        <w:tblInd w:w="675" w:type="dxa"/>
        <w:tblLayout w:type="fixed"/>
        <w:tblLook w:val="04A0"/>
      </w:tblPr>
      <w:tblGrid>
        <w:gridCol w:w="1487"/>
        <w:gridCol w:w="498"/>
        <w:gridCol w:w="567"/>
        <w:gridCol w:w="425"/>
        <w:gridCol w:w="709"/>
        <w:gridCol w:w="425"/>
        <w:gridCol w:w="851"/>
        <w:gridCol w:w="425"/>
        <w:gridCol w:w="709"/>
      </w:tblGrid>
      <w:tr w:rsidR="004149DB" w:rsidRPr="004149DB" w:rsidTr="004D1114">
        <w:trPr>
          <w:trHeight w:val="782"/>
        </w:trPr>
        <w:tc>
          <w:tcPr>
            <w:tcW w:w="1487" w:type="dxa"/>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STUDY GROUP</w:t>
            </w:r>
          </w:p>
        </w:tc>
        <w:tc>
          <w:tcPr>
            <w:tcW w:w="1065" w:type="dxa"/>
            <w:gridSpan w:val="2"/>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&lt; 100</w:t>
            </w:r>
          </w:p>
        </w:tc>
        <w:tc>
          <w:tcPr>
            <w:tcW w:w="1134" w:type="dxa"/>
            <w:gridSpan w:val="2"/>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100-500</w:t>
            </w:r>
          </w:p>
        </w:tc>
        <w:tc>
          <w:tcPr>
            <w:tcW w:w="1276" w:type="dxa"/>
            <w:gridSpan w:val="2"/>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500-1000</w:t>
            </w:r>
          </w:p>
        </w:tc>
        <w:tc>
          <w:tcPr>
            <w:tcW w:w="1134" w:type="dxa"/>
            <w:gridSpan w:val="2"/>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&gt;1000</w:t>
            </w:r>
          </w:p>
        </w:tc>
      </w:tr>
      <w:tr w:rsidR="004149DB" w:rsidRPr="004149DB" w:rsidTr="004D1114">
        <w:trPr>
          <w:trHeight w:val="737"/>
        </w:trPr>
        <w:tc>
          <w:tcPr>
            <w:tcW w:w="1487" w:type="dxa"/>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p>
        </w:tc>
        <w:tc>
          <w:tcPr>
            <w:tcW w:w="498"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n</w:t>
            </w:r>
          </w:p>
        </w:tc>
        <w:tc>
          <w:tcPr>
            <w:tcW w:w="567"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n</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n</w:t>
            </w:r>
          </w:p>
        </w:tc>
        <w:tc>
          <w:tcPr>
            <w:tcW w:w="851"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n</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w:t>
            </w:r>
          </w:p>
        </w:tc>
      </w:tr>
      <w:tr w:rsidR="004149DB" w:rsidRPr="004149DB" w:rsidTr="004D1114">
        <w:trPr>
          <w:trHeight w:val="773"/>
        </w:trPr>
        <w:tc>
          <w:tcPr>
            <w:tcW w:w="1487" w:type="dxa"/>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THALASSEMIA</w:t>
            </w:r>
          </w:p>
        </w:tc>
        <w:tc>
          <w:tcPr>
            <w:tcW w:w="498"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w:t>
            </w:r>
          </w:p>
        </w:tc>
        <w:tc>
          <w:tcPr>
            <w:tcW w:w="567"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1.61</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6</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9.68</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20</w:t>
            </w:r>
          </w:p>
        </w:tc>
        <w:tc>
          <w:tcPr>
            <w:tcW w:w="851"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32.26</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35</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56.45</w:t>
            </w:r>
          </w:p>
        </w:tc>
      </w:tr>
      <w:tr w:rsidR="004149DB" w:rsidRPr="004149DB" w:rsidTr="004D1114">
        <w:trPr>
          <w:trHeight w:val="818"/>
        </w:trPr>
        <w:tc>
          <w:tcPr>
            <w:tcW w:w="1487" w:type="dxa"/>
          </w:tcPr>
          <w:p w:rsidR="004149DB" w:rsidRPr="004149DB" w:rsidRDefault="004D1114" w:rsidP="004D1114">
            <w:pPr>
              <w:widowControl w:val="0"/>
              <w:spacing w:before="240" w:after="240" w:line="276" w:lineRule="auto"/>
              <w:rPr>
                <w:rFonts w:ascii="Times New Roman" w:eastAsia="Calibri" w:hAnsi="Times New Roman" w:cs="Times New Roman"/>
                <w:bCs/>
                <w:sz w:val="18"/>
                <w:szCs w:val="18"/>
              </w:rPr>
            </w:pPr>
            <w:r>
              <w:rPr>
                <w:rFonts w:ascii="Times New Roman" w:eastAsia="Calibri" w:hAnsi="Times New Roman" w:cs="Times New Roman"/>
                <w:bCs/>
                <w:sz w:val="18"/>
                <w:szCs w:val="18"/>
              </w:rPr>
              <w:t>SICKLE CELL ANEMIA</w:t>
            </w:r>
          </w:p>
        </w:tc>
        <w:tc>
          <w:tcPr>
            <w:tcW w:w="498"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2</w:t>
            </w:r>
          </w:p>
        </w:tc>
        <w:tc>
          <w:tcPr>
            <w:tcW w:w="567"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5.26</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13</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34.22</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18</w:t>
            </w:r>
          </w:p>
        </w:tc>
        <w:tc>
          <w:tcPr>
            <w:tcW w:w="851"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47.37</w:t>
            </w:r>
          </w:p>
        </w:tc>
        <w:tc>
          <w:tcPr>
            <w:tcW w:w="425" w:type="dxa"/>
            <w:tcBorders>
              <w:righ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5</w:t>
            </w:r>
          </w:p>
        </w:tc>
        <w:tc>
          <w:tcPr>
            <w:tcW w:w="709" w:type="dxa"/>
            <w:tcBorders>
              <w:left w:val="single" w:sz="4" w:space="0" w:color="auto"/>
            </w:tcBorders>
          </w:tcPr>
          <w:p w:rsidR="004149DB" w:rsidRPr="004149DB" w:rsidRDefault="004149DB" w:rsidP="00080173">
            <w:pPr>
              <w:widowControl w:val="0"/>
              <w:spacing w:before="240" w:after="240" w:line="276" w:lineRule="auto"/>
              <w:jc w:val="center"/>
              <w:rPr>
                <w:rFonts w:ascii="Times New Roman" w:eastAsia="Calibri" w:hAnsi="Times New Roman" w:cs="Times New Roman"/>
                <w:bCs/>
                <w:sz w:val="18"/>
                <w:szCs w:val="18"/>
              </w:rPr>
            </w:pPr>
            <w:r w:rsidRPr="004149DB">
              <w:rPr>
                <w:rFonts w:ascii="Times New Roman" w:eastAsia="Calibri" w:hAnsi="Times New Roman" w:cs="Times New Roman"/>
                <w:bCs/>
                <w:sz w:val="18"/>
                <w:szCs w:val="18"/>
              </w:rPr>
              <w:t>13.15</w:t>
            </w:r>
          </w:p>
        </w:tc>
      </w:tr>
    </w:tbl>
    <w:p w:rsidR="00095283" w:rsidRPr="00F85599" w:rsidRDefault="00241E52" w:rsidP="00F85599">
      <w:pPr>
        <w:widowControl w:val="0"/>
        <w:autoSpaceDE w:val="0"/>
        <w:autoSpaceDN w:val="0"/>
        <w:adjustRightInd w:val="0"/>
        <w:spacing w:before="240" w:after="120" w:line="360" w:lineRule="auto"/>
        <w:jc w:val="both"/>
        <w:rPr>
          <w:rFonts w:ascii="Times New Roman" w:hAnsi="Times New Roman" w:cs="Times New Roman"/>
          <w:b/>
          <w:bCs/>
          <w:sz w:val="18"/>
          <w:szCs w:val="18"/>
        </w:rPr>
      </w:pPr>
      <w:r w:rsidRPr="00241E52">
        <w:rPr>
          <w:rFonts w:ascii="Times New Roman" w:hAnsi="Times New Roman" w:cs="Times New Roman"/>
          <w:b/>
          <w:sz w:val="18"/>
          <w:szCs w:val="18"/>
        </w:rPr>
        <w:t xml:space="preserve">FIGURE </w:t>
      </w:r>
      <w:proofErr w:type="gramStart"/>
      <w:r w:rsidRPr="00241E52">
        <w:rPr>
          <w:rFonts w:ascii="Times New Roman" w:hAnsi="Times New Roman" w:cs="Times New Roman"/>
          <w:b/>
          <w:sz w:val="18"/>
          <w:szCs w:val="18"/>
        </w:rPr>
        <w:t xml:space="preserve">3 </w:t>
      </w:r>
      <w:r w:rsidR="00095283" w:rsidRPr="00241E52">
        <w:rPr>
          <w:rFonts w:ascii="Times New Roman" w:hAnsi="Times New Roman" w:cs="Times New Roman"/>
          <w:b/>
          <w:sz w:val="18"/>
          <w:szCs w:val="18"/>
        </w:rPr>
        <w:t>:</w:t>
      </w:r>
      <w:proofErr w:type="gramEnd"/>
      <w:r w:rsidRPr="00241E52">
        <w:rPr>
          <w:rFonts w:ascii="Times New Roman" w:hAnsi="Times New Roman" w:cs="Times New Roman"/>
          <w:b/>
          <w:sz w:val="18"/>
          <w:szCs w:val="18"/>
        </w:rPr>
        <w:t xml:space="preserve"> </w:t>
      </w:r>
      <w:r w:rsidR="00095283" w:rsidRPr="00241E52">
        <w:rPr>
          <w:rFonts w:ascii="Times New Roman" w:hAnsi="Times New Roman" w:cs="Times New Roman"/>
          <w:b/>
          <w:sz w:val="18"/>
          <w:szCs w:val="18"/>
        </w:rPr>
        <w:t>DISTRIBUTION OF CASES ACCORDING TO NUMBER OF TRANSFUSION RECI</w:t>
      </w:r>
      <w:r w:rsidR="00F85599" w:rsidRPr="00241E52">
        <w:rPr>
          <w:rFonts w:ascii="Times New Roman" w:hAnsi="Times New Roman" w:cs="Times New Roman"/>
          <w:b/>
          <w:sz w:val="18"/>
          <w:szCs w:val="18"/>
        </w:rPr>
        <w:t>EVED</w:t>
      </w:r>
      <w:r w:rsidR="00095283" w:rsidRPr="00F85599">
        <w:rPr>
          <w:rFonts w:ascii="Times New Roman" w:hAnsi="Times New Roman"/>
          <w:bCs/>
          <w:noProof/>
          <w:sz w:val="16"/>
          <w:szCs w:val="18"/>
        </w:rPr>
        <w:drawing>
          <wp:inline distT="0" distB="0" distL="0" distR="0">
            <wp:extent cx="3491626" cy="1510018"/>
            <wp:effectExtent l="19050" t="0" r="13574" b="0"/>
            <wp:docPr id="19"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95283" w:rsidRPr="00F85599" w:rsidRDefault="00095283" w:rsidP="00F85599">
      <w:pPr>
        <w:widowControl w:val="0"/>
        <w:autoSpaceDE w:val="0"/>
        <w:autoSpaceDN w:val="0"/>
        <w:adjustRightInd w:val="0"/>
        <w:spacing w:before="240" w:after="120" w:line="240" w:lineRule="auto"/>
        <w:jc w:val="both"/>
        <w:rPr>
          <w:rFonts w:ascii="Times New Roman" w:hAnsi="Times New Roman" w:cs="Times New Roman"/>
          <w:bCs/>
          <w:sz w:val="20"/>
          <w:szCs w:val="20"/>
        </w:rPr>
      </w:pPr>
      <w:r w:rsidRPr="00F85599">
        <w:rPr>
          <w:rFonts w:ascii="Times New Roman" w:hAnsi="Times New Roman" w:cs="Times New Roman"/>
          <w:bCs/>
          <w:sz w:val="20"/>
          <w:szCs w:val="20"/>
        </w:rPr>
        <w:lastRenderedPageBreak/>
        <w:t xml:space="preserve">maximum 33number of </w:t>
      </w:r>
      <w:proofErr w:type="spellStart"/>
      <w:r w:rsidRPr="00F85599">
        <w:rPr>
          <w:rFonts w:ascii="Times New Roman" w:hAnsi="Times New Roman" w:cs="Times New Roman"/>
          <w:bCs/>
          <w:sz w:val="20"/>
          <w:szCs w:val="20"/>
        </w:rPr>
        <w:t>thalassemic</w:t>
      </w:r>
      <w:proofErr w:type="spellEnd"/>
      <w:r w:rsidRPr="00F85599">
        <w:rPr>
          <w:rFonts w:ascii="Times New Roman" w:hAnsi="Times New Roman" w:cs="Times New Roman"/>
          <w:bCs/>
          <w:sz w:val="20"/>
          <w:szCs w:val="20"/>
        </w:rPr>
        <w:t xml:space="preserve"> patients (i.e.53.22%) have received transfusion 10-50 times  and in sickle cell disease  maximum 26 number of patients (i.e.68.42%)  have received transfusion &lt;10 times . Mean number of transfusion in </w:t>
      </w:r>
      <w:proofErr w:type="spellStart"/>
      <w:r w:rsidRPr="00F85599">
        <w:rPr>
          <w:rFonts w:ascii="Times New Roman" w:hAnsi="Times New Roman" w:cs="Times New Roman"/>
          <w:bCs/>
          <w:sz w:val="20"/>
          <w:szCs w:val="20"/>
        </w:rPr>
        <w:t>thalassemia</w:t>
      </w:r>
      <w:proofErr w:type="spellEnd"/>
      <w:r w:rsidRPr="00F85599">
        <w:rPr>
          <w:rFonts w:ascii="Times New Roman" w:hAnsi="Times New Roman" w:cs="Times New Roman"/>
          <w:bCs/>
          <w:sz w:val="20"/>
          <w:szCs w:val="20"/>
        </w:rPr>
        <w:t xml:space="preserve"> and sickle cell disease patients are found to be </w:t>
      </w:r>
      <w:proofErr w:type="gramStart"/>
      <w:r w:rsidRPr="00F85599">
        <w:rPr>
          <w:rFonts w:ascii="Times New Roman" w:hAnsi="Times New Roman" w:cs="Times New Roman"/>
          <w:bCs/>
          <w:sz w:val="20"/>
          <w:szCs w:val="20"/>
        </w:rPr>
        <w:t>34.20  ±</w:t>
      </w:r>
      <w:proofErr w:type="gramEnd"/>
      <w:r w:rsidRPr="00F85599">
        <w:rPr>
          <w:rFonts w:ascii="Times New Roman" w:hAnsi="Times New Roman" w:cs="Times New Roman"/>
          <w:bCs/>
          <w:sz w:val="20"/>
          <w:szCs w:val="20"/>
        </w:rPr>
        <w:t xml:space="preserve"> 29.10 and 6.5 ± 5.7  respectively . </w:t>
      </w:r>
    </w:p>
    <w:p w:rsidR="000E0CC3" w:rsidRPr="003B1F47" w:rsidRDefault="004D1114" w:rsidP="006F3061">
      <w:pPr>
        <w:widowControl w:val="0"/>
        <w:spacing w:before="240" w:after="120" w:line="240" w:lineRule="auto"/>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TABLE–</w:t>
      </w:r>
      <w:proofErr w:type="gramStart"/>
      <w:r>
        <w:rPr>
          <w:rFonts w:ascii="Times New Roman" w:eastAsia="Calibri" w:hAnsi="Times New Roman" w:cs="Times New Roman"/>
          <w:b/>
          <w:bCs/>
          <w:sz w:val="18"/>
          <w:szCs w:val="18"/>
        </w:rPr>
        <w:t xml:space="preserve">2 </w:t>
      </w:r>
      <w:r w:rsidR="00B3294B" w:rsidRPr="003B1F47">
        <w:rPr>
          <w:rFonts w:ascii="Times New Roman" w:hAnsi="Times New Roman"/>
          <w:b/>
          <w:bCs/>
          <w:sz w:val="18"/>
          <w:szCs w:val="18"/>
        </w:rPr>
        <w:t>:</w:t>
      </w:r>
      <w:r w:rsidR="000E0CC3" w:rsidRPr="003B1F47">
        <w:rPr>
          <w:rFonts w:ascii="Times New Roman" w:eastAsia="Calibri" w:hAnsi="Times New Roman" w:cs="Times New Roman"/>
          <w:b/>
          <w:bCs/>
          <w:sz w:val="18"/>
          <w:szCs w:val="18"/>
        </w:rPr>
        <w:t>COMPARISON</w:t>
      </w:r>
      <w:proofErr w:type="gramEnd"/>
      <w:r w:rsidR="000E0CC3" w:rsidRPr="003B1F47">
        <w:rPr>
          <w:rFonts w:ascii="Times New Roman" w:eastAsia="Calibri" w:hAnsi="Times New Roman" w:cs="Times New Roman"/>
          <w:b/>
          <w:bCs/>
          <w:sz w:val="18"/>
          <w:szCs w:val="18"/>
        </w:rPr>
        <w:t xml:space="preserve"> OF MEAN SERUM ZINC ( µg/dl ) LEVEL  BETWEEN THE  STUDY GROUPS  </w:t>
      </w:r>
    </w:p>
    <w:tbl>
      <w:tblPr>
        <w:tblStyle w:val="TableGrid"/>
        <w:tblW w:w="0" w:type="auto"/>
        <w:tblInd w:w="1242" w:type="dxa"/>
        <w:tblLook w:val="04A0"/>
      </w:tblPr>
      <w:tblGrid>
        <w:gridCol w:w="1836"/>
        <w:gridCol w:w="2133"/>
        <w:gridCol w:w="1276"/>
      </w:tblGrid>
      <w:tr w:rsidR="000E0CC3" w:rsidRPr="003B1F47" w:rsidTr="00DE214C">
        <w:trPr>
          <w:trHeight w:val="980"/>
        </w:trPr>
        <w:tc>
          <w:tcPr>
            <w:tcW w:w="1836"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STUDY GROUP</w:t>
            </w:r>
          </w:p>
        </w:tc>
        <w:tc>
          <w:tcPr>
            <w:tcW w:w="2133"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 xml:space="preserve">ZINC </w:t>
            </w:r>
            <w:proofErr w:type="gramStart"/>
            <w:r w:rsidRPr="003B1F47">
              <w:rPr>
                <w:rFonts w:ascii="Times New Roman" w:eastAsia="Calibri" w:hAnsi="Times New Roman" w:cs="Times New Roman"/>
                <w:bCs/>
                <w:sz w:val="18"/>
                <w:szCs w:val="18"/>
              </w:rPr>
              <w:t>( MEAN</w:t>
            </w:r>
            <w:proofErr w:type="gramEnd"/>
            <w:r w:rsidRPr="003B1F47">
              <w:rPr>
                <w:rFonts w:ascii="Times New Roman" w:eastAsia="Calibri" w:hAnsi="Times New Roman" w:cs="Times New Roman"/>
                <w:bCs/>
                <w:sz w:val="18"/>
                <w:szCs w:val="18"/>
              </w:rPr>
              <w:t xml:space="preserve"> ± S.D.)</w:t>
            </w:r>
          </w:p>
        </w:tc>
        <w:tc>
          <w:tcPr>
            <w:tcW w:w="1276"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p  value</w:t>
            </w:r>
          </w:p>
        </w:tc>
      </w:tr>
      <w:tr w:rsidR="000E0CC3" w:rsidRPr="003B1F47" w:rsidTr="00DE214C">
        <w:trPr>
          <w:trHeight w:val="980"/>
        </w:trPr>
        <w:tc>
          <w:tcPr>
            <w:tcW w:w="1836"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THALASSEMIA</w:t>
            </w:r>
          </w:p>
        </w:tc>
        <w:tc>
          <w:tcPr>
            <w:tcW w:w="2133"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71.85 ± 16.40</w:t>
            </w:r>
          </w:p>
        </w:tc>
        <w:tc>
          <w:tcPr>
            <w:tcW w:w="1276" w:type="dxa"/>
            <w:vMerge w:val="restart"/>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0.98</w:t>
            </w:r>
          </w:p>
        </w:tc>
      </w:tr>
      <w:tr w:rsidR="000E0CC3" w:rsidRPr="003B1F47" w:rsidTr="00DE214C">
        <w:trPr>
          <w:trHeight w:val="467"/>
        </w:trPr>
        <w:tc>
          <w:tcPr>
            <w:tcW w:w="1836"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SCD</w:t>
            </w:r>
          </w:p>
        </w:tc>
        <w:tc>
          <w:tcPr>
            <w:tcW w:w="2133" w:type="dxa"/>
            <w:vAlign w:val="center"/>
          </w:tcPr>
          <w:p w:rsidR="000E0CC3" w:rsidRPr="003B1F47" w:rsidRDefault="000E0CC3" w:rsidP="003B1F47">
            <w:pPr>
              <w:widowControl w:val="0"/>
              <w:spacing w:before="240" w:after="240"/>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72.17 ± 14.97</w:t>
            </w:r>
          </w:p>
        </w:tc>
        <w:tc>
          <w:tcPr>
            <w:tcW w:w="1276" w:type="dxa"/>
            <w:vMerge/>
          </w:tcPr>
          <w:p w:rsidR="000E0CC3" w:rsidRPr="003B1F47" w:rsidRDefault="000E0CC3" w:rsidP="003B1F47">
            <w:pPr>
              <w:widowControl w:val="0"/>
              <w:spacing w:before="240" w:after="240"/>
              <w:jc w:val="both"/>
              <w:rPr>
                <w:rFonts w:ascii="Times New Roman" w:eastAsia="Calibri" w:hAnsi="Times New Roman" w:cs="Times New Roman"/>
                <w:bCs/>
                <w:sz w:val="18"/>
                <w:szCs w:val="18"/>
              </w:rPr>
            </w:pPr>
          </w:p>
        </w:tc>
      </w:tr>
    </w:tbl>
    <w:p w:rsidR="000E0CC3" w:rsidRPr="001224D9" w:rsidRDefault="000E0CC3" w:rsidP="001224D9">
      <w:pPr>
        <w:widowControl w:val="0"/>
        <w:spacing w:before="240" w:after="120" w:line="240" w:lineRule="auto"/>
        <w:jc w:val="both"/>
        <w:rPr>
          <w:rFonts w:ascii="Times New Roman" w:eastAsia="Calibri" w:hAnsi="Times New Roman" w:cs="Times New Roman"/>
          <w:bCs/>
          <w:sz w:val="20"/>
          <w:szCs w:val="20"/>
        </w:rPr>
      </w:pPr>
      <w:proofErr w:type="gramStart"/>
      <w:r w:rsidRPr="001224D9">
        <w:rPr>
          <w:rFonts w:ascii="Times New Roman" w:eastAsia="Calibri" w:hAnsi="Times New Roman" w:cs="Times New Roman"/>
          <w:bCs/>
          <w:sz w:val="20"/>
          <w:szCs w:val="20"/>
        </w:rPr>
        <w:t>it</w:t>
      </w:r>
      <w:proofErr w:type="gramEnd"/>
      <w:r w:rsidRPr="001224D9">
        <w:rPr>
          <w:rFonts w:ascii="Times New Roman" w:eastAsia="Calibri" w:hAnsi="Times New Roman" w:cs="Times New Roman"/>
          <w:bCs/>
          <w:sz w:val="20"/>
          <w:szCs w:val="20"/>
        </w:rPr>
        <w:t xml:space="preserve"> is observed that mean serum zinc  level in </w:t>
      </w:r>
      <w:proofErr w:type="spellStart"/>
      <w:r w:rsidRPr="001224D9">
        <w:rPr>
          <w:rFonts w:ascii="Times New Roman" w:eastAsia="Calibri" w:hAnsi="Times New Roman" w:cs="Times New Roman"/>
          <w:bCs/>
          <w:sz w:val="20"/>
          <w:szCs w:val="20"/>
        </w:rPr>
        <w:t>thalassemic</w:t>
      </w:r>
      <w:proofErr w:type="spellEnd"/>
      <w:r w:rsidRPr="001224D9">
        <w:rPr>
          <w:rFonts w:ascii="Times New Roman" w:eastAsia="Calibri" w:hAnsi="Times New Roman" w:cs="Times New Roman"/>
          <w:bCs/>
          <w:sz w:val="20"/>
          <w:szCs w:val="20"/>
        </w:rPr>
        <w:t xml:space="preserve"> patients is lower in comparison to sickle cell disease patients but the difference is statistically not significant  .</w:t>
      </w:r>
    </w:p>
    <w:p w:rsidR="00126790" w:rsidRPr="00DE214C" w:rsidRDefault="004D1114" w:rsidP="00126790">
      <w:pPr>
        <w:widowControl w:val="0"/>
        <w:spacing w:before="240" w:after="240" w:line="480" w:lineRule="auto"/>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TABLE–3</w:t>
      </w:r>
      <w:r w:rsidR="00B3294B" w:rsidRPr="00DE214C">
        <w:rPr>
          <w:rFonts w:ascii="Times New Roman" w:eastAsia="Calibri" w:hAnsi="Times New Roman" w:cs="Times New Roman"/>
          <w:b/>
          <w:bCs/>
          <w:sz w:val="18"/>
          <w:szCs w:val="18"/>
        </w:rPr>
        <w:t>:</w:t>
      </w:r>
      <w:r w:rsidR="00126790" w:rsidRPr="00DE214C">
        <w:rPr>
          <w:rFonts w:ascii="Times New Roman" w:eastAsia="Calibri" w:hAnsi="Times New Roman" w:cs="Times New Roman"/>
          <w:b/>
          <w:bCs/>
          <w:sz w:val="18"/>
          <w:szCs w:val="18"/>
        </w:rPr>
        <w:t xml:space="preserve">  COMPARISON OF MEAN SERUM FERRITIN (</w:t>
      </w:r>
      <w:proofErr w:type="spellStart"/>
      <w:r w:rsidR="00126790" w:rsidRPr="00DE214C">
        <w:rPr>
          <w:rFonts w:ascii="Times New Roman" w:eastAsia="Calibri" w:hAnsi="Times New Roman" w:cs="Times New Roman"/>
          <w:b/>
          <w:bCs/>
          <w:sz w:val="18"/>
          <w:szCs w:val="18"/>
        </w:rPr>
        <w:t>ng</w:t>
      </w:r>
      <w:proofErr w:type="spellEnd"/>
      <w:r w:rsidR="00126790" w:rsidRPr="00DE214C">
        <w:rPr>
          <w:rFonts w:ascii="Times New Roman" w:eastAsia="Calibri" w:hAnsi="Times New Roman" w:cs="Times New Roman"/>
          <w:b/>
          <w:bCs/>
          <w:sz w:val="18"/>
          <w:szCs w:val="18"/>
        </w:rPr>
        <w:t xml:space="preserve">/ml) LEVEL BETWEEN THE STUDY </w:t>
      </w:r>
      <w:proofErr w:type="gramStart"/>
      <w:r w:rsidR="00126790" w:rsidRPr="00DE214C">
        <w:rPr>
          <w:rFonts w:ascii="Times New Roman" w:eastAsia="Calibri" w:hAnsi="Times New Roman" w:cs="Times New Roman"/>
          <w:b/>
          <w:bCs/>
          <w:sz w:val="18"/>
          <w:szCs w:val="18"/>
        </w:rPr>
        <w:t>GROUPS :</w:t>
      </w:r>
      <w:proofErr w:type="gramEnd"/>
      <w:r w:rsidR="00126790" w:rsidRPr="00DE214C">
        <w:rPr>
          <w:rFonts w:ascii="Times New Roman" w:eastAsia="Calibri" w:hAnsi="Times New Roman" w:cs="Times New Roman"/>
          <w:b/>
          <w:bCs/>
          <w:sz w:val="18"/>
          <w:szCs w:val="18"/>
        </w:rPr>
        <w:t xml:space="preserve">  </w:t>
      </w:r>
    </w:p>
    <w:tbl>
      <w:tblPr>
        <w:tblStyle w:val="TableGrid"/>
        <w:tblpPr w:leftFromText="180" w:rightFromText="180" w:vertAnchor="text" w:tblpX="1067" w:tblpY="1"/>
        <w:tblOverlap w:val="never"/>
        <w:tblW w:w="0" w:type="auto"/>
        <w:tblLayout w:type="fixed"/>
        <w:tblLook w:val="04A0"/>
      </w:tblPr>
      <w:tblGrid>
        <w:gridCol w:w="1876"/>
        <w:gridCol w:w="2485"/>
        <w:gridCol w:w="1134"/>
      </w:tblGrid>
      <w:tr w:rsidR="00126790" w:rsidRPr="00DE214C" w:rsidTr="00DE214C">
        <w:tc>
          <w:tcPr>
            <w:tcW w:w="1876" w:type="dxa"/>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STUDY GROUP</w:t>
            </w:r>
          </w:p>
        </w:tc>
        <w:tc>
          <w:tcPr>
            <w:tcW w:w="2485" w:type="dxa"/>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FERRITIN(MEAN ± S.D )</w:t>
            </w:r>
          </w:p>
        </w:tc>
        <w:tc>
          <w:tcPr>
            <w:tcW w:w="1134" w:type="dxa"/>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p value</w:t>
            </w:r>
          </w:p>
        </w:tc>
      </w:tr>
      <w:tr w:rsidR="00126790" w:rsidRPr="00DE214C" w:rsidTr="00DE214C">
        <w:tc>
          <w:tcPr>
            <w:tcW w:w="1876" w:type="dxa"/>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THALASSEMIA</w:t>
            </w:r>
          </w:p>
        </w:tc>
        <w:tc>
          <w:tcPr>
            <w:tcW w:w="2485" w:type="dxa"/>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1130.53  ±  457.60</w:t>
            </w:r>
          </w:p>
        </w:tc>
        <w:tc>
          <w:tcPr>
            <w:tcW w:w="1134" w:type="dxa"/>
            <w:vMerge w:val="restart"/>
            <w:vAlign w:val="center"/>
          </w:tcPr>
          <w:p w:rsidR="00126790" w:rsidRPr="00DE214C" w:rsidRDefault="00126790" w:rsidP="00DE214C">
            <w:pPr>
              <w:widowControl w:val="0"/>
              <w:spacing w:before="240" w:after="240" w:line="276" w:lineRule="auto"/>
              <w:jc w:val="center"/>
              <w:rPr>
                <w:rFonts w:ascii="Times New Roman" w:eastAsia="Calibri" w:hAnsi="Times New Roman" w:cs="Times New Roman"/>
                <w:bCs/>
                <w:sz w:val="18"/>
                <w:szCs w:val="18"/>
              </w:rPr>
            </w:pPr>
            <w:r w:rsidRPr="00DE214C">
              <w:rPr>
                <w:rFonts w:ascii="Times New Roman" w:eastAsia="Calibri" w:hAnsi="Times New Roman" w:cs="Times New Roman"/>
                <w:bCs/>
                <w:sz w:val="18"/>
                <w:szCs w:val="18"/>
              </w:rPr>
              <w:t>&lt;0.0001</w:t>
            </w:r>
          </w:p>
        </w:tc>
      </w:tr>
      <w:tr w:rsidR="00126790" w:rsidRPr="003B1F47" w:rsidTr="00DE214C">
        <w:tc>
          <w:tcPr>
            <w:tcW w:w="1876" w:type="dxa"/>
            <w:tcBorders>
              <w:bottom w:val="single" w:sz="4" w:space="0" w:color="auto"/>
            </w:tcBorders>
            <w:vAlign w:val="center"/>
          </w:tcPr>
          <w:p w:rsidR="00126790" w:rsidRPr="003B1F47" w:rsidRDefault="00126790" w:rsidP="00DE214C">
            <w:pPr>
              <w:widowControl w:val="0"/>
              <w:spacing w:before="240" w:after="240" w:line="276" w:lineRule="auto"/>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SCD</w:t>
            </w:r>
          </w:p>
        </w:tc>
        <w:tc>
          <w:tcPr>
            <w:tcW w:w="2485" w:type="dxa"/>
            <w:tcBorders>
              <w:bottom w:val="single" w:sz="4" w:space="0" w:color="auto"/>
            </w:tcBorders>
            <w:vAlign w:val="center"/>
          </w:tcPr>
          <w:p w:rsidR="00126790" w:rsidRPr="003B1F47" w:rsidRDefault="00126790" w:rsidP="00DE214C">
            <w:pPr>
              <w:widowControl w:val="0"/>
              <w:spacing w:before="240" w:after="240" w:line="276" w:lineRule="auto"/>
              <w:jc w:val="center"/>
              <w:rPr>
                <w:rFonts w:ascii="Times New Roman" w:eastAsia="Calibri" w:hAnsi="Times New Roman" w:cs="Times New Roman"/>
                <w:bCs/>
                <w:sz w:val="18"/>
                <w:szCs w:val="18"/>
              </w:rPr>
            </w:pPr>
            <w:r w:rsidRPr="003B1F47">
              <w:rPr>
                <w:rFonts w:ascii="Times New Roman" w:eastAsia="Calibri" w:hAnsi="Times New Roman" w:cs="Times New Roman"/>
                <w:bCs/>
                <w:sz w:val="18"/>
                <w:szCs w:val="18"/>
              </w:rPr>
              <w:t>620.92  ±  359.76</w:t>
            </w:r>
          </w:p>
        </w:tc>
        <w:tc>
          <w:tcPr>
            <w:tcW w:w="1134" w:type="dxa"/>
            <w:vMerge/>
            <w:tcBorders>
              <w:bottom w:val="single" w:sz="4" w:space="0" w:color="auto"/>
            </w:tcBorders>
          </w:tcPr>
          <w:p w:rsidR="00126790" w:rsidRPr="003B1F47" w:rsidRDefault="00126790" w:rsidP="00DE214C">
            <w:pPr>
              <w:widowControl w:val="0"/>
              <w:spacing w:before="240" w:after="240" w:line="276" w:lineRule="auto"/>
              <w:jc w:val="both"/>
              <w:rPr>
                <w:rFonts w:ascii="Times New Roman" w:eastAsia="Calibri" w:hAnsi="Times New Roman" w:cs="Times New Roman"/>
                <w:bCs/>
                <w:sz w:val="18"/>
                <w:szCs w:val="18"/>
              </w:rPr>
            </w:pPr>
          </w:p>
        </w:tc>
      </w:tr>
    </w:tbl>
    <w:p w:rsidR="00126790" w:rsidRDefault="00DE214C" w:rsidP="00126790">
      <w:pPr>
        <w:widowControl w:val="0"/>
        <w:spacing w:before="240" w:after="240" w:line="480" w:lineRule="auto"/>
        <w:jc w:val="both"/>
        <w:rPr>
          <w:rFonts w:ascii="Times New Roman" w:eastAsia="Calibri" w:hAnsi="Times New Roman" w:cs="Times New Roman"/>
          <w:bCs/>
          <w:sz w:val="26"/>
        </w:rPr>
      </w:pPr>
      <w:r>
        <w:rPr>
          <w:rFonts w:ascii="Times New Roman" w:eastAsia="Calibri" w:hAnsi="Times New Roman" w:cs="Times New Roman"/>
          <w:bCs/>
          <w:sz w:val="26"/>
        </w:rPr>
        <w:br w:type="textWrapping" w:clear="all"/>
      </w:r>
      <w:r w:rsidR="00126790" w:rsidRPr="00A55A87">
        <w:rPr>
          <w:rFonts w:ascii="Times New Roman" w:eastAsia="Calibri" w:hAnsi="Times New Roman" w:cs="Times New Roman"/>
          <w:bCs/>
          <w:sz w:val="26"/>
        </w:rPr>
        <w:t xml:space="preserve"> </w:t>
      </w:r>
    </w:p>
    <w:p w:rsidR="00B3294B" w:rsidRPr="00DE214C" w:rsidRDefault="006F3061" w:rsidP="001224D9">
      <w:pPr>
        <w:spacing w:line="240" w:lineRule="auto"/>
        <w:jc w:val="both"/>
        <w:rPr>
          <w:rFonts w:ascii="Times New Roman" w:hAnsi="Times New Roman" w:cs="Times New Roman"/>
          <w:b/>
          <w:sz w:val="20"/>
          <w:szCs w:val="20"/>
        </w:rPr>
      </w:pPr>
      <w:r w:rsidRPr="00DE214C">
        <w:rPr>
          <w:rFonts w:ascii="Times New Roman" w:eastAsia="Calibri" w:hAnsi="Times New Roman" w:cs="Times New Roman"/>
          <w:bCs/>
          <w:sz w:val="20"/>
          <w:szCs w:val="20"/>
        </w:rPr>
        <w:t>It</w:t>
      </w:r>
      <w:r w:rsidR="00126790" w:rsidRPr="00DE214C">
        <w:rPr>
          <w:rFonts w:ascii="Times New Roman" w:eastAsia="Calibri" w:hAnsi="Times New Roman" w:cs="Times New Roman"/>
          <w:bCs/>
          <w:sz w:val="20"/>
          <w:szCs w:val="20"/>
        </w:rPr>
        <w:t xml:space="preserve"> is observed that the mean serum </w:t>
      </w:r>
      <w:proofErr w:type="spellStart"/>
      <w:r w:rsidR="00126790" w:rsidRPr="00DE214C">
        <w:rPr>
          <w:rFonts w:ascii="Times New Roman" w:eastAsia="Calibri" w:hAnsi="Times New Roman" w:cs="Times New Roman"/>
          <w:bCs/>
          <w:sz w:val="20"/>
          <w:szCs w:val="20"/>
        </w:rPr>
        <w:t>ferritin</w:t>
      </w:r>
      <w:proofErr w:type="spellEnd"/>
      <w:r w:rsidR="00126790" w:rsidRPr="00DE214C">
        <w:rPr>
          <w:rFonts w:ascii="Times New Roman" w:eastAsia="Calibri" w:hAnsi="Times New Roman" w:cs="Times New Roman"/>
          <w:bCs/>
          <w:sz w:val="20"/>
          <w:szCs w:val="20"/>
        </w:rPr>
        <w:t xml:space="preserve"> (</w:t>
      </w:r>
      <w:proofErr w:type="spellStart"/>
      <w:r w:rsidR="00126790" w:rsidRPr="00DE214C">
        <w:rPr>
          <w:rFonts w:ascii="Times New Roman" w:eastAsia="Calibri" w:hAnsi="Times New Roman" w:cs="Times New Roman"/>
          <w:bCs/>
          <w:sz w:val="20"/>
          <w:szCs w:val="20"/>
        </w:rPr>
        <w:t>ng</w:t>
      </w:r>
      <w:proofErr w:type="spellEnd"/>
      <w:r w:rsidR="00126790" w:rsidRPr="00DE214C">
        <w:rPr>
          <w:rFonts w:ascii="Times New Roman" w:eastAsia="Calibri" w:hAnsi="Times New Roman" w:cs="Times New Roman"/>
          <w:bCs/>
          <w:sz w:val="20"/>
          <w:szCs w:val="20"/>
        </w:rPr>
        <w:t xml:space="preserve">/ml) level in </w:t>
      </w:r>
      <w:proofErr w:type="spellStart"/>
      <w:r w:rsidR="00126790" w:rsidRPr="00DE214C">
        <w:rPr>
          <w:rFonts w:ascii="Times New Roman" w:eastAsia="Calibri" w:hAnsi="Times New Roman" w:cs="Times New Roman"/>
          <w:bCs/>
          <w:sz w:val="20"/>
          <w:szCs w:val="20"/>
        </w:rPr>
        <w:t>thalassemic</w:t>
      </w:r>
      <w:proofErr w:type="spellEnd"/>
      <w:r w:rsidR="00126790" w:rsidRPr="00DE214C">
        <w:rPr>
          <w:rFonts w:ascii="Times New Roman" w:eastAsia="Calibri" w:hAnsi="Times New Roman" w:cs="Times New Roman"/>
          <w:bCs/>
          <w:sz w:val="20"/>
          <w:szCs w:val="20"/>
        </w:rPr>
        <w:t xml:space="preserve"> patients is higher than the sickle cell disease patients and the result </w:t>
      </w:r>
      <w:proofErr w:type="gramStart"/>
      <w:r w:rsidR="00126790" w:rsidRPr="00DE214C">
        <w:rPr>
          <w:rFonts w:ascii="Times New Roman" w:eastAsia="Calibri" w:hAnsi="Times New Roman" w:cs="Times New Roman"/>
          <w:bCs/>
          <w:sz w:val="20"/>
          <w:szCs w:val="20"/>
        </w:rPr>
        <w:t>is  statistically</w:t>
      </w:r>
      <w:proofErr w:type="gramEnd"/>
      <w:r w:rsidR="00126790" w:rsidRPr="00DE214C">
        <w:rPr>
          <w:rFonts w:ascii="Times New Roman" w:eastAsia="Calibri" w:hAnsi="Times New Roman" w:cs="Times New Roman"/>
          <w:bCs/>
          <w:sz w:val="20"/>
          <w:szCs w:val="20"/>
        </w:rPr>
        <w:t xml:space="preserve"> highly significant  .</w:t>
      </w:r>
      <w:r w:rsidR="00B3294B" w:rsidRPr="00DE214C">
        <w:rPr>
          <w:rFonts w:ascii="Times New Roman" w:hAnsi="Times New Roman" w:cs="Times New Roman"/>
          <w:b/>
          <w:sz w:val="20"/>
          <w:szCs w:val="20"/>
        </w:rPr>
        <w:t xml:space="preserve"> </w:t>
      </w:r>
    </w:p>
    <w:p w:rsidR="00B3294B" w:rsidRPr="00644DBC" w:rsidRDefault="001224D9" w:rsidP="00B3294B">
      <w:pPr>
        <w:widowControl w:val="0"/>
        <w:spacing w:before="240" w:after="240" w:line="480" w:lineRule="auto"/>
        <w:jc w:val="both"/>
        <w:rPr>
          <w:rFonts w:ascii="Times New Roman" w:eastAsia="Calibri" w:hAnsi="Times New Roman" w:cs="Times New Roman"/>
          <w:b/>
          <w:bCs/>
          <w:sz w:val="18"/>
          <w:szCs w:val="18"/>
        </w:rPr>
      </w:pPr>
      <w:r>
        <w:rPr>
          <w:rFonts w:ascii="Times New Roman" w:eastAsia="Calibri" w:hAnsi="Times New Roman" w:cs="Times New Roman"/>
          <w:b/>
          <w:bCs/>
          <w:sz w:val="18"/>
          <w:szCs w:val="18"/>
        </w:rPr>
        <w:t xml:space="preserve">TABLE </w:t>
      </w:r>
      <w:proofErr w:type="gramStart"/>
      <w:r w:rsidR="004D1114">
        <w:rPr>
          <w:rFonts w:ascii="Times New Roman" w:eastAsia="Calibri" w:hAnsi="Times New Roman" w:cs="Times New Roman"/>
          <w:b/>
          <w:bCs/>
          <w:sz w:val="18"/>
          <w:szCs w:val="18"/>
        </w:rPr>
        <w:t>4</w:t>
      </w:r>
      <w:r w:rsidR="00B3294B" w:rsidRPr="00644DBC">
        <w:rPr>
          <w:rFonts w:ascii="Times New Roman" w:eastAsia="Calibri" w:hAnsi="Times New Roman" w:cs="Times New Roman"/>
          <w:b/>
          <w:bCs/>
          <w:sz w:val="18"/>
          <w:szCs w:val="18"/>
        </w:rPr>
        <w:t xml:space="preserve"> :</w:t>
      </w:r>
      <w:proofErr w:type="gramEnd"/>
      <w:r w:rsidR="00B3294B" w:rsidRPr="00644DBC">
        <w:rPr>
          <w:rFonts w:ascii="Times New Roman" w:hAnsi="Times New Roman" w:cs="Times New Roman"/>
          <w:b/>
          <w:sz w:val="18"/>
          <w:szCs w:val="18"/>
        </w:rPr>
        <w:t xml:space="preserve">  CO-RELATION OF SERUM ZINC WITH FERRITIN IN THALASSEMIA </w:t>
      </w:r>
      <w:r w:rsidR="001A314A">
        <w:rPr>
          <w:rFonts w:ascii="Times New Roman" w:hAnsi="Times New Roman" w:cs="Times New Roman"/>
          <w:b/>
          <w:sz w:val="18"/>
          <w:szCs w:val="18"/>
        </w:rPr>
        <w:t xml:space="preserve">MAJOR </w:t>
      </w:r>
      <w:r w:rsidR="009E19F1">
        <w:rPr>
          <w:rFonts w:ascii="Times New Roman" w:hAnsi="Times New Roman" w:cs="Times New Roman"/>
          <w:b/>
          <w:sz w:val="18"/>
          <w:szCs w:val="18"/>
        </w:rPr>
        <w:t xml:space="preserve">PATIENTS </w:t>
      </w:r>
      <w:r w:rsidR="009E19F1" w:rsidRPr="00644DBC">
        <w:rPr>
          <w:rFonts w:ascii="Times New Roman" w:hAnsi="Times New Roman" w:cs="Times New Roman"/>
          <w:b/>
          <w:sz w:val="18"/>
          <w:szCs w:val="18"/>
        </w:rPr>
        <w:t xml:space="preserve"> </w:t>
      </w:r>
    </w:p>
    <w:tbl>
      <w:tblPr>
        <w:tblStyle w:val="TableGrid"/>
        <w:tblW w:w="4674" w:type="dxa"/>
        <w:tblInd w:w="1016" w:type="dxa"/>
        <w:tblLayout w:type="fixed"/>
        <w:tblLook w:val="04A0"/>
      </w:tblPr>
      <w:tblGrid>
        <w:gridCol w:w="1272"/>
        <w:gridCol w:w="1984"/>
        <w:gridCol w:w="1418"/>
      </w:tblGrid>
      <w:tr w:rsidR="00B3294B" w:rsidRPr="00644DBC" w:rsidTr="007638B6">
        <w:trPr>
          <w:trHeight w:val="738"/>
        </w:trPr>
        <w:tc>
          <w:tcPr>
            <w:tcW w:w="1272"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p>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parameter</w:t>
            </w:r>
          </w:p>
        </w:tc>
        <w:tc>
          <w:tcPr>
            <w:tcW w:w="1984"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p>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Correlation co-efficient (r)</w:t>
            </w:r>
          </w:p>
        </w:tc>
        <w:tc>
          <w:tcPr>
            <w:tcW w:w="1418" w:type="dxa"/>
            <w:tcBorders>
              <w:right w:val="single" w:sz="4" w:space="0" w:color="auto"/>
            </w:tcBorders>
            <w:vAlign w:val="center"/>
          </w:tcPr>
          <w:p w:rsidR="00B3294B" w:rsidRPr="00644DBC" w:rsidRDefault="00271454" w:rsidP="00D11FBA">
            <w:pPr>
              <w:tabs>
                <w:tab w:val="left" w:pos="6822"/>
              </w:tabs>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 </w:t>
            </w:r>
          </w:p>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p value</w:t>
            </w:r>
          </w:p>
        </w:tc>
      </w:tr>
      <w:tr w:rsidR="00B3294B" w:rsidRPr="00644DBC" w:rsidTr="007638B6">
        <w:trPr>
          <w:trHeight w:val="576"/>
        </w:trPr>
        <w:tc>
          <w:tcPr>
            <w:tcW w:w="1272"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 xml:space="preserve">Zn </w:t>
            </w:r>
            <w:proofErr w:type="spellStart"/>
            <w:r w:rsidRPr="00644DBC">
              <w:rPr>
                <w:rFonts w:ascii="Times New Roman" w:hAnsi="Times New Roman" w:cs="Times New Roman"/>
                <w:sz w:val="18"/>
                <w:szCs w:val="18"/>
              </w:rPr>
              <w:t>vs</w:t>
            </w:r>
            <w:proofErr w:type="spellEnd"/>
            <w:r w:rsidRPr="00644DBC">
              <w:rPr>
                <w:rFonts w:ascii="Times New Roman" w:hAnsi="Times New Roman" w:cs="Times New Roman"/>
                <w:sz w:val="18"/>
                <w:szCs w:val="18"/>
              </w:rPr>
              <w:t xml:space="preserve"> </w:t>
            </w:r>
            <w:proofErr w:type="spellStart"/>
            <w:r w:rsidRPr="00644DBC">
              <w:rPr>
                <w:rFonts w:ascii="Times New Roman" w:hAnsi="Times New Roman" w:cs="Times New Roman"/>
                <w:sz w:val="18"/>
                <w:szCs w:val="18"/>
              </w:rPr>
              <w:t>Ferritin</w:t>
            </w:r>
            <w:proofErr w:type="spellEnd"/>
          </w:p>
        </w:tc>
        <w:tc>
          <w:tcPr>
            <w:tcW w:w="1984"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-0.39</w:t>
            </w:r>
          </w:p>
        </w:tc>
        <w:tc>
          <w:tcPr>
            <w:tcW w:w="1418" w:type="dxa"/>
            <w:tcBorders>
              <w:right w:val="single" w:sz="4" w:space="0" w:color="auto"/>
            </w:tcBorders>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p>
          <w:p w:rsidR="00B3294B" w:rsidRPr="00271454" w:rsidRDefault="00B3294B" w:rsidP="00D11FBA">
            <w:pPr>
              <w:tabs>
                <w:tab w:val="left" w:pos="6822"/>
              </w:tabs>
              <w:spacing w:line="276" w:lineRule="auto"/>
              <w:jc w:val="center"/>
              <w:rPr>
                <w:rFonts w:ascii="Times New Roman" w:hAnsi="Times New Roman" w:cs="Times New Roman"/>
                <w:sz w:val="18"/>
                <w:szCs w:val="18"/>
                <w:vertAlign w:val="superscript"/>
              </w:rPr>
            </w:pPr>
            <w:r w:rsidRPr="00644DBC">
              <w:rPr>
                <w:rFonts w:ascii="Times New Roman" w:hAnsi="Times New Roman" w:cs="Times New Roman"/>
                <w:sz w:val="18"/>
                <w:szCs w:val="18"/>
              </w:rPr>
              <w:t>&lt;0.0001</w:t>
            </w:r>
            <w:r w:rsidR="00271454">
              <w:rPr>
                <w:rFonts w:ascii="Times New Roman" w:hAnsi="Times New Roman" w:cs="Times New Roman"/>
                <w:sz w:val="18"/>
                <w:szCs w:val="18"/>
                <w:vertAlign w:val="superscript"/>
              </w:rPr>
              <w:t>*</w:t>
            </w:r>
          </w:p>
          <w:p w:rsidR="00B3294B" w:rsidRPr="00644DBC" w:rsidRDefault="00B3294B" w:rsidP="00D11FBA">
            <w:pPr>
              <w:tabs>
                <w:tab w:val="left" w:pos="6822"/>
              </w:tabs>
              <w:spacing w:line="276" w:lineRule="auto"/>
              <w:jc w:val="center"/>
              <w:rPr>
                <w:rFonts w:ascii="Times New Roman" w:hAnsi="Times New Roman" w:cs="Times New Roman"/>
                <w:sz w:val="18"/>
                <w:szCs w:val="18"/>
              </w:rPr>
            </w:pPr>
          </w:p>
        </w:tc>
      </w:tr>
    </w:tbl>
    <w:p w:rsidR="004D1114" w:rsidRPr="00271454" w:rsidRDefault="00271454" w:rsidP="003A0CA0">
      <w:pPr>
        <w:spacing w:line="48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Pr="00271454">
        <w:rPr>
          <w:rFonts w:ascii="Times New Roman" w:hAnsi="Times New Roman" w:cs="Times New Roman"/>
          <w:sz w:val="18"/>
          <w:szCs w:val="18"/>
        </w:rPr>
        <w:t>*statistically significant</w:t>
      </w:r>
    </w:p>
    <w:p w:rsidR="00271454" w:rsidRDefault="00271454" w:rsidP="003A0CA0">
      <w:pPr>
        <w:spacing w:line="480" w:lineRule="auto"/>
        <w:jc w:val="both"/>
        <w:rPr>
          <w:rFonts w:ascii="Times New Roman" w:hAnsi="Times New Roman" w:cs="Times New Roman"/>
          <w:b/>
          <w:sz w:val="18"/>
          <w:szCs w:val="18"/>
        </w:rPr>
      </w:pPr>
    </w:p>
    <w:p w:rsidR="00271454" w:rsidRDefault="00271454" w:rsidP="003A0CA0">
      <w:pPr>
        <w:spacing w:line="480" w:lineRule="auto"/>
        <w:jc w:val="both"/>
        <w:rPr>
          <w:rFonts w:ascii="Times New Roman" w:hAnsi="Times New Roman" w:cs="Times New Roman"/>
          <w:b/>
          <w:sz w:val="18"/>
          <w:szCs w:val="18"/>
        </w:rPr>
      </w:pPr>
    </w:p>
    <w:p w:rsidR="003A0CA0" w:rsidRPr="009E19F1" w:rsidRDefault="009E19F1" w:rsidP="003A0CA0">
      <w:pPr>
        <w:spacing w:line="480" w:lineRule="auto"/>
        <w:jc w:val="both"/>
        <w:rPr>
          <w:rFonts w:ascii="Times New Roman" w:hAnsi="Times New Roman" w:cs="Times New Roman"/>
          <w:b/>
          <w:sz w:val="18"/>
          <w:szCs w:val="18"/>
        </w:rPr>
      </w:pPr>
      <w:r w:rsidRPr="009E19F1">
        <w:rPr>
          <w:rFonts w:ascii="Times New Roman" w:hAnsi="Times New Roman" w:cs="Times New Roman"/>
          <w:b/>
          <w:sz w:val="18"/>
          <w:szCs w:val="18"/>
        </w:rPr>
        <w:lastRenderedPageBreak/>
        <w:t xml:space="preserve">FIGURE 4: CORRELATION OF SERUM </w:t>
      </w:r>
      <w:r w:rsidR="007638B6">
        <w:rPr>
          <w:rFonts w:ascii="Times New Roman" w:hAnsi="Times New Roman" w:cs="Times New Roman"/>
          <w:b/>
          <w:sz w:val="18"/>
          <w:szCs w:val="18"/>
        </w:rPr>
        <w:t xml:space="preserve">ZINC AND FERRITIN IN THALASSEMIA </w:t>
      </w:r>
      <w:proofErr w:type="gramStart"/>
      <w:r w:rsidR="007638B6">
        <w:rPr>
          <w:rFonts w:ascii="Times New Roman" w:hAnsi="Times New Roman" w:cs="Times New Roman"/>
          <w:b/>
          <w:sz w:val="18"/>
          <w:szCs w:val="18"/>
        </w:rPr>
        <w:t xml:space="preserve">MAJOR </w:t>
      </w:r>
      <w:r w:rsidR="007638B6" w:rsidRPr="009E19F1">
        <w:rPr>
          <w:rFonts w:ascii="Times New Roman" w:hAnsi="Times New Roman" w:cs="Times New Roman"/>
          <w:b/>
          <w:sz w:val="18"/>
          <w:szCs w:val="18"/>
        </w:rPr>
        <w:t xml:space="preserve"> </w:t>
      </w:r>
      <w:r w:rsidRPr="009E19F1">
        <w:rPr>
          <w:rFonts w:ascii="Times New Roman" w:hAnsi="Times New Roman" w:cs="Times New Roman"/>
          <w:b/>
          <w:sz w:val="18"/>
          <w:szCs w:val="18"/>
        </w:rPr>
        <w:t>PATIENTS</w:t>
      </w:r>
      <w:proofErr w:type="gramEnd"/>
    </w:p>
    <w:p w:rsidR="003A0CA0" w:rsidRPr="007A7757" w:rsidRDefault="003A0CA0" w:rsidP="003A0CA0">
      <w:pPr>
        <w:pStyle w:val="Caption"/>
        <w:jc w:val="center"/>
        <w:rPr>
          <w:rFonts w:ascii="Times New Roman" w:hAnsi="Times New Roman" w:cs="Times New Roman"/>
          <w:color w:val="auto"/>
          <w:sz w:val="24"/>
          <w:szCs w:val="24"/>
        </w:rPr>
      </w:pPr>
      <w:r w:rsidRPr="007A7757">
        <w:rPr>
          <w:rFonts w:ascii="Times New Roman" w:hAnsi="Times New Roman" w:cs="Times New Roman"/>
          <w:noProof/>
          <w:sz w:val="24"/>
          <w:szCs w:val="24"/>
        </w:rPr>
        <w:drawing>
          <wp:inline distT="0" distB="0" distL="0" distR="0">
            <wp:extent cx="3094264" cy="1649185"/>
            <wp:effectExtent l="0" t="0" r="0"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294B" w:rsidRPr="00644DBC" w:rsidRDefault="00346C5C" w:rsidP="00B3294B">
      <w:pPr>
        <w:tabs>
          <w:tab w:val="left" w:pos="6822"/>
        </w:tabs>
        <w:spacing w:line="360" w:lineRule="auto"/>
        <w:jc w:val="both"/>
        <w:rPr>
          <w:rFonts w:ascii="Times New Roman" w:hAnsi="Times New Roman" w:cs="Times New Roman"/>
          <w:b/>
          <w:sz w:val="18"/>
          <w:szCs w:val="18"/>
        </w:rPr>
      </w:pPr>
      <w:r w:rsidRPr="00644DBC">
        <w:rPr>
          <w:rFonts w:ascii="Times New Roman" w:eastAsia="Calibri" w:hAnsi="Times New Roman" w:cs="Times New Roman"/>
          <w:b/>
          <w:bCs/>
          <w:sz w:val="18"/>
          <w:szCs w:val="18"/>
        </w:rPr>
        <w:t>TABLE</w:t>
      </w:r>
      <w:r w:rsidR="001224D9">
        <w:rPr>
          <w:rFonts w:ascii="Times New Roman" w:eastAsia="Calibri" w:hAnsi="Times New Roman" w:cs="Times New Roman"/>
          <w:b/>
          <w:bCs/>
          <w:sz w:val="18"/>
          <w:szCs w:val="18"/>
        </w:rPr>
        <w:t xml:space="preserve"> </w:t>
      </w:r>
      <w:proofErr w:type="gramStart"/>
      <w:r w:rsidR="004D1114">
        <w:rPr>
          <w:rFonts w:ascii="Times New Roman" w:eastAsia="Calibri" w:hAnsi="Times New Roman" w:cs="Times New Roman"/>
          <w:b/>
          <w:bCs/>
          <w:sz w:val="18"/>
          <w:szCs w:val="18"/>
        </w:rPr>
        <w:t>5</w:t>
      </w:r>
      <w:r w:rsidRPr="00644DBC">
        <w:rPr>
          <w:rFonts w:ascii="Times New Roman" w:eastAsia="Calibri" w:hAnsi="Times New Roman" w:cs="Times New Roman"/>
          <w:b/>
          <w:bCs/>
          <w:sz w:val="18"/>
          <w:szCs w:val="18"/>
        </w:rPr>
        <w:t xml:space="preserve"> :</w:t>
      </w:r>
      <w:proofErr w:type="gramEnd"/>
      <w:r w:rsidR="001A314A">
        <w:rPr>
          <w:rFonts w:ascii="Times New Roman" w:hAnsi="Times New Roman" w:cs="Times New Roman"/>
          <w:b/>
          <w:sz w:val="18"/>
          <w:szCs w:val="18"/>
        </w:rPr>
        <w:t xml:space="preserve"> CO-RELATION OF SERUM ZINC WITH</w:t>
      </w:r>
      <w:r w:rsidR="00CD4065">
        <w:rPr>
          <w:rFonts w:ascii="Times New Roman" w:hAnsi="Times New Roman" w:cs="Times New Roman"/>
          <w:b/>
          <w:sz w:val="18"/>
          <w:szCs w:val="18"/>
        </w:rPr>
        <w:t xml:space="preserve"> FERRITIN IN SICKLE CELL ANEMIA</w:t>
      </w:r>
      <w:r w:rsidR="00CD4065" w:rsidRPr="00644DBC">
        <w:rPr>
          <w:rFonts w:ascii="Times New Roman" w:hAnsi="Times New Roman" w:cs="Times New Roman"/>
          <w:b/>
          <w:sz w:val="18"/>
          <w:szCs w:val="18"/>
        </w:rPr>
        <w:t xml:space="preserve"> </w:t>
      </w:r>
      <w:r w:rsidR="00B3294B" w:rsidRPr="00644DBC">
        <w:rPr>
          <w:rFonts w:ascii="Times New Roman" w:hAnsi="Times New Roman" w:cs="Times New Roman"/>
          <w:b/>
          <w:sz w:val="18"/>
          <w:szCs w:val="18"/>
        </w:rPr>
        <w:t xml:space="preserve">PATIENTS  </w:t>
      </w:r>
    </w:p>
    <w:tbl>
      <w:tblPr>
        <w:tblStyle w:val="TableGrid"/>
        <w:tblW w:w="4937" w:type="dxa"/>
        <w:tblInd w:w="900" w:type="dxa"/>
        <w:tblLook w:val="04A0"/>
      </w:tblPr>
      <w:tblGrid>
        <w:gridCol w:w="1535"/>
        <w:gridCol w:w="1842"/>
        <w:gridCol w:w="1560"/>
      </w:tblGrid>
      <w:tr w:rsidR="00B3294B" w:rsidRPr="00644DBC" w:rsidTr="009E19F1">
        <w:tc>
          <w:tcPr>
            <w:tcW w:w="1535" w:type="dxa"/>
          </w:tcPr>
          <w:p w:rsidR="00DE214C" w:rsidRDefault="00DE214C" w:rsidP="00D11FBA">
            <w:pPr>
              <w:tabs>
                <w:tab w:val="left" w:pos="6822"/>
              </w:tabs>
              <w:spacing w:line="276" w:lineRule="auto"/>
              <w:jc w:val="center"/>
              <w:rPr>
                <w:rFonts w:ascii="Times New Roman" w:hAnsi="Times New Roman" w:cs="Times New Roman"/>
                <w:sz w:val="18"/>
                <w:szCs w:val="18"/>
              </w:rPr>
            </w:pPr>
          </w:p>
          <w:p w:rsidR="00B3294B" w:rsidRPr="00644DBC" w:rsidRDefault="00DE214C" w:rsidP="00D11FBA">
            <w:pPr>
              <w:tabs>
                <w:tab w:val="left" w:pos="6822"/>
              </w:tabs>
              <w:spacing w:line="276" w:lineRule="auto"/>
              <w:jc w:val="center"/>
              <w:rPr>
                <w:rFonts w:ascii="Times New Roman" w:hAnsi="Times New Roman" w:cs="Times New Roman"/>
                <w:sz w:val="18"/>
                <w:szCs w:val="18"/>
              </w:rPr>
            </w:pPr>
            <w:r>
              <w:rPr>
                <w:rFonts w:ascii="Times New Roman" w:hAnsi="Times New Roman" w:cs="Times New Roman"/>
                <w:sz w:val="18"/>
                <w:szCs w:val="18"/>
              </w:rPr>
              <w:t>parameter</w:t>
            </w:r>
          </w:p>
        </w:tc>
        <w:tc>
          <w:tcPr>
            <w:tcW w:w="1842" w:type="dxa"/>
            <w:vAlign w:val="center"/>
          </w:tcPr>
          <w:p w:rsidR="00B3294B" w:rsidRPr="00644DBC" w:rsidRDefault="00B3294B" w:rsidP="00D11FBA">
            <w:pPr>
              <w:tabs>
                <w:tab w:val="right" w:pos="3384"/>
              </w:tabs>
              <w:spacing w:line="276" w:lineRule="auto"/>
              <w:jc w:val="center"/>
              <w:rPr>
                <w:rFonts w:ascii="Times New Roman" w:hAnsi="Times New Roman" w:cs="Times New Roman"/>
                <w:sz w:val="18"/>
                <w:szCs w:val="18"/>
              </w:rPr>
            </w:pPr>
          </w:p>
          <w:p w:rsidR="00B3294B" w:rsidRPr="00644DBC" w:rsidRDefault="00B3294B" w:rsidP="00D11FBA">
            <w:pPr>
              <w:tabs>
                <w:tab w:val="right" w:pos="3384"/>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Correlation co-efficient (r)</w:t>
            </w:r>
          </w:p>
        </w:tc>
        <w:tc>
          <w:tcPr>
            <w:tcW w:w="1560" w:type="dxa"/>
            <w:tcBorders>
              <w:right w:val="single" w:sz="4" w:space="0" w:color="auto"/>
            </w:tcBorders>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p>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p value</w:t>
            </w:r>
          </w:p>
        </w:tc>
      </w:tr>
      <w:tr w:rsidR="00B3294B" w:rsidRPr="00644DBC" w:rsidTr="009E19F1">
        <w:tc>
          <w:tcPr>
            <w:tcW w:w="1535"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p>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 xml:space="preserve">Zn </w:t>
            </w:r>
            <w:proofErr w:type="spellStart"/>
            <w:r w:rsidRPr="00644DBC">
              <w:rPr>
                <w:rFonts w:ascii="Times New Roman" w:hAnsi="Times New Roman" w:cs="Times New Roman"/>
                <w:sz w:val="18"/>
                <w:szCs w:val="18"/>
              </w:rPr>
              <w:t>vs</w:t>
            </w:r>
            <w:proofErr w:type="spellEnd"/>
            <w:r w:rsidRPr="00644DBC">
              <w:rPr>
                <w:rFonts w:ascii="Times New Roman" w:hAnsi="Times New Roman" w:cs="Times New Roman"/>
                <w:sz w:val="18"/>
                <w:szCs w:val="18"/>
              </w:rPr>
              <w:t xml:space="preserve"> </w:t>
            </w:r>
            <w:proofErr w:type="spellStart"/>
            <w:r w:rsidRPr="00644DBC">
              <w:rPr>
                <w:rFonts w:ascii="Times New Roman" w:hAnsi="Times New Roman" w:cs="Times New Roman"/>
                <w:sz w:val="18"/>
                <w:szCs w:val="18"/>
              </w:rPr>
              <w:t>Ferritin</w:t>
            </w:r>
            <w:proofErr w:type="spellEnd"/>
          </w:p>
        </w:tc>
        <w:tc>
          <w:tcPr>
            <w:tcW w:w="1842" w:type="dxa"/>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-0.70</w:t>
            </w:r>
          </w:p>
        </w:tc>
        <w:tc>
          <w:tcPr>
            <w:tcW w:w="1560" w:type="dxa"/>
            <w:tcBorders>
              <w:right w:val="single" w:sz="4" w:space="0" w:color="auto"/>
            </w:tcBorders>
            <w:vAlign w:val="center"/>
          </w:tcPr>
          <w:p w:rsidR="00B3294B" w:rsidRPr="00644DBC" w:rsidRDefault="00B3294B" w:rsidP="00D11FBA">
            <w:pPr>
              <w:tabs>
                <w:tab w:val="left" w:pos="6822"/>
              </w:tabs>
              <w:spacing w:line="276" w:lineRule="auto"/>
              <w:jc w:val="center"/>
              <w:rPr>
                <w:rFonts w:ascii="Times New Roman" w:hAnsi="Times New Roman" w:cs="Times New Roman"/>
                <w:sz w:val="18"/>
                <w:szCs w:val="18"/>
              </w:rPr>
            </w:pPr>
            <w:r w:rsidRPr="00644DBC">
              <w:rPr>
                <w:rFonts w:ascii="Times New Roman" w:hAnsi="Times New Roman" w:cs="Times New Roman"/>
                <w:sz w:val="18"/>
                <w:szCs w:val="18"/>
              </w:rPr>
              <w:t>&lt;0.0001</w:t>
            </w:r>
            <w:r w:rsidR="00271454">
              <w:rPr>
                <w:rFonts w:ascii="Times New Roman" w:hAnsi="Times New Roman" w:cs="Times New Roman"/>
                <w:sz w:val="18"/>
                <w:szCs w:val="18"/>
              </w:rPr>
              <w:t>*</w:t>
            </w:r>
          </w:p>
        </w:tc>
      </w:tr>
    </w:tbl>
    <w:p w:rsidR="004D1114" w:rsidRPr="00271454" w:rsidRDefault="00271454" w:rsidP="00644DBC">
      <w:pPr>
        <w:spacing w:after="120" w:line="240" w:lineRule="auto"/>
        <w:jc w:val="both"/>
        <w:rPr>
          <w:rFonts w:ascii="Times New Roman" w:eastAsia="Calibri" w:hAnsi="Times New Roman" w:cs="Times New Roman"/>
          <w:bCs/>
          <w:sz w:val="18"/>
          <w:szCs w:val="18"/>
        </w:rPr>
      </w:pPr>
      <w:r>
        <w:rPr>
          <w:rFonts w:ascii="Times New Roman" w:eastAsia="Calibri" w:hAnsi="Times New Roman" w:cs="Times New Roman"/>
          <w:bCs/>
          <w:sz w:val="18"/>
          <w:szCs w:val="18"/>
        </w:rPr>
        <w:t xml:space="preserve">               </w:t>
      </w:r>
      <w:r w:rsidRPr="00271454">
        <w:rPr>
          <w:rFonts w:ascii="Times New Roman" w:eastAsia="Calibri" w:hAnsi="Times New Roman" w:cs="Times New Roman"/>
          <w:bCs/>
          <w:sz w:val="18"/>
          <w:szCs w:val="18"/>
        </w:rPr>
        <w:t xml:space="preserve">*statistically significant </w:t>
      </w:r>
    </w:p>
    <w:p w:rsidR="004D1114" w:rsidRPr="004D1114" w:rsidRDefault="004D1114" w:rsidP="00644DBC">
      <w:pPr>
        <w:spacing w:after="120" w:line="240" w:lineRule="auto"/>
        <w:jc w:val="both"/>
        <w:rPr>
          <w:rFonts w:ascii="Times New Roman" w:eastAsia="Calibri" w:hAnsi="Times New Roman" w:cs="Times New Roman"/>
          <w:b/>
          <w:bCs/>
          <w:sz w:val="18"/>
          <w:szCs w:val="18"/>
        </w:rPr>
      </w:pPr>
      <w:r w:rsidRPr="004D1114">
        <w:rPr>
          <w:rFonts w:ascii="Times New Roman" w:eastAsia="Calibri" w:hAnsi="Times New Roman" w:cs="Times New Roman"/>
          <w:b/>
          <w:bCs/>
          <w:sz w:val="18"/>
          <w:szCs w:val="18"/>
        </w:rPr>
        <w:t>FIGURE 5: CO-RELATION OF ZINC WITH FERRITIN IN SICKLE CELL ANEMIA PATIENTS</w:t>
      </w:r>
    </w:p>
    <w:p w:rsidR="004D1114" w:rsidRDefault="004D1114" w:rsidP="00644DBC">
      <w:pPr>
        <w:spacing w:after="120" w:line="240" w:lineRule="auto"/>
        <w:jc w:val="both"/>
        <w:rPr>
          <w:rFonts w:ascii="Times New Roman" w:eastAsia="Calibri" w:hAnsi="Times New Roman" w:cs="Times New Roman"/>
          <w:b/>
          <w:bCs/>
          <w:sz w:val="28"/>
          <w:szCs w:val="28"/>
        </w:rPr>
      </w:pPr>
    </w:p>
    <w:p w:rsidR="00644DBC" w:rsidRDefault="00062B77" w:rsidP="00644DBC">
      <w:pPr>
        <w:spacing w:after="120" w:line="240" w:lineRule="auto"/>
        <w:jc w:val="both"/>
        <w:rPr>
          <w:rFonts w:ascii="Times New Roman" w:eastAsia="Calibri" w:hAnsi="Times New Roman" w:cs="Times New Roman"/>
          <w:b/>
          <w:bCs/>
          <w:sz w:val="28"/>
          <w:szCs w:val="28"/>
        </w:rPr>
      </w:pPr>
      <w:r w:rsidRPr="00062B77">
        <w:rPr>
          <w:rFonts w:ascii="Times New Roman" w:eastAsia="Calibri" w:hAnsi="Times New Roman" w:cs="Times New Roman"/>
          <w:b/>
          <w:bCs/>
          <w:noProof/>
          <w:sz w:val="28"/>
          <w:szCs w:val="28"/>
        </w:rPr>
        <w:drawing>
          <wp:inline distT="0" distB="0" distL="0" distR="0">
            <wp:extent cx="3040107" cy="1681843"/>
            <wp:effectExtent l="19050" t="0" r="26943" b="0"/>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314A" w:rsidRDefault="0047397C" w:rsidP="00644DBC">
      <w:pPr>
        <w:spacing w:after="120" w:line="240" w:lineRule="auto"/>
        <w:jc w:val="both"/>
        <w:rPr>
          <w:rFonts w:ascii="Times New Roman" w:eastAsia="Calibri" w:hAnsi="Times New Roman" w:cs="Times New Roman"/>
          <w:bCs/>
          <w:sz w:val="26"/>
          <w:szCs w:val="26"/>
        </w:rPr>
      </w:pPr>
      <w:r w:rsidRPr="00644DBC">
        <w:rPr>
          <w:rFonts w:ascii="Times New Roman" w:eastAsia="Calibri" w:hAnsi="Times New Roman" w:cs="Times New Roman"/>
          <w:b/>
          <w:bCs/>
          <w:sz w:val="28"/>
          <w:szCs w:val="28"/>
        </w:rPr>
        <w:t>DISCUSSION</w:t>
      </w:r>
      <w:r w:rsidRPr="0047397C">
        <w:rPr>
          <w:rFonts w:ascii="Times New Roman" w:eastAsia="Calibri" w:hAnsi="Times New Roman" w:cs="Times New Roman"/>
          <w:bCs/>
          <w:sz w:val="26"/>
          <w:szCs w:val="26"/>
        </w:rPr>
        <w:t xml:space="preserve"> </w:t>
      </w:r>
    </w:p>
    <w:p w:rsidR="0047397C" w:rsidRPr="00644DBC" w:rsidRDefault="0047397C" w:rsidP="00644DBC">
      <w:pPr>
        <w:spacing w:after="120" w:line="240" w:lineRule="auto"/>
        <w:jc w:val="both"/>
        <w:rPr>
          <w:rFonts w:ascii="Times New Roman" w:eastAsia="Calibri" w:hAnsi="Times New Roman" w:cs="Times New Roman"/>
          <w:bCs/>
          <w:sz w:val="20"/>
          <w:szCs w:val="20"/>
        </w:rPr>
      </w:pPr>
      <w:r w:rsidRPr="00644DBC">
        <w:rPr>
          <w:rFonts w:ascii="Times New Roman" w:eastAsia="Calibri" w:hAnsi="Times New Roman" w:cs="Times New Roman"/>
          <w:bCs/>
          <w:sz w:val="20"/>
          <w:szCs w:val="20"/>
        </w:rPr>
        <w:t xml:space="preserve">In the present study, mean ± S.D. of serum zinc </w:t>
      </w:r>
      <w:proofErr w:type="gramStart"/>
      <w:r w:rsidRPr="00644DBC">
        <w:rPr>
          <w:rFonts w:ascii="Times New Roman" w:eastAsia="Calibri" w:hAnsi="Times New Roman" w:cs="Times New Roman"/>
          <w:bCs/>
          <w:sz w:val="20"/>
          <w:szCs w:val="20"/>
        </w:rPr>
        <w:t>level  in</w:t>
      </w:r>
      <w:proofErr w:type="gramEnd"/>
      <w:r w:rsidRPr="00644DBC">
        <w:rPr>
          <w:rFonts w:ascii="Times New Roman" w:eastAsia="Calibri" w:hAnsi="Times New Roman" w:cs="Times New Roman"/>
          <w:bCs/>
          <w:sz w:val="20"/>
          <w:szCs w:val="20"/>
        </w:rPr>
        <w:t xml:space="preserve"> </w:t>
      </w:r>
      <w:proofErr w:type="spellStart"/>
      <w:r w:rsidRPr="00644DBC">
        <w:rPr>
          <w:rFonts w:ascii="Times New Roman" w:eastAsia="Calibri" w:hAnsi="Times New Roman" w:cs="Times New Roman"/>
          <w:bCs/>
          <w:sz w:val="20"/>
          <w:szCs w:val="20"/>
        </w:rPr>
        <w:t>thalassemia</w:t>
      </w:r>
      <w:proofErr w:type="spellEnd"/>
      <w:r w:rsidRPr="00644DBC">
        <w:rPr>
          <w:rFonts w:ascii="Times New Roman" w:eastAsia="Calibri" w:hAnsi="Times New Roman" w:cs="Times New Roman"/>
          <w:bCs/>
          <w:sz w:val="20"/>
          <w:szCs w:val="20"/>
        </w:rPr>
        <w:t xml:space="preserve"> patients is found to be 71.85 ± 16.40 µg/dl and that of sickle cell disease found to be 72.17 ± 14.97 µg/dl . The mean level of </w:t>
      </w:r>
      <w:proofErr w:type="gramStart"/>
      <w:r w:rsidRPr="00644DBC">
        <w:rPr>
          <w:rFonts w:ascii="Times New Roman" w:eastAsia="Calibri" w:hAnsi="Times New Roman" w:cs="Times New Roman"/>
          <w:bCs/>
          <w:sz w:val="20"/>
          <w:szCs w:val="20"/>
        </w:rPr>
        <w:t>zinc  is</w:t>
      </w:r>
      <w:proofErr w:type="gramEnd"/>
      <w:r w:rsidRPr="00644DBC">
        <w:rPr>
          <w:rFonts w:ascii="Times New Roman" w:eastAsia="Calibri" w:hAnsi="Times New Roman" w:cs="Times New Roman"/>
          <w:bCs/>
          <w:sz w:val="20"/>
          <w:szCs w:val="20"/>
        </w:rPr>
        <w:t xml:space="preserve"> within normal reference interval but on lower side in both the study groups indicating </w:t>
      </w:r>
      <w:proofErr w:type="spellStart"/>
      <w:r w:rsidRPr="00644DBC">
        <w:rPr>
          <w:rFonts w:ascii="Times New Roman" w:eastAsia="Calibri" w:hAnsi="Times New Roman" w:cs="Times New Roman"/>
          <w:bCs/>
          <w:sz w:val="20"/>
          <w:szCs w:val="20"/>
        </w:rPr>
        <w:t>hypozincemia</w:t>
      </w:r>
      <w:proofErr w:type="spellEnd"/>
      <w:r w:rsidRPr="00644DBC">
        <w:rPr>
          <w:rFonts w:ascii="Times New Roman" w:eastAsia="Calibri" w:hAnsi="Times New Roman" w:cs="Times New Roman"/>
          <w:bCs/>
          <w:sz w:val="20"/>
          <w:szCs w:val="20"/>
        </w:rPr>
        <w:t xml:space="preserve"> . In </w:t>
      </w:r>
      <w:proofErr w:type="spellStart"/>
      <w:r w:rsidRPr="00644DBC">
        <w:rPr>
          <w:rFonts w:ascii="Times New Roman" w:eastAsia="Calibri" w:hAnsi="Times New Roman" w:cs="Times New Roman"/>
          <w:bCs/>
          <w:sz w:val="20"/>
          <w:szCs w:val="20"/>
        </w:rPr>
        <w:t>thalassemia</w:t>
      </w:r>
      <w:proofErr w:type="spellEnd"/>
      <w:r w:rsidRPr="00644DBC">
        <w:rPr>
          <w:rFonts w:ascii="Times New Roman" w:eastAsia="Calibri" w:hAnsi="Times New Roman" w:cs="Times New Roman"/>
          <w:bCs/>
          <w:sz w:val="20"/>
          <w:szCs w:val="20"/>
        </w:rPr>
        <w:t xml:space="preserve"> patients zinc level is numerically found to be less than sickle cell disease patients, but this difference is statistically not significant(p=0.98) .</w:t>
      </w:r>
    </w:p>
    <w:p w:rsidR="00386F2E" w:rsidRPr="00644DBC" w:rsidRDefault="00D918FA" w:rsidP="00BE3B18">
      <w:pPr>
        <w:pStyle w:val="Default"/>
        <w:spacing w:after="120"/>
        <w:jc w:val="both"/>
        <w:rPr>
          <w:color w:val="auto"/>
          <w:sz w:val="20"/>
          <w:szCs w:val="20"/>
        </w:rPr>
      </w:pPr>
      <w:proofErr w:type="spellStart"/>
      <w:r w:rsidRPr="00D918FA">
        <w:rPr>
          <w:bCs/>
          <w:color w:val="auto"/>
          <w:sz w:val="20"/>
          <w:szCs w:val="20"/>
        </w:rPr>
        <w:t>Zahraa</w:t>
      </w:r>
      <w:proofErr w:type="spellEnd"/>
      <w:r w:rsidRPr="00D918FA">
        <w:rPr>
          <w:bCs/>
          <w:color w:val="auto"/>
          <w:sz w:val="20"/>
          <w:szCs w:val="20"/>
        </w:rPr>
        <w:t xml:space="preserve"> MA </w:t>
      </w:r>
      <w:proofErr w:type="spellStart"/>
      <w:r w:rsidRPr="00D918FA">
        <w:rPr>
          <w:bCs/>
          <w:color w:val="auto"/>
          <w:sz w:val="20"/>
          <w:szCs w:val="20"/>
        </w:rPr>
        <w:t>Naji</w:t>
      </w:r>
      <w:proofErr w:type="spellEnd"/>
      <w:r w:rsidRPr="00D918FA">
        <w:rPr>
          <w:bCs/>
          <w:color w:val="auto"/>
          <w:sz w:val="20"/>
          <w:szCs w:val="20"/>
        </w:rPr>
        <w:t xml:space="preserve"> </w:t>
      </w:r>
      <w:r w:rsidRPr="00D918FA">
        <w:rPr>
          <w:color w:val="auto"/>
          <w:sz w:val="20"/>
          <w:szCs w:val="20"/>
        </w:rPr>
        <w:t>in his study on “</w:t>
      </w:r>
      <w:r w:rsidRPr="00D918FA">
        <w:rPr>
          <w:bCs/>
          <w:color w:val="auto"/>
          <w:sz w:val="20"/>
          <w:szCs w:val="20"/>
        </w:rPr>
        <w:t xml:space="preserve">Serum Trace Elements (Zinc, Copper and Magnesium) in Iraqi Patients with </w:t>
      </w:r>
      <w:proofErr w:type="spellStart"/>
      <w:r w:rsidRPr="00D918FA">
        <w:rPr>
          <w:bCs/>
          <w:color w:val="auto"/>
          <w:sz w:val="20"/>
          <w:szCs w:val="20"/>
        </w:rPr>
        <w:t>Thalassemia</w:t>
      </w:r>
      <w:proofErr w:type="spellEnd"/>
      <w:r w:rsidRPr="00D918FA">
        <w:rPr>
          <w:bCs/>
          <w:color w:val="auto"/>
          <w:sz w:val="20"/>
          <w:szCs w:val="20"/>
        </w:rPr>
        <w:t xml:space="preserve"> Major Receiving </w:t>
      </w:r>
      <w:proofErr w:type="spellStart"/>
      <w:r w:rsidRPr="00D918FA">
        <w:rPr>
          <w:bCs/>
          <w:color w:val="auto"/>
          <w:sz w:val="20"/>
          <w:szCs w:val="20"/>
        </w:rPr>
        <w:t>Desferrioxamine</w:t>
      </w:r>
      <w:proofErr w:type="spellEnd"/>
      <w:r w:rsidRPr="00D918FA">
        <w:rPr>
          <w:bCs/>
          <w:color w:val="auto"/>
          <w:sz w:val="20"/>
          <w:szCs w:val="20"/>
        </w:rPr>
        <w:t xml:space="preserve"> and its Relation with Growth State</w:t>
      </w:r>
      <w:r>
        <w:rPr>
          <w:bCs/>
          <w:color w:val="auto"/>
          <w:sz w:val="20"/>
          <w:szCs w:val="20"/>
        </w:rPr>
        <w:t>”</w:t>
      </w:r>
      <w:r w:rsidR="00386F2E" w:rsidRPr="00D918FA">
        <w:rPr>
          <w:color w:val="auto"/>
          <w:sz w:val="20"/>
          <w:szCs w:val="20"/>
        </w:rPr>
        <w:t xml:space="preserve"> </w:t>
      </w:r>
      <w:r w:rsidR="00386F2E" w:rsidRPr="00644DBC">
        <w:rPr>
          <w:bCs/>
          <w:color w:val="auto"/>
          <w:sz w:val="20"/>
          <w:szCs w:val="20"/>
        </w:rPr>
        <w:t xml:space="preserve">found that </w:t>
      </w:r>
      <w:r w:rsidR="002606C8" w:rsidRPr="00644DBC">
        <w:rPr>
          <w:color w:val="auto"/>
          <w:sz w:val="20"/>
          <w:szCs w:val="20"/>
        </w:rPr>
        <w:t xml:space="preserve"> patients with </w:t>
      </w:r>
      <w:proofErr w:type="spellStart"/>
      <w:r w:rsidR="002606C8" w:rsidRPr="00644DBC">
        <w:rPr>
          <w:color w:val="auto"/>
          <w:sz w:val="20"/>
          <w:szCs w:val="20"/>
        </w:rPr>
        <w:t>thalassemia</w:t>
      </w:r>
      <w:proofErr w:type="spellEnd"/>
      <w:r w:rsidR="002606C8" w:rsidRPr="00644DBC">
        <w:rPr>
          <w:color w:val="auto"/>
          <w:sz w:val="20"/>
          <w:szCs w:val="20"/>
        </w:rPr>
        <w:t xml:space="preserve"> major</w:t>
      </w:r>
      <w:r w:rsidR="00386F2E" w:rsidRPr="00644DBC">
        <w:rPr>
          <w:color w:val="auto"/>
          <w:sz w:val="20"/>
          <w:szCs w:val="20"/>
        </w:rPr>
        <w:t xml:space="preserve"> showed lower levels of serum zinc as compared to that of control subjects (p&lt;0.05), which indicates that most of patients had </w:t>
      </w:r>
      <w:proofErr w:type="spellStart"/>
      <w:r w:rsidR="00386F2E" w:rsidRPr="00644DBC">
        <w:rPr>
          <w:color w:val="auto"/>
          <w:sz w:val="20"/>
          <w:szCs w:val="20"/>
        </w:rPr>
        <w:t>hypozincemia</w:t>
      </w:r>
      <w:proofErr w:type="spellEnd"/>
      <w:r w:rsidR="00386F2E" w:rsidRPr="00644DBC">
        <w:rPr>
          <w:color w:val="auto"/>
          <w:sz w:val="20"/>
          <w:szCs w:val="20"/>
        </w:rPr>
        <w:t xml:space="preserve">; he concluded this may be related to dietary insufficiency of zinc in those patients in addition to the effects of disease and </w:t>
      </w:r>
      <w:proofErr w:type="spellStart"/>
      <w:r w:rsidR="00386F2E" w:rsidRPr="00644DBC">
        <w:rPr>
          <w:color w:val="auto"/>
          <w:sz w:val="20"/>
          <w:szCs w:val="20"/>
        </w:rPr>
        <w:t>desferrioxamine</w:t>
      </w:r>
      <w:proofErr w:type="spellEnd"/>
      <w:r w:rsidR="00386F2E" w:rsidRPr="00644DBC">
        <w:rPr>
          <w:color w:val="auto"/>
          <w:sz w:val="20"/>
          <w:szCs w:val="20"/>
        </w:rPr>
        <w:t xml:space="preserve"> administration without dose adjustment for each patient.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proofErr w:type="spellStart"/>
      <w:r w:rsidRPr="00644DBC">
        <w:rPr>
          <w:rFonts w:ascii="Times New Roman" w:hAnsi="Times New Roman" w:cs="Times New Roman"/>
          <w:bCs/>
          <w:sz w:val="20"/>
          <w:szCs w:val="20"/>
        </w:rPr>
        <w:t>Mahyar</w:t>
      </w:r>
      <w:proofErr w:type="spellEnd"/>
      <w:r w:rsidRPr="00644DBC">
        <w:rPr>
          <w:rFonts w:ascii="Times New Roman" w:hAnsi="Times New Roman" w:cs="Times New Roman"/>
          <w:bCs/>
          <w:sz w:val="20"/>
          <w:szCs w:val="20"/>
        </w:rPr>
        <w:t xml:space="preserve"> et al (2007) </w:t>
      </w:r>
      <w:r w:rsidRPr="00644DBC">
        <w:rPr>
          <w:rFonts w:ascii="Times New Roman" w:hAnsi="Times New Roman" w:cs="Times New Roman"/>
          <w:sz w:val="20"/>
          <w:szCs w:val="20"/>
        </w:rPr>
        <w:t xml:space="preserve">found </w:t>
      </w:r>
      <w:proofErr w:type="gramStart"/>
      <w:r w:rsidRPr="00644DBC">
        <w:rPr>
          <w:rFonts w:ascii="Times New Roman" w:hAnsi="Times New Roman" w:cs="Times New Roman"/>
          <w:sz w:val="20"/>
          <w:szCs w:val="20"/>
        </w:rPr>
        <w:t xml:space="preserve">that </w:t>
      </w:r>
      <w:r w:rsidRPr="00644DBC">
        <w:rPr>
          <w:rFonts w:ascii="Times New Roman" w:hAnsi="Times New Roman" w:cs="Times New Roman"/>
          <w:b/>
          <w:bCs/>
          <w:sz w:val="20"/>
          <w:szCs w:val="20"/>
        </w:rPr>
        <w:t xml:space="preserve"> </w:t>
      </w:r>
      <w:r w:rsidRPr="00644DBC">
        <w:rPr>
          <w:rFonts w:ascii="Times New Roman" w:hAnsi="Times New Roman" w:cs="Times New Roman"/>
          <w:sz w:val="20"/>
          <w:szCs w:val="20"/>
        </w:rPr>
        <w:t>the</w:t>
      </w:r>
      <w:proofErr w:type="gramEnd"/>
      <w:r w:rsidRPr="00644DBC">
        <w:rPr>
          <w:rFonts w:ascii="Times New Roman" w:hAnsi="Times New Roman" w:cs="Times New Roman"/>
          <w:sz w:val="20"/>
          <w:szCs w:val="20"/>
        </w:rPr>
        <w:t xml:space="preserve"> mean concentrations of serum zinc was 67.35±20.38</w:t>
      </w:r>
      <w:r w:rsidRPr="00644DBC">
        <w:rPr>
          <w:rFonts w:ascii="Times New Roman" w:hAnsi="Times New Roman" w:cs="Times New Roman"/>
          <w:b/>
          <w:bCs/>
          <w:sz w:val="20"/>
          <w:szCs w:val="20"/>
        </w:rPr>
        <w:t xml:space="preserve"> </w:t>
      </w:r>
      <w:proofErr w:type="spellStart"/>
      <w:r w:rsidRPr="00644DBC">
        <w:rPr>
          <w:rFonts w:ascii="Times New Roman" w:hAnsi="Times New Roman" w:cs="Times New Roman"/>
          <w:sz w:val="20"/>
          <w:szCs w:val="20"/>
        </w:rPr>
        <w:t>μg</w:t>
      </w:r>
      <w:proofErr w:type="spellEnd"/>
      <w:r w:rsidRPr="00644DBC">
        <w:rPr>
          <w:rFonts w:ascii="Times New Roman" w:hAnsi="Times New Roman" w:cs="Times New Roman"/>
          <w:sz w:val="20"/>
          <w:szCs w:val="20"/>
        </w:rPr>
        <w:t xml:space="preserve">/dl . Their study revealed that </w:t>
      </w:r>
      <w:proofErr w:type="spellStart"/>
      <w:r w:rsidRPr="00644DBC">
        <w:rPr>
          <w:rFonts w:ascii="Times New Roman" w:hAnsi="Times New Roman" w:cs="Times New Roman"/>
          <w:sz w:val="20"/>
          <w:szCs w:val="20"/>
        </w:rPr>
        <w:t>hypozincemia</w:t>
      </w:r>
      <w:proofErr w:type="spellEnd"/>
      <w:r w:rsidRPr="00644DBC">
        <w:rPr>
          <w:rFonts w:ascii="Times New Roman" w:hAnsi="Times New Roman" w:cs="Times New Roman"/>
          <w:sz w:val="20"/>
          <w:szCs w:val="20"/>
        </w:rPr>
        <w:t xml:space="preserve"> is common in </w:t>
      </w:r>
      <w:proofErr w:type="spellStart"/>
      <w:r w:rsidRPr="00644DBC">
        <w:rPr>
          <w:rFonts w:ascii="Times New Roman" w:hAnsi="Times New Roman" w:cs="Times New Roman"/>
          <w:sz w:val="20"/>
          <w:szCs w:val="20"/>
        </w:rPr>
        <w:t>thalassemic</w:t>
      </w:r>
      <w:proofErr w:type="spellEnd"/>
      <w:r w:rsidRPr="00644DBC">
        <w:rPr>
          <w:rFonts w:ascii="Times New Roman" w:hAnsi="Times New Roman" w:cs="Times New Roman"/>
          <w:sz w:val="20"/>
          <w:szCs w:val="20"/>
        </w:rPr>
        <w:t xml:space="preserve"> </w:t>
      </w:r>
      <w:proofErr w:type="gramStart"/>
      <w:r w:rsidRPr="00644DBC">
        <w:rPr>
          <w:rFonts w:ascii="Times New Roman" w:hAnsi="Times New Roman" w:cs="Times New Roman"/>
          <w:sz w:val="20"/>
          <w:szCs w:val="20"/>
        </w:rPr>
        <w:t>patients .</w:t>
      </w:r>
      <w:proofErr w:type="gramEnd"/>
      <w:r w:rsidRPr="00644DBC">
        <w:rPr>
          <w:rFonts w:ascii="Times New Roman" w:hAnsi="Times New Roman" w:cs="Times New Roman"/>
          <w:sz w:val="20"/>
          <w:szCs w:val="20"/>
        </w:rPr>
        <w:t xml:space="preserve">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r w:rsidRPr="00644DBC">
        <w:rPr>
          <w:rFonts w:ascii="Times New Roman" w:eastAsiaTheme="minorEastAsia" w:hAnsi="Times New Roman" w:cs="Times New Roman"/>
          <w:color w:val="000000"/>
          <w:sz w:val="20"/>
          <w:szCs w:val="20"/>
        </w:rPr>
        <w:lastRenderedPageBreak/>
        <w:t xml:space="preserve">Although many studies revealed low serum zinc in </w:t>
      </w:r>
      <w:proofErr w:type="spellStart"/>
      <w:r w:rsidRPr="00644DBC">
        <w:rPr>
          <w:rFonts w:ascii="Times New Roman" w:eastAsiaTheme="minorEastAsia" w:hAnsi="Times New Roman" w:cs="Times New Roman"/>
          <w:color w:val="000000"/>
          <w:sz w:val="20"/>
          <w:szCs w:val="20"/>
        </w:rPr>
        <w:t>thalas</w:t>
      </w:r>
      <w:r w:rsidRPr="00644DBC">
        <w:rPr>
          <w:rFonts w:ascii="Times New Roman" w:eastAsiaTheme="minorEastAsia" w:hAnsi="Times New Roman" w:cs="Times New Roman"/>
          <w:color w:val="000000"/>
          <w:sz w:val="20"/>
          <w:szCs w:val="20"/>
        </w:rPr>
        <w:softHyphen/>
        <w:t>semia</w:t>
      </w:r>
      <w:proofErr w:type="spellEnd"/>
      <w:r w:rsidRPr="00644DBC">
        <w:rPr>
          <w:rFonts w:ascii="Times New Roman" w:eastAsiaTheme="minorEastAsia" w:hAnsi="Times New Roman" w:cs="Times New Roman"/>
          <w:color w:val="000000"/>
          <w:sz w:val="20"/>
          <w:szCs w:val="20"/>
        </w:rPr>
        <w:t xml:space="preserve"> patients at least one study by </w:t>
      </w:r>
      <w:proofErr w:type="spellStart"/>
      <w:r w:rsidRPr="00644DBC">
        <w:rPr>
          <w:rFonts w:ascii="Times New Roman" w:eastAsiaTheme="minorEastAsia" w:hAnsi="Times New Roman" w:cs="Times New Roman"/>
          <w:color w:val="000000"/>
          <w:sz w:val="20"/>
          <w:szCs w:val="20"/>
        </w:rPr>
        <w:t>Mehdi</w:t>
      </w:r>
      <w:r w:rsidRPr="00644DBC">
        <w:rPr>
          <w:rFonts w:ascii="Times New Roman" w:eastAsiaTheme="minorEastAsia" w:hAnsi="Times New Roman" w:cs="Times New Roman"/>
          <w:color w:val="000000"/>
          <w:sz w:val="20"/>
          <w:szCs w:val="20"/>
        </w:rPr>
        <w:softHyphen/>
        <w:t>zadeh</w:t>
      </w:r>
      <w:proofErr w:type="spellEnd"/>
      <w:r w:rsidRPr="00644DBC">
        <w:rPr>
          <w:rFonts w:ascii="Times New Roman" w:eastAsiaTheme="minorEastAsia" w:hAnsi="Times New Roman" w:cs="Times New Roman"/>
          <w:color w:val="000000"/>
          <w:sz w:val="20"/>
          <w:szCs w:val="20"/>
        </w:rPr>
        <w:t xml:space="preserve"> M et al revealed significantly higher serum zinc in the </w:t>
      </w:r>
      <w:proofErr w:type="spellStart"/>
      <w:r w:rsidRPr="00644DBC">
        <w:rPr>
          <w:rFonts w:ascii="Times New Roman" w:eastAsiaTheme="minorEastAsia" w:hAnsi="Times New Roman" w:cs="Times New Roman"/>
          <w:color w:val="000000"/>
          <w:sz w:val="20"/>
          <w:szCs w:val="20"/>
        </w:rPr>
        <w:t>thalassemic</w:t>
      </w:r>
      <w:proofErr w:type="spellEnd"/>
      <w:r w:rsidRPr="00644DBC">
        <w:rPr>
          <w:rFonts w:ascii="Times New Roman" w:eastAsiaTheme="minorEastAsia" w:hAnsi="Times New Roman" w:cs="Times New Roman"/>
          <w:color w:val="000000"/>
          <w:sz w:val="20"/>
          <w:szCs w:val="20"/>
        </w:rPr>
        <w:t xml:space="preserve"> group with no significant correlation between serum zinc level and serum </w:t>
      </w:r>
      <w:proofErr w:type="spellStart"/>
      <w:r w:rsidRPr="00644DBC">
        <w:rPr>
          <w:rFonts w:ascii="Times New Roman" w:eastAsiaTheme="minorEastAsia" w:hAnsi="Times New Roman" w:cs="Times New Roman"/>
          <w:color w:val="000000"/>
          <w:sz w:val="20"/>
          <w:szCs w:val="20"/>
        </w:rPr>
        <w:t>ferritin</w:t>
      </w:r>
      <w:proofErr w:type="spellEnd"/>
      <w:r w:rsidRPr="00644DBC">
        <w:rPr>
          <w:rFonts w:ascii="Times New Roman" w:eastAsiaTheme="minorEastAsia" w:hAnsi="Times New Roman" w:cs="Times New Roman"/>
          <w:color w:val="000000"/>
          <w:sz w:val="20"/>
          <w:szCs w:val="20"/>
        </w:rPr>
        <w:t xml:space="preserve"> level, so indicates zinc deficiency in </w:t>
      </w:r>
      <w:proofErr w:type="spellStart"/>
      <w:r w:rsidRPr="00644DBC">
        <w:rPr>
          <w:rFonts w:ascii="Times New Roman" w:eastAsiaTheme="minorEastAsia" w:hAnsi="Times New Roman" w:cs="Times New Roman"/>
          <w:color w:val="000000"/>
          <w:sz w:val="20"/>
          <w:szCs w:val="20"/>
        </w:rPr>
        <w:t>thalassemic</w:t>
      </w:r>
      <w:proofErr w:type="spellEnd"/>
      <w:r w:rsidRPr="00644DBC">
        <w:rPr>
          <w:rFonts w:ascii="Times New Roman" w:eastAsiaTheme="minorEastAsia" w:hAnsi="Times New Roman" w:cs="Times New Roman"/>
          <w:color w:val="000000"/>
          <w:sz w:val="20"/>
          <w:szCs w:val="20"/>
        </w:rPr>
        <w:t xml:space="preserve"> patients ,who are on regular blood transfusion is rare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proofErr w:type="spellStart"/>
      <w:r w:rsidRPr="00644DBC">
        <w:rPr>
          <w:rFonts w:ascii="Times New Roman" w:hAnsi="Times New Roman" w:cs="Times New Roman"/>
          <w:bCs/>
          <w:sz w:val="20"/>
          <w:szCs w:val="20"/>
        </w:rPr>
        <w:t>Bot</w:t>
      </w:r>
      <w:proofErr w:type="spellEnd"/>
      <w:r w:rsidRPr="00644DBC">
        <w:rPr>
          <w:rFonts w:ascii="Times New Roman" w:hAnsi="Times New Roman" w:cs="Times New Roman"/>
          <w:bCs/>
          <w:sz w:val="20"/>
          <w:szCs w:val="20"/>
        </w:rPr>
        <w:t xml:space="preserve"> Y.S</w:t>
      </w:r>
      <w:r w:rsidRPr="00644DBC">
        <w:rPr>
          <w:rFonts w:ascii="Times New Roman" w:hAnsi="Times New Roman" w:cs="Times New Roman"/>
          <w:sz w:val="20"/>
          <w:szCs w:val="20"/>
        </w:rPr>
        <w:t xml:space="preserve"> et </w:t>
      </w:r>
      <w:proofErr w:type="gramStart"/>
      <w:r w:rsidRPr="00644DBC">
        <w:rPr>
          <w:rFonts w:ascii="Times New Roman" w:hAnsi="Times New Roman" w:cs="Times New Roman"/>
          <w:sz w:val="20"/>
          <w:szCs w:val="20"/>
        </w:rPr>
        <w:t>al(</w:t>
      </w:r>
      <w:proofErr w:type="gramEnd"/>
      <w:r w:rsidRPr="00644DBC">
        <w:rPr>
          <w:rFonts w:ascii="Times New Roman" w:hAnsi="Times New Roman" w:cs="Times New Roman"/>
          <w:sz w:val="20"/>
          <w:szCs w:val="20"/>
        </w:rPr>
        <w:t>2013) study on “</w:t>
      </w:r>
      <w:r w:rsidRPr="00644DBC">
        <w:rPr>
          <w:rFonts w:ascii="Times New Roman" w:hAnsi="Times New Roman" w:cs="Times New Roman"/>
          <w:bCs/>
          <w:sz w:val="20"/>
          <w:szCs w:val="20"/>
        </w:rPr>
        <w:t xml:space="preserve">Analyses of Cu and Zn in serum of sickle cell disease patients in </w:t>
      </w:r>
      <w:proofErr w:type="spellStart"/>
      <w:r w:rsidRPr="00644DBC">
        <w:rPr>
          <w:rFonts w:ascii="Times New Roman" w:hAnsi="Times New Roman" w:cs="Times New Roman"/>
          <w:bCs/>
          <w:sz w:val="20"/>
          <w:szCs w:val="20"/>
        </w:rPr>
        <w:t>Jos</w:t>
      </w:r>
      <w:proofErr w:type="spellEnd"/>
      <w:r w:rsidRPr="00644DBC">
        <w:rPr>
          <w:rFonts w:ascii="Times New Roman" w:hAnsi="Times New Roman" w:cs="Times New Roman"/>
          <w:bCs/>
          <w:sz w:val="20"/>
          <w:szCs w:val="20"/>
        </w:rPr>
        <w:t>” found that</w:t>
      </w:r>
      <w:r w:rsidRPr="00644DBC">
        <w:rPr>
          <w:rFonts w:ascii="Times New Roman" w:hAnsi="Times New Roman" w:cs="Times New Roman"/>
          <w:b/>
          <w:bCs/>
          <w:sz w:val="20"/>
          <w:szCs w:val="20"/>
        </w:rPr>
        <w:t xml:space="preserve"> </w:t>
      </w:r>
      <w:r w:rsidRPr="00644DBC">
        <w:rPr>
          <w:rFonts w:ascii="Times New Roman" w:hAnsi="Times New Roman" w:cs="Times New Roman"/>
          <w:sz w:val="20"/>
          <w:szCs w:val="20"/>
        </w:rPr>
        <w:t>a significantly low zinc concentration was obtained from the general comparison of sickle cell disease patients with control subjects.</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proofErr w:type="spellStart"/>
      <w:r w:rsidRPr="00644DBC">
        <w:rPr>
          <w:rFonts w:ascii="Times New Roman" w:hAnsi="Times New Roman" w:cs="Times New Roman"/>
          <w:sz w:val="20"/>
          <w:szCs w:val="20"/>
        </w:rPr>
        <w:t>Zemel</w:t>
      </w:r>
      <w:proofErr w:type="spellEnd"/>
      <w:r w:rsidRPr="00644DBC">
        <w:rPr>
          <w:rFonts w:ascii="Times New Roman" w:hAnsi="Times New Roman" w:cs="Times New Roman"/>
          <w:sz w:val="20"/>
          <w:szCs w:val="20"/>
        </w:rPr>
        <w:t xml:space="preserve"> et al., 2002; </w:t>
      </w:r>
      <w:proofErr w:type="spellStart"/>
      <w:r w:rsidRPr="00644DBC">
        <w:rPr>
          <w:rFonts w:ascii="Times New Roman" w:hAnsi="Times New Roman" w:cs="Times New Roman"/>
          <w:sz w:val="20"/>
          <w:szCs w:val="20"/>
        </w:rPr>
        <w:t>Singhi</w:t>
      </w:r>
      <w:proofErr w:type="spellEnd"/>
      <w:r w:rsidRPr="00644DBC">
        <w:rPr>
          <w:rFonts w:ascii="Times New Roman" w:hAnsi="Times New Roman" w:cs="Times New Roman"/>
          <w:sz w:val="20"/>
          <w:szCs w:val="20"/>
        </w:rPr>
        <w:t xml:space="preserve"> et al., 2003 in their study found that the biochemical evidence for zinc deficiency in patients with SCD includes low zinc concentrations in plasma, erythrocytes, hair lymphocytes and granulocytes.</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 In another report by </w:t>
      </w:r>
      <w:proofErr w:type="spellStart"/>
      <w:r w:rsidRPr="00644DBC">
        <w:rPr>
          <w:rFonts w:ascii="Times New Roman" w:hAnsi="Times New Roman" w:cs="Times New Roman"/>
          <w:sz w:val="20"/>
          <w:szCs w:val="20"/>
        </w:rPr>
        <w:t>Parad</w:t>
      </w:r>
      <w:proofErr w:type="spellEnd"/>
      <w:r w:rsidRPr="00644DBC">
        <w:rPr>
          <w:rFonts w:ascii="Times New Roman" w:hAnsi="Times New Roman" w:cs="Times New Roman"/>
          <w:sz w:val="20"/>
          <w:szCs w:val="20"/>
        </w:rPr>
        <w:t xml:space="preserve">, et al. (1975), low activities of zinc dependent enzymes such as carbonic </w:t>
      </w:r>
      <w:proofErr w:type="spellStart"/>
      <w:r w:rsidRPr="00644DBC">
        <w:rPr>
          <w:rFonts w:ascii="Times New Roman" w:hAnsi="Times New Roman" w:cs="Times New Roman"/>
          <w:sz w:val="20"/>
          <w:szCs w:val="20"/>
        </w:rPr>
        <w:t>anhydrase</w:t>
      </w:r>
      <w:proofErr w:type="spellEnd"/>
      <w:r w:rsidRPr="00644DBC">
        <w:rPr>
          <w:rFonts w:ascii="Times New Roman" w:hAnsi="Times New Roman" w:cs="Times New Roman"/>
          <w:sz w:val="20"/>
          <w:szCs w:val="20"/>
        </w:rPr>
        <w:t xml:space="preserve">, alkaline phosphate and </w:t>
      </w:r>
      <w:proofErr w:type="spellStart"/>
      <w:r w:rsidRPr="00644DBC">
        <w:rPr>
          <w:rFonts w:ascii="Times New Roman" w:hAnsi="Times New Roman" w:cs="Times New Roman"/>
          <w:sz w:val="20"/>
          <w:szCs w:val="20"/>
        </w:rPr>
        <w:t>thymidine</w:t>
      </w:r>
      <w:proofErr w:type="spellEnd"/>
      <w:r w:rsidRPr="00644DBC">
        <w:rPr>
          <w:rFonts w:ascii="Times New Roman" w:hAnsi="Times New Roman" w:cs="Times New Roman"/>
          <w:sz w:val="20"/>
          <w:szCs w:val="20"/>
        </w:rPr>
        <w:t xml:space="preserve"> </w:t>
      </w:r>
      <w:proofErr w:type="spellStart"/>
      <w:r w:rsidRPr="00644DBC">
        <w:rPr>
          <w:rFonts w:ascii="Times New Roman" w:hAnsi="Times New Roman" w:cs="Times New Roman"/>
          <w:sz w:val="20"/>
          <w:szCs w:val="20"/>
        </w:rPr>
        <w:t>kinase</w:t>
      </w:r>
      <w:proofErr w:type="spellEnd"/>
      <w:r w:rsidRPr="00644DBC">
        <w:rPr>
          <w:rFonts w:ascii="Times New Roman" w:hAnsi="Times New Roman" w:cs="Times New Roman"/>
          <w:sz w:val="20"/>
          <w:szCs w:val="20"/>
        </w:rPr>
        <w:t xml:space="preserve"> found in SCD </w:t>
      </w:r>
      <w:proofErr w:type="gramStart"/>
      <w:r w:rsidRPr="00644DBC">
        <w:rPr>
          <w:rFonts w:ascii="Times New Roman" w:hAnsi="Times New Roman" w:cs="Times New Roman"/>
          <w:sz w:val="20"/>
          <w:szCs w:val="20"/>
        </w:rPr>
        <w:t>patients .</w:t>
      </w:r>
      <w:proofErr w:type="gramEnd"/>
      <w:r w:rsidRPr="00644DBC">
        <w:rPr>
          <w:rFonts w:ascii="Times New Roman" w:hAnsi="Times New Roman" w:cs="Times New Roman"/>
          <w:sz w:val="20"/>
          <w:szCs w:val="20"/>
        </w:rPr>
        <w:t xml:space="preserve">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A higher than normal activity of plasma </w:t>
      </w:r>
      <w:proofErr w:type="spellStart"/>
      <w:r w:rsidRPr="00644DBC">
        <w:rPr>
          <w:rFonts w:ascii="Times New Roman" w:hAnsi="Times New Roman" w:cs="Times New Roman"/>
          <w:sz w:val="20"/>
          <w:szCs w:val="20"/>
        </w:rPr>
        <w:t>ribonuclease</w:t>
      </w:r>
      <w:proofErr w:type="spellEnd"/>
      <w:r w:rsidRPr="00644DBC">
        <w:rPr>
          <w:rFonts w:ascii="Times New Roman" w:hAnsi="Times New Roman" w:cs="Times New Roman"/>
          <w:sz w:val="20"/>
          <w:szCs w:val="20"/>
        </w:rPr>
        <w:t xml:space="preserve"> in patients with SCD is also seen because zinc is known to inhibit the activities of this enzyme (</w:t>
      </w:r>
      <w:proofErr w:type="spellStart"/>
      <w:r w:rsidRPr="00644DBC">
        <w:rPr>
          <w:rFonts w:ascii="Times New Roman" w:hAnsi="Times New Roman" w:cs="Times New Roman"/>
          <w:sz w:val="20"/>
          <w:szCs w:val="20"/>
        </w:rPr>
        <w:t>Parad</w:t>
      </w:r>
      <w:proofErr w:type="spellEnd"/>
      <w:r w:rsidRPr="00644DBC">
        <w:rPr>
          <w:rFonts w:ascii="Times New Roman" w:hAnsi="Times New Roman" w:cs="Times New Roman"/>
          <w:sz w:val="20"/>
          <w:szCs w:val="20"/>
        </w:rPr>
        <w:t xml:space="preserve"> et al., 1975).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Zinc deficiency can also be the result of the adverse effect of </w:t>
      </w:r>
      <w:proofErr w:type="spellStart"/>
      <w:r w:rsidRPr="00644DBC">
        <w:rPr>
          <w:rFonts w:ascii="Times New Roman" w:hAnsi="Times New Roman" w:cs="Times New Roman"/>
          <w:sz w:val="20"/>
          <w:szCs w:val="20"/>
        </w:rPr>
        <w:t>hydroxyurea</w:t>
      </w:r>
      <w:proofErr w:type="spellEnd"/>
      <w:r w:rsidRPr="00644DBC">
        <w:rPr>
          <w:rFonts w:ascii="Times New Roman" w:hAnsi="Times New Roman" w:cs="Times New Roman"/>
          <w:sz w:val="20"/>
          <w:szCs w:val="20"/>
        </w:rPr>
        <w:t xml:space="preserve"> which increase zinc excretion as reported by Silliman et al., (1993). </w:t>
      </w:r>
    </w:p>
    <w:p w:rsidR="00386F2E" w:rsidRPr="00644DBC" w:rsidRDefault="00386F2E" w:rsidP="00BE3B18">
      <w:pPr>
        <w:autoSpaceDE w:val="0"/>
        <w:autoSpaceDN w:val="0"/>
        <w:adjustRightInd w:val="0"/>
        <w:spacing w:after="120" w:line="240" w:lineRule="auto"/>
        <w:jc w:val="both"/>
        <w:rPr>
          <w:rFonts w:ascii="Times New Roman" w:hAnsi="Times New Roman" w:cs="Times New Roman"/>
          <w:sz w:val="20"/>
          <w:szCs w:val="20"/>
        </w:rPr>
      </w:pPr>
      <w:r w:rsidRPr="00644DBC">
        <w:rPr>
          <w:rFonts w:ascii="Times New Roman" w:hAnsi="Times New Roman" w:cs="Times New Roman"/>
          <w:bCs/>
          <w:sz w:val="20"/>
          <w:szCs w:val="20"/>
        </w:rPr>
        <w:t xml:space="preserve">KAUR M et al (2013) in their study on “the </w:t>
      </w:r>
      <w:proofErr w:type="spellStart"/>
      <w:r w:rsidRPr="00644DBC">
        <w:rPr>
          <w:rFonts w:ascii="Times New Roman" w:hAnsi="Times New Roman" w:cs="Times New Roman"/>
          <w:bCs/>
          <w:sz w:val="20"/>
          <w:szCs w:val="20"/>
        </w:rPr>
        <w:t>haemoglobinopathies</w:t>
      </w:r>
      <w:proofErr w:type="spellEnd"/>
      <w:r w:rsidRPr="00644DBC">
        <w:rPr>
          <w:rFonts w:ascii="Times New Roman" w:hAnsi="Times New Roman" w:cs="Times New Roman"/>
          <w:bCs/>
          <w:sz w:val="20"/>
          <w:szCs w:val="20"/>
        </w:rPr>
        <w:t xml:space="preserve"> and ratio of copper and zinc in </w:t>
      </w:r>
      <w:proofErr w:type="spellStart"/>
      <w:r w:rsidRPr="00644DBC">
        <w:rPr>
          <w:rFonts w:ascii="Times New Roman" w:hAnsi="Times New Roman" w:cs="Times New Roman"/>
          <w:bCs/>
          <w:sz w:val="20"/>
          <w:szCs w:val="20"/>
        </w:rPr>
        <w:t>sindhi</w:t>
      </w:r>
      <w:proofErr w:type="spellEnd"/>
      <w:r w:rsidRPr="00644DBC">
        <w:rPr>
          <w:rFonts w:ascii="Times New Roman" w:hAnsi="Times New Roman" w:cs="Times New Roman"/>
          <w:bCs/>
          <w:sz w:val="20"/>
          <w:szCs w:val="20"/>
        </w:rPr>
        <w:t xml:space="preserve"> community of Bhopal” found </w:t>
      </w:r>
      <w:proofErr w:type="gramStart"/>
      <w:r w:rsidRPr="00644DBC">
        <w:rPr>
          <w:rFonts w:ascii="Times New Roman" w:hAnsi="Times New Roman" w:cs="Times New Roman"/>
          <w:bCs/>
          <w:sz w:val="20"/>
          <w:szCs w:val="20"/>
        </w:rPr>
        <w:t xml:space="preserve">that </w:t>
      </w:r>
      <w:r w:rsidRPr="00644DBC">
        <w:rPr>
          <w:rFonts w:ascii="Times New Roman" w:hAnsi="Times New Roman" w:cs="Times New Roman"/>
          <w:sz w:val="20"/>
          <w:szCs w:val="20"/>
        </w:rPr>
        <w:t xml:space="preserve"> zinc</w:t>
      </w:r>
      <w:proofErr w:type="gramEnd"/>
      <w:r w:rsidRPr="00644DBC">
        <w:rPr>
          <w:rFonts w:ascii="Times New Roman" w:hAnsi="Times New Roman" w:cs="Times New Roman"/>
          <w:sz w:val="20"/>
          <w:szCs w:val="20"/>
        </w:rPr>
        <w:t xml:space="preserve"> deficiency is common in </w:t>
      </w:r>
      <w:proofErr w:type="spellStart"/>
      <w:r w:rsidRPr="00644DBC">
        <w:rPr>
          <w:rFonts w:ascii="Times New Roman" w:hAnsi="Times New Roman" w:cs="Times New Roman"/>
          <w:sz w:val="20"/>
          <w:szCs w:val="20"/>
        </w:rPr>
        <w:t>haemoglobinopathic</w:t>
      </w:r>
      <w:proofErr w:type="spellEnd"/>
      <w:r w:rsidRPr="00644DBC">
        <w:rPr>
          <w:rFonts w:ascii="Times New Roman" w:hAnsi="Times New Roman" w:cs="Times New Roman"/>
          <w:sz w:val="20"/>
          <w:szCs w:val="20"/>
        </w:rPr>
        <w:t xml:space="preserve"> patients</w:t>
      </w:r>
      <w:r w:rsidRPr="00644DBC">
        <w:rPr>
          <w:rFonts w:ascii="Times New Roman" w:eastAsia="Calibri" w:hAnsi="Times New Roman" w:cs="Times New Roman"/>
          <w:bCs/>
          <w:sz w:val="20"/>
          <w:szCs w:val="20"/>
        </w:rPr>
        <w:t xml:space="preserve"> </w:t>
      </w:r>
      <w:r w:rsidRPr="00644DBC">
        <w:rPr>
          <w:rFonts w:ascii="Times New Roman" w:hAnsi="Times New Roman" w:cs="Times New Roman"/>
          <w:sz w:val="20"/>
          <w:szCs w:val="20"/>
        </w:rPr>
        <w:t>(</w:t>
      </w:r>
      <w:proofErr w:type="spellStart"/>
      <w:r w:rsidRPr="00644DBC">
        <w:rPr>
          <w:rFonts w:ascii="Times New Roman" w:hAnsi="Times New Roman" w:cs="Times New Roman"/>
          <w:sz w:val="20"/>
          <w:szCs w:val="20"/>
        </w:rPr>
        <w:t>thalassemia</w:t>
      </w:r>
      <w:proofErr w:type="spellEnd"/>
      <w:r w:rsidRPr="00644DBC">
        <w:rPr>
          <w:rFonts w:ascii="Times New Roman" w:hAnsi="Times New Roman" w:cs="Times New Roman"/>
          <w:sz w:val="20"/>
          <w:szCs w:val="20"/>
        </w:rPr>
        <w:t xml:space="preserve"> and sickle cell </w:t>
      </w:r>
      <w:proofErr w:type="spellStart"/>
      <w:r w:rsidRPr="00644DBC">
        <w:rPr>
          <w:rFonts w:ascii="Times New Roman" w:hAnsi="Times New Roman" w:cs="Times New Roman"/>
          <w:sz w:val="20"/>
          <w:szCs w:val="20"/>
        </w:rPr>
        <w:t>anaemia</w:t>
      </w:r>
      <w:proofErr w:type="spellEnd"/>
      <w:r w:rsidRPr="00644DBC">
        <w:rPr>
          <w:rFonts w:ascii="Times New Roman" w:hAnsi="Times New Roman" w:cs="Times New Roman"/>
          <w:sz w:val="20"/>
          <w:szCs w:val="20"/>
        </w:rPr>
        <w:t>)</w:t>
      </w:r>
    </w:p>
    <w:p w:rsidR="000E0CC3" w:rsidRPr="00644DBC" w:rsidRDefault="00386F2E" w:rsidP="001224D9">
      <w:pPr>
        <w:widowControl w:val="0"/>
        <w:spacing w:before="240" w:after="120" w:line="240" w:lineRule="auto"/>
        <w:jc w:val="both"/>
        <w:rPr>
          <w:rFonts w:ascii="Times New Roman" w:eastAsia="Calibri" w:hAnsi="Times New Roman" w:cs="Times New Roman"/>
          <w:bCs/>
          <w:sz w:val="20"/>
          <w:szCs w:val="20"/>
        </w:rPr>
      </w:pPr>
      <w:r w:rsidRPr="00644DBC">
        <w:rPr>
          <w:rFonts w:ascii="Times New Roman" w:eastAsia="Calibri" w:hAnsi="Times New Roman" w:cs="Times New Roman"/>
          <w:bCs/>
          <w:sz w:val="20"/>
          <w:szCs w:val="20"/>
        </w:rPr>
        <w:t xml:space="preserve">In the present study mean serum </w:t>
      </w:r>
      <w:proofErr w:type="spellStart"/>
      <w:r w:rsidRPr="00644DBC">
        <w:rPr>
          <w:rFonts w:ascii="Times New Roman" w:eastAsia="Calibri" w:hAnsi="Times New Roman" w:cs="Times New Roman"/>
          <w:bCs/>
          <w:sz w:val="20"/>
          <w:szCs w:val="20"/>
        </w:rPr>
        <w:t>ferritin</w:t>
      </w:r>
      <w:proofErr w:type="spellEnd"/>
      <w:r w:rsidRPr="00644DBC">
        <w:rPr>
          <w:rFonts w:ascii="Times New Roman" w:eastAsia="Calibri" w:hAnsi="Times New Roman" w:cs="Times New Roman"/>
          <w:bCs/>
          <w:sz w:val="20"/>
          <w:szCs w:val="20"/>
        </w:rPr>
        <w:t xml:space="preserve"> (</w:t>
      </w:r>
      <w:proofErr w:type="spellStart"/>
      <w:r w:rsidRPr="00644DBC">
        <w:rPr>
          <w:rFonts w:ascii="Times New Roman" w:eastAsia="Calibri" w:hAnsi="Times New Roman" w:cs="Times New Roman"/>
          <w:bCs/>
          <w:sz w:val="20"/>
          <w:szCs w:val="20"/>
        </w:rPr>
        <w:t>ng</w:t>
      </w:r>
      <w:proofErr w:type="spellEnd"/>
      <w:r w:rsidRPr="00644DBC">
        <w:rPr>
          <w:rFonts w:ascii="Times New Roman" w:eastAsia="Calibri" w:hAnsi="Times New Roman" w:cs="Times New Roman"/>
          <w:bCs/>
          <w:sz w:val="20"/>
          <w:szCs w:val="20"/>
        </w:rPr>
        <w:t xml:space="preserve">/ml) level in </w:t>
      </w:r>
      <w:proofErr w:type="spellStart"/>
      <w:r w:rsidRPr="00644DBC">
        <w:rPr>
          <w:rFonts w:ascii="Times New Roman" w:eastAsia="Calibri" w:hAnsi="Times New Roman" w:cs="Times New Roman"/>
          <w:bCs/>
          <w:sz w:val="20"/>
          <w:szCs w:val="20"/>
        </w:rPr>
        <w:t>thalassemia</w:t>
      </w:r>
      <w:proofErr w:type="spellEnd"/>
      <w:r w:rsidRPr="00644DBC">
        <w:rPr>
          <w:rFonts w:ascii="Times New Roman" w:eastAsia="Calibri" w:hAnsi="Times New Roman" w:cs="Times New Roman"/>
          <w:bCs/>
          <w:sz w:val="20"/>
          <w:szCs w:val="20"/>
        </w:rPr>
        <w:t xml:space="preserve"> patients is more than sickle cell disease patients and are statistically highly significant (p&lt;0.0001) .The mean ± S.D. of </w:t>
      </w:r>
      <w:proofErr w:type="spellStart"/>
      <w:r w:rsidRPr="00644DBC">
        <w:rPr>
          <w:rFonts w:ascii="Times New Roman" w:eastAsia="Calibri" w:hAnsi="Times New Roman" w:cs="Times New Roman"/>
          <w:bCs/>
          <w:sz w:val="20"/>
          <w:szCs w:val="20"/>
        </w:rPr>
        <w:t>ferritin</w:t>
      </w:r>
      <w:proofErr w:type="spellEnd"/>
      <w:r w:rsidRPr="00644DBC">
        <w:rPr>
          <w:rFonts w:ascii="Times New Roman" w:eastAsia="Calibri" w:hAnsi="Times New Roman" w:cs="Times New Roman"/>
          <w:bCs/>
          <w:sz w:val="20"/>
          <w:szCs w:val="20"/>
        </w:rPr>
        <w:t xml:space="preserve"> (</w:t>
      </w:r>
      <w:proofErr w:type="spellStart"/>
      <w:r w:rsidRPr="00644DBC">
        <w:rPr>
          <w:rFonts w:ascii="Times New Roman" w:eastAsia="Calibri" w:hAnsi="Times New Roman" w:cs="Times New Roman"/>
          <w:bCs/>
          <w:sz w:val="20"/>
          <w:szCs w:val="20"/>
        </w:rPr>
        <w:t>ng</w:t>
      </w:r>
      <w:proofErr w:type="spellEnd"/>
      <w:r w:rsidRPr="00644DBC">
        <w:rPr>
          <w:rFonts w:ascii="Times New Roman" w:eastAsia="Calibri" w:hAnsi="Times New Roman" w:cs="Times New Roman"/>
          <w:bCs/>
          <w:sz w:val="20"/>
          <w:szCs w:val="20"/>
        </w:rPr>
        <w:t xml:space="preserve">/ml) in </w:t>
      </w:r>
      <w:proofErr w:type="spellStart"/>
      <w:r w:rsidRPr="00644DBC">
        <w:rPr>
          <w:rFonts w:ascii="Times New Roman" w:eastAsia="Calibri" w:hAnsi="Times New Roman" w:cs="Times New Roman"/>
          <w:bCs/>
          <w:sz w:val="20"/>
          <w:szCs w:val="20"/>
        </w:rPr>
        <w:t>thalassemia</w:t>
      </w:r>
      <w:proofErr w:type="spellEnd"/>
      <w:r w:rsidRPr="00644DBC">
        <w:rPr>
          <w:rFonts w:ascii="Times New Roman" w:eastAsia="Calibri" w:hAnsi="Times New Roman" w:cs="Times New Roman"/>
          <w:bCs/>
          <w:sz w:val="20"/>
          <w:szCs w:val="20"/>
        </w:rPr>
        <w:t xml:space="preserve"> patients is found to be 1130.53 ±  457.60 </w:t>
      </w:r>
      <w:proofErr w:type="spellStart"/>
      <w:r w:rsidRPr="00644DBC">
        <w:rPr>
          <w:rFonts w:ascii="Times New Roman" w:eastAsia="Calibri" w:hAnsi="Times New Roman" w:cs="Times New Roman"/>
          <w:bCs/>
          <w:sz w:val="20"/>
          <w:szCs w:val="20"/>
        </w:rPr>
        <w:t>ng</w:t>
      </w:r>
      <w:proofErr w:type="spellEnd"/>
      <w:r w:rsidRPr="00644DBC">
        <w:rPr>
          <w:rFonts w:ascii="Times New Roman" w:eastAsia="Calibri" w:hAnsi="Times New Roman" w:cs="Times New Roman"/>
          <w:bCs/>
          <w:sz w:val="20"/>
          <w:szCs w:val="20"/>
        </w:rPr>
        <w:t xml:space="preserve">/ml and that of sickle cell disease cases is 620.92 ± 359.76 </w:t>
      </w:r>
      <w:proofErr w:type="spellStart"/>
      <w:r w:rsidRPr="00644DBC">
        <w:rPr>
          <w:rFonts w:ascii="Times New Roman" w:eastAsia="Calibri" w:hAnsi="Times New Roman" w:cs="Times New Roman"/>
          <w:bCs/>
          <w:sz w:val="20"/>
          <w:szCs w:val="20"/>
        </w:rPr>
        <w:t>ng</w:t>
      </w:r>
      <w:proofErr w:type="spellEnd"/>
      <w:r w:rsidRPr="00644DBC">
        <w:rPr>
          <w:rFonts w:ascii="Times New Roman" w:eastAsia="Calibri" w:hAnsi="Times New Roman" w:cs="Times New Roman"/>
          <w:bCs/>
          <w:sz w:val="20"/>
          <w:szCs w:val="20"/>
        </w:rPr>
        <w:t>/ml.</w:t>
      </w:r>
    </w:p>
    <w:p w:rsidR="008465DD" w:rsidRPr="00644DBC" w:rsidRDefault="008465DD" w:rsidP="001224D9">
      <w:pPr>
        <w:pStyle w:val="Default"/>
        <w:jc w:val="both"/>
        <w:rPr>
          <w:sz w:val="20"/>
          <w:szCs w:val="20"/>
        </w:rPr>
      </w:pPr>
      <w:r w:rsidRPr="00644DBC">
        <w:rPr>
          <w:bCs/>
          <w:sz w:val="20"/>
          <w:szCs w:val="20"/>
        </w:rPr>
        <w:t xml:space="preserve">In a study conducted by </w:t>
      </w:r>
      <w:proofErr w:type="spellStart"/>
      <w:r w:rsidRPr="00644DBC">
        <w:rPr>
          <w:bCs/>
          <w:sz w:val="20"/>
          <w:szCs w:val="20"/>
        </w:rPr>
        <w:t>Nadeem</w:t>
      </w:r>
      <w:proofErr w:type="spellEnd"/>
      <w:r w:rsidRPr="00644DBC">
        <w:rPr>
          <w:bCs/>
          <w:sz w:val="20"/>
          <w:szCs w:val="20"/>
        </w:rPr>
        <w:t xml:space="preserve"> </w:t>
      </w:r>
      <w:proofErr w:type="spellStart"/>
      <w:r w:rsidRPr="00644DBC">
        <w:rPr>
          <w:bCs/>
          <w:sz w:val="20"/>
          <w:szCs w:val="20"/>
        </w:rPr>
        <w:t>Ikram</w:t>
      </w:r>
      <w:proofErr w:type="spellEnd"/>
      <w:r w:rsidRPr="00644DBC">
        <w:rPr>
          <w:sz w:val="20"/>
          <w:szCs w:val="20"/>
        </w:rPr>
        <w:t xml:space="preserve"> et al </w:t>
      </w:r>
      <w:proofErr w:type="gramStart"/>
      <w:r w:rsidRPr="00644DBC">
        <w:rPr>
          <w:sz w:val="20"/>
          <w:szCs w:val="20"/>
        </w:rPr>
        <w:t>( 2004</w:t>
      </w:r>
      <w:proofErr w:type="gramEnd"/>
      <w:r w:rsidRPr="00644DBC">
        <w:rPr>
          <w:sz w:val="20"/>
          <w:szCs w:val="20"/>
        </w:rPr>
        <w:t>) on “</w:t>
      </w:r>
      <w:proofErr w:type="spellStart"/>
      <w:r w:rsidRPr="00644DBC">
        <w:rPr>
          <w:bCs/>
          <w:sz w:val="20"/>
          <w:szCs w:val="20"/>
        </w:rPr>
        <w:t>Ferritin</w:t>
      </w:r>
      <w:proofErr w:type="spellEnd"/>
      <w:r w:rsidRPr="00644DBC">
        <w:rPr>
          <w:bCs/>
          <w:sz w:val="20"/>
          <w:szCs w:val="20"/>
        </w:rPr>
        <w:t xml:space="preserve"> Levels in Patients of Beta </w:t>
      </w:r>
      <w:proofErr w:type="spellStart"/>
      <w:r w:rsidRPr="00644DBC">
        <w:rPr>
          <w:bCs/>
          <w:sz w:val="20"/>
          <w:szCs w:val="20"/>
        </w:rPr>
        <w:t>Thalassaemia</w:t>
      </w:r>
      <w:proofErr w:type="spellEnd"/>
      <w:r w:rsidRPr="00644DBC">
        <w:rPr>
          <w:bCs/>
          <w:sz w:val="20"/>
          <w:szCs w:val="20"/>
        </w:rPr>
        <w:t xml:space="preserve"> Major” it was shown that </w:t>
      </w:r>
      <w:r w:rsidRPr="00644DBC">
        <w:rPr>
          <w:sz w:val="20"/>
          <w:szCs w:val="20"/>
        </w:rPr>
        <w:t xml:space="preserve">mean serum </w:t>
      </w:r>
      <w:proofErr w:type="spellStart"/>
      <w:r w:rsidRPr="00644DBC">
        <w:rPr>
          <w:sz w:val="20"/>
          <w:szCs w:val="20"/>
        </w:rPr>
        <w:t>ferritin</w:t>
      </w:r>
      <w:proofErr w:type="spellEnd"/>
      <w:r w:rsidRPr="00644DBC">
        <w:rPr>
          <w:sz w:val="20"/>
          <w:szCs w:val="20"/>
        </w:rPr>
        <w:t xml:space="preserve"> levels was 3390 </w:t>
      </w:r>
      <w:r w:rsidRPr="00644DBC">
        <w:rPr>
          <w:sz w:val="20"/>
          <w:szCs w:val="20"/>
          <w:u w:val="single"/>
        </w:rPr>
        <w:t xml:space="preserve">+ </w:t>
      </w:r>
      <w:r w:rsidRPr="00644DBC">
        <w:rPr>
          <w:sz w:val="20"/>
          <w:szCs w:val="20"/>
        </w:rPr>
        <w:t xml:space="preserve">135.6 </w:t>
      </w:r>
      <w:proofErr w:type="spellStart"/>
      <w:r w:rsidRPr="00644DBC">
        <w:rPr>
          <w:sz w:val="20"/>
          <w:szCs w:val="20"/>
        </w:rPr>
        <w:t>ng</w:t>
      </w:r>
      <w:proofErr w:type="spellEnd"/>
      <w:r w:rsidRPr="00644DBC">
        <w:rPr>
          <w:sz w:val="20"/>
          <w:szCs w:val="20"/>
        </w:rPr>
        <w:t>/ml.</w:t>
      </w:r>
    </w:p>
    <w:p w:rsidR="008465DD" w:rsidRPr="00644DBC" w:rsidRDefault="008465DD" w:rsidP="001224D9">
      <w:pPr>
        <w:autoSpaceDE w:val="0"/>
        <w:autoSpaceDN w:val="0"/>
        <w:adjustRightInd w:val="0"/>
        <w:spacing w:after="0" w:line="240" w:lineRule="auto"/>
        <w:jc w:val="both"/>
        <w:rPr>
          <w:rFonts w:ascii="Times New Roman" w:hAnsi="Times New Roman" w:cs="Times New Roman"/>
          <w:sz w:val="20"/>
          <w:szCs w:val="20"/>
        </w:rPr>
      </w:pPr>
      <w:r w:rsidRPr="00644DBC">
        <w:rPr>
          <w:rFonts w:ascii="Times New Roman" w:hAnsi="Times New Roman" w:cs="Times New Roman"/>
          <w:sz w:val="20"/>
          <w:szCs w:val="20"/>
        </w:rPr>
        <w:t>Cunningham et al (2004</w:t>
      </w:r>
      <w:proofErr w:type="gramStart"/>
      <w:r w:rsidRPr="00644DBC">
        <w:rPr>
          <w:rFonts w:ascii="Times New Roman" w:hAnsi="Times New Roman" w:cs="Times New Roman"/>
          <w:sz w:val="20"/>
          <w:szCs w:val="20"/>
        </w:rPr>
        <w:t>)  reported</w:t>
      </w:r>
      <w:proofErr w:type="gramEnd"/>
      <w:r w:rsidRPr="00644DBC">
        <w:rPr>
          <w:rFonts w:ascii="Times New Roman" w:hAnsi="Times New Roman" w:cs="Times New Roman"/>
          <w:sz w:val="20"/>
          <w:szCs w:val="20"/>
        </w:rPr>
        <w:t xml:space="preserve"> mean serum </w:t>
      </w:r>
      <w:proofErr w:type="spellStart"/>
      <w:r w:rsidRPr="00644DBC">
        <w:rPr>
          <w:rFonts w:ascii="Times New Roman" w:hAnsi="Times New Roman" w:cs="Times New Roman"/>
          <w:sz w:val="20"/>
          <w:szCs w:val="20"/>
        </w:rPr>
        <w:t>ferritin</w:t>
      </w:r>
      <w:proofErr w:type="spellEnd"/>
      <w:r w:rsidRPr="00644DBC">
        <w:rPr>
          <w:rFonts w:ascii="Times New Roman" w:hAnsi="Times New Roman" w:cs="Times New Roman"/>
          <w:sz w:val="20"/>
          <w:szCs w:val="20"/>
        </w:rPr>
        <w:t xml:space="preserve"> levels in beta </w:t>
      </w:r>
      <w:proofErr w:type="spellStart"/>
      <w:r w:rsidRPr="00644DBC">
        <w:rPr>
          <w:rFonts w:ascii="Times New Roman" w:hAnsi="Times New Roman" w:cs="Times New Roman"/>
          <w:sz w:val="20"/>
          <w:szCs w:val="20"/>
        </w:rPr>
        <w:t>thalassemia</w:t>
      </w:r>
      <w:proofErr w:type="spellEnd"/>
      <w:r w:rsidRPr="00644DBC">
        <w:rPr>
          <w:rFonts w:ascii="Times New Roman" w:hAnsi="Times New Roman" w:cs="Times New Roman"/>
          <w:sz w:val="20"/>
          <w:szCs w:val="20"/>
        </w:rPr>
        <w:t xml:space="preserve"> patients of North America to be 1696 </w:t>
      </w:r>
      <w:proofErr w:type="spellStart"/>
      <w:r w:rsidRPr="00644DBC">
        <w:rPr>
          <w:rFonts w:ascii="Times New Roman" w:hAnsi="Times New Roman" w:cs="Times New Roman"/>
          <w:sz w:val="20"/>
          <w:szCs w:val="20"/>
        </w:rPr>
        <w:t>ng</w:t>
      </w:r>
      <w:proofErr w:type="spellEnd"/>
      <w:r w:rsidRPr="00644DBC">
        <w:rPr>
          <w:rFonts w:ascii="Times New Roman" w:hAnsi="Times New Roman" w:cs="Times New Roman"/>
          <w:sz w:val="20"/>
          <w:szCs w:val="20"/>
        </w:rPr>
        <w:t xml:space="preserve">/ml (26). </w:t>
      </w:r>
    </w:p>
    <w:p w:rsidR="008465DD" w:rsidRPr="00644DBC" w:rsidRDefault="008465DD" w:rsidP="001224D9">
      <w:pPr>
        <w:autoSpaceDE w:val="0"/>
        <w:autoSpaceDN w:val="0"/>
        <w:adjustRightInd w:val="0"/>
        <w:spacing w:after="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However, </w:t>
      </w:r>
      <w:proofErr w:type="spellStart"/>
      <w:r w:rsidRPr="00644DBC">
        <w:rPr>
          <w:rFonts w:ascii="Times New Roman" w:hAnsi="Times New Roman" w:cs="Times New Roman"/>
          <w:sz w:val="20"/>
          <w:szCs w:val="20"/>
        </w:rPr>
        <w:t>Choudhry</w:t>
      </w:r>
      <w:proofErr w:type="spellEnd"/>
      <w:r w:rsidRPr="00644DBC">
        <w:rPr>
          <w:rFonts w:ascii="Times New Roman" w:hAnsi="Times New Roman" w:cs="Times New Roman"/>
          <w:sz w:val="20"/>
          <w:szCs w:val="20"/>
        </w:rPr>
        <w:t xml:space="preserve"> VP et al in India reported mean serum </w:t>
      </w:r>
      <w:proofErr w:type="spellStart"/>
      <w:r w:rsidRPr="00644DBC">
        <w:rPr>
          <w:rFonts w:ascii="Times New Roman" w:hAnsi="Times New Roman" w:cs="Times New Roman"/>
          <w:sz w:val="20"/>
          <w:szCs w:val="20"/>
        </w:rPr>
        <w:t>ferritin</w:t>
      </w:r>
      <w:proofErr w:type="spellEnd"/>
      <w:r w:rsidRPr="00644DBC">
        <w:rPr>
          <w:rFonts w:ascii="Times New Roman" w:hAnsi="Times New Roman" w:cs="Times New Roman"/>
          <w:sz w:val="20"/>
          <w:szCs w:val="20"/>
        </w:rPr>
        <w:t xml:space="preserve"> levels to be 6723 </w:t>
      </w:r>
      <w:proofErr w:type="spellStart"/>
      <w:r w:rsidRPr="00644DBC">
        <w:rPr>
          <w:rFonts w:ascii="Times New Roman" w:hAnsi="Times New Roman" w:cs="Times New Roman"/>
          <w:sz w:val="20"/>
          <w:szCs w:val="20"/>
        </w:rPr>
        <w:t>ng</w:t>
      </w:r>
      <w:proofErr w:type="spellEnd"/>
      <w:r w:rsidRPr="00644DBC">
        <w:rPr>
          <w:rFonts w:ascii="Times New Roman" w:hAnsi="Times New Roman" w:cs="Times New Roman"/>
          <w:sz w:val="20"/>
          <w:szCs w:val="20"/>
        </w:rPr>
        <w:t>/ml (27)</w:t>
      </w:r>
    </w:p>
    <w:p w:rsidR="008465DD" w:rsidRPr="00644DBC" w:rsidRDefault="008465DD" w:rsidP="001224D9">
      <w:pPr>
        <w:autoSpaceDE w:val="0"/>
        <w:autoSpaceDN w:val="0"/>
        <w:adjustRightInd w:val="0"/>
        <w:spacing w:after="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In a study conducted by </w:t>
      </w:r>
      <w:proofErr w:type="spellStart"/>
      <w:r w:rsidRPr="00644DBC">
        <w:rPr>
          <w:rFonts w:ascii="Times New Roman" w:hAnsi="Times New Roman" w:cs="Times New Roman"/>
          <w:sz w:val="20"/>
          <w:szCs w:val="20"/>
        </w:rPr>
        <w:t>Mishra</w:t>
      </w:r>
      <w:proofErr w:type="spellEnd"/>
      <w:r w:rsidRPr="00644DBC">
        <w:rPr>
          <w:rFonts w:ascii="Times New Roman" w:hAnsi="Times New Roman" w:cs="Times New Roman"/>
          <w:sz w:val="20"/>
          <w:szCs w:val="20"/>
        </w:rPr>
        <w:t xml:space="preserve"> K </w:t>
      </w:r>
      <w:proofErr w:type="spellStart"/>
      <w:r w:rsidRPr="00644DBC">
        <w:rPr>
          <w:rFonts w:ascii="Times New Roman" w:hAnsi="Times New Roman" w:cs="Times New Roman"/>
          <w:sz w:val="20"/>
          <w:szCs w:val="20"/>
        </w:rPr>
        <w:t>Amit</w:t>
      </w:r>
      <w:proofErr w:type="spellEnd"/>
      <w:r w:rsidRPr="00644DBC">
        <w:rPr>
          <w:rFonts w:ascii="Times New Roman" w:hAnsi="Times New Roman" w:cs="Times New Roman"/>
          <w:sz w:val="20"/>
          <w:szCs w:val="20"/>
        </w:rPr>
        <w:t xml:space="preserve"> et al (2013) in Bhopal Madhya Pradesh on “</w:t>
      </w:r>
      <w:r w:rsidRPr="00644DBC">
        <w:rPr>
          <w:rFonts w:ascii="Times New Roman" w:hAnsi="Times New Roman" w:cs="Times New Roman"/>
          <w:bCs/>
          <w:sz w:val="20"/>
          <w:szCs w:val="20"/>
        </w:rPr>
        <w:t xml:space="preserve">Iron Overload in Beta </w:t>
      </w:r>
      <w:proofErr w:type="spellStart"/>
      <w:r w:rsidRPr="00644DBC">
        <w:rPr>
          <w:rFonts w:ascii="Times New Roman" w:hAnsi="Times New Roman" w:cs="Times New Roman"/>
          <w:bCs/>
          <w:sz w:val="20"/>
          <w:szCs w:val="20"/>
        </w:rPr>
        <w:t>Thalassaemia</w:t>
      </w:r>
      <w:proofErr w:type="spellEnd"/>
      <w:r w:rsidRPr="00644DBC">
        <w:rPr>
          <w:rFonts w:ascii="Times New Roman" w:hAnsi="Times New Roman" w:cs="Times New Roman"/>
          <w:bCs/>
          <w:sz w:val="20"/>
          <w:szCs w:val="20"/>
        </w:rPr>
        <w:t xml:space="preserve"> Major and </w:t>
      </w:r>
      <w:proofErr w:type="spellStart"/>
      <w:r w:rsidRPr="00644DBC">
        <w:rPr>
          <w:rFonts w:ascii="Times New Roman" w:hAnsi="Times New Roman" w:cs="Times New Roman"/>
          <w:bCs/>
          <w:sz w:val="20"/>
          <w:szCs w:val="20"/>
        </w:rPr>
        <w:t>Intermedia</w:t>
      </w:r>
      <w:proofErr w:type="spellEnd"/>
      <w:r w:rsidRPr="00644DBC">
        <w:rPr>
          <w:rFonts w:ascii="Times New Roman" w:hAnsi="Times New Roman" w:cs="Times New Roman"/>
          <w:bCs/>
          <w:sz w:val="20"/>
          <w:szCs w:val="20"/>
        </w:rPr>
        <w:t xml:space="preserve"> Patients” it was shown that </w:t>
      </w:r>
      <w:r w:rsidRPr="00644DBC">
        <w:rPr>
          <w:rFonts w:ascii="Times New Roman" w:hAnsi="Times New Roman" w:cs="Times New Roman"/>
          <w:iCs/>
          <w:sz w:val="20"/>
          <w:szCs w:val="20"/>
        </w:rPr>
        <w:t xml:space="preserve">the  mean serum </w:t>
      </w:r>
      <w:proofErr w:type="spellStart"/>
      <w:r w:rsidRPr="00644DBC">
        <w:rPr>
          <w:rFonts w:ascii="Times New Roman" w:hAnsi="Times New Roman" w:cs="Times New Roman"/>
          <w:iCs/>
          <w:sz w:val="20"/>
          <w:szCs w:val="20"/>
        </w:rPr>
        <w:t>ferritin</w:t>
      </w:r>
      <w:proofErr w:type="spellEnd"/>
      <w:r w:rsidRPr="00644DBC">
        <w:rPr>
          <w:rFonts w:ascii="Times New Roman" w:hAnsi="Times New Roman" w:cs="Times New Roman"/>
          <w:iCs/>
          <w:sz w:val="20"/>
          <w:szCs w:val="20"/>
        </w:rPr>
        <w:t xml:space="preserve"> level was  2767.52 </w:t>
      </w:r>
      <w:r w:rsidRPr="00644DBC">
        <w:rPr>
          <w:rFonts w:ascii="Times New Roman" w:hAnsi="Times New Roman" w:cs="Times New Roman"/>
          <w:sz w:val="20"/>
          <w:szCs w:val="20"/>
        </w:rPr>
        <w:t xml:space="preserve">± 1849.1 </w:t>
      </w:r>
      <w:proofErr w:type="spellStart"/>
      <w:r w:rsidRPr="00644DBC">
        <w:rPr>
          <w:rFonts w:ascii="Times New Roman" w:hAnsi="Times New Roman" w:cs="Times New Roman"/>
          <w:sz w:val="20"/>
          <w:szCs w:val="20"/>
        </w:rPr>
        <w:t>ng</w:t>
      </w:r>
      <w:proofErr w:type="spellEnd"/>
      <w:r w:rsidRPr="00644DBC">
        <w:rPr>
          <w:rFonts w:ascii="Times New Roman" w:hAnsi="Times New Roman" w:cs="Times New Roman"/>
          <w:sz w:val="20"/>
          <w:szCs w:val="20"/>
        </w:rPr>
        <w:t>/ml  which is  quite higher than normal .</w:t>
      </w:r>
    </w:p>
    <w:p w:rsidR="001224D9" w:rsidRDefault="008465DD" w:rsidP="001224D9">
      <w:pPr>
        <w:spacing w:line="240" w:lineRule="auto"/>
        <w:jc w:val="both"/>
        <w:rPr>
          <w:rFonts w:ascii="Times New Roman" w:eastAsia="Times New Roman" w:hAnsi="Times New Roman" w:cs="Times New Roman"/>
          <w:sz w:val="20"/>
          <w:szCs w:val="20"/>
        </w:rPr>
      </w:pPr>
      <w:r w:rsidRPr="00644DBC">
        <w:rPr>
          <w:rFonts w:ascii="Times New Roman" w:eastAsia="Times New Roman" w:hAnsi="Times New Roman" w:cs="Times New Roman"/>
          <w:bCs/>
          <w:sz w:val="20"/>
          <w:szCs w:val="20"/>
        </w:rPr>
        <w:t xml:space="preserve">Another study by </w:t>
      </w:r>
      <w:r w:rsidRPr="00644DBC">
        <w:rPr>
          <w:rFonts w:ascii="Times New Roman" w:eastAsia="Times New Roman" w:hAnsi="Times New Roman" w:cs="Times New Roman"/>
          <w:sz w:val="20"/>
          <w:szCs w:val="20"/>
        </w:rPr>
        <w:t xml:space="preserve">Mohammed Saied </w:t>
      </w:r>
      <w:proofErr w:type="spellStart"/>
      <w:r w:rsidRPr="00644DBC">
        <w:rPr>
          <w:rFonts w:ascii="Times New Roman" w:eastAsia="Times New Roman" w:hAnsi="Times New Roman" w:cs="Times New Roman"/>
          <w:sz w:val="20"/>
          <w:szCs w:val="20"/>
        </w:rPr>
        <w:t>Abdulzahra</w:t>
      </w:r>
      <w:proofErr w:type="spellEnd"/>
      <w:r w:rsidRPr="00644DBC">
        <w:rPr>
          <w:rFonts w:ascii="Times New Roman" w:eastAsia="Times New Roman" w:hAnsi="Times New Roman" w:cs="Times New Roman"/>
          <w:sz w:val="20"/>
          <w:szCs w:val="20"/>
          <w:vertAlign w:val="superscript"/>
        </w:rPr>
        <w:t xml:space="preserve"> </w:t>
      </w:r>
      <w:r w:rsidRPr="00644DBC">
        <w:rPr>
          <w:rFonts w:ascii="Times New Roman" w:eastAsia="Times New Roman" w:hAnsi="Times New Roman" w:cs="Times New Roman"/>
          <w:sz w:val="20"/>
          <w:szCs w:val="20"/>
        </w:rPr>
        <w:t xml:space="preserve">et al (2009) </w:t>
      </w:r>
      <w:r w:rsidRPr="00644DBC">
        <w:rPr>
          <w:rFonts w:ascii="Times New Roman" w:eastAsia="Times New Roman" w:hAnsi="Times New Roman" w:cs="Times New Roman"/>
          <w:bCs/>
          <w:sz w:val="20"/>
          <w:szCs w:val="20"/>
        </w:rPr>
        <w:t xml:space="preserve">“on Study of the effect of iron overload on the function of endocrine glands in male </w:t>
      </w:r>
      <w:proofErr w:type="spellStart"/>
      <w:r w:rsidRPr="00644DBC">
        <w:rPr>
          <w:rFonts w:ascii="Times New Roman" w:eastAsia="Times New Roman" w:hAnsi="Times New Roman" w:cs="Times New Roman"/>
          <w:bCs/>
          <w:sz w:val="20"/>
          <w:szCs w:val="20"/>
        </w:rPr>
        <w:t>thalassemia</w:t>
      </w:r>
      <w:proofErr w:type="spellEnd"/>
      <w:r w:rsidRPr="00644DBC">
        <w:rPr>
          <w:rFonts w:ascii="Times New Roman" w:eastAsia="Times New Roman" w:hAnsi="Times New Roman" w:cs="Times New Roman"/>
          <w:bCs/>
          <w:sz w:val="20"/>
          <w:szCs w:val="20"/>
        </w:rPr>
        <w:t xml:space="preserve"> patients” it was shown </w:t>
      </w:r>
      <w:proofErr w:type="gramStart"/>
      <w:r w:rsidRPr="00644DBC">
        <w:rPr>
          <w:rFonts w:ascii="Times New Roman" w:eastAsia="Times New Roman" w:hAnsi="Times New Roman" w:cs="Times New Roman"/>
          <w:bCs/>
          <w:sz w:val="20"/>
          <w:szCs w:val="20"/>
        </w:rPr>
        <w:t xml:space="preserve">that </w:t>
      </w:r>
      <w:r w:rsidRPr="00644DBC">
        <w:rPr>
          <w:rFonts w:ascii="Times New Roman" w:eastAsia="Times New Roman" w:hAnsi="Times New Roman" w:cs="Times New Roman"/>
          <w:sz w:val="20"/>
          <w:szCs w:val="20"/>
        </w:rPr>
        <w:t xml:space="preserve"> the</w:t>
      </w:r>
      <w:proofErr w:type="gramEnd"/>
      <w:r w:rsidRPr="00644DBC">
        <w:rPr>
          <w:rFonts w:ascii="Times New Roman" w:eastAsia="Times New Roman" w:hAnsi="Times New Roman" w:cs="Times New Roman"/>
          <w:sz w:val="20"/>
          <w:szCs w:val="20"/>
        </w:rPr>
        <w:t xml:space="preserve"> mean concentration of serum </w:t>
      </w:r>
      <w:proofErr w:type="spellStart"/>
      <w:r w:rsidRPr="00644DBC">
        <w:rPr>
          <w:rFonts w:ascii="Times New Roman" w:eastAsia="Times New Roman" w:hAnsi="Times New Roman" w:cs="Times New Roman"/>
          <w:sz w:val="20"/>
          <w:szCs w:val="20"/>
        </w:rPr>
        <w:t>ferritin</w:t>
      </w:r>
      <w:proofErr w:type="spellEnd"/>
      <w:r w:rsidRPr="00644DBC">
        <w:rPr>
          <w:rFonts w:ascii="Times New Roman" w:eastAsia="Times New Roman" w:hAnsi="Times New Roman" w:cs="Times New Roman"/>
          <w:sz w:val="20"/>
          <w:szCs w:val="20"/>
        </w:rPr>
        <w:t xml:space="preserve"> was more than eight times higher than normal.</w:t>
      </w:r>
    </w:p>
    <w:p w:rsidR="001B5C8E" w:rsidRPr="001224D9" w:rsidRDefault="008465DD" w:rsidP="001224D9">
      <w:pPr>
        <w:spacing w:line="240" w:lineRule="auto"/>
        <w:jc w:val="both"/>
        <w:rPr>
          <w:rFonts w:ascii="Times New Roman" w:eastAsia="Times New Roman" w:hAnsi="Times New Roman" w:cs="Times New Roman"/>
          <w:sz w:val="20"/>
          <w:szCs w:val="20"/>
        </w:rPr>
      </w:pPr>
      <w:proofErr w:type="spellStart"/>
      <w:r w:rsidRPr="00644DBC">
        <w:rPr>
          <w:rFonts w:ascii="Times New Roman" w:eastAsia="Times New Roman" w:hAnsi="Times New Roman" w:cs="Times New Roman"/>
          <w:sz w:val="20"/>
          <w:szCs w:val="20"/>
        </w:rPr>
        <w:t>Claster</w:t>
      </w:r>
      <w:proofErr w:type="spellEnd"/>
      <w:r w:rsidRPr="00644DBC">
        <w:rPr>
          <w:rFonts w:ascii="Times New Roman" w:eastAsia="Times New Roman" w:hAnsi="Times New Roman" w:cs="Times New Roman"/>
          <w:sz w:val="20"/>
          <w:szCs w:val="20"/>
        </w:rPr>
        <w:t xml:space="preserve"> S et al (2009) in their study found that mean </w:t>
      </w:r>
      <w:proofErr w:type="spellStart"/>
      <w:r w:rsidRPr="00644DBC">
        <w:rPr>
          <w:rFonts w:ascii="Times New Roman" w:eastAsia="Times New Roman" w:hAnsi="Times New Roman" w:cs="Times New Roman"/>
          <w:sz w:val="20"/>
          <w:szCs w:val="20"/>
        </w:rPr>
        <w:t>ferritin</w:t>
      </w:r>
      <w:proofErr w:type="spellEnd"/>
      <w:r w:rsidRPr="00644DBC">
        <w:rPr>
          <w:rFonts w:ascii="Times New Roman" w:eastAsia="Times New Roman" w:hAnsi="Times New Roman" w:cs="Times New Roman"/>
          <w:sz w:val="20"/>
          <w:szCs w:val="20"/>
        </w:rPr>
        <w:t xml:space="preserve"> level in </w:t>
      </w:r>
      <w:proofErr w:type="spellStart"/>
      <w:r w:rsidRPr="00644DBC">
        <w:rPr>
          <w:rFonts w:ascii="Times New Roman" w:eastAsia="Times New Roman" w:hAnsi="Times New Roman" w:cs="Times New Roman"/>
          <w:sz w:val="20"/>
          <w:szCs w:val="20"/>
        </w:rPr>
        <w:t>thalassemia</w:t>
      </w:r>
      <w:proofErr w:type="spellEnd"/>
      <w:r w:rsidRPr="00644DBC">
        <w:rPr>
          <w:rFonts w:ascii="Times New Roman" w:eastAsia="Times New Roman" w:hAnsi="Times New Roman" w:cs="Times New Roman"/>
          <w:sz w:val="20"/>
          <w:szCs w:val="20"/>
        </w:rPr>
        <w:t xml:space="preserve"> and sickle cell disease patients were 3874 ± 4451 </w:t>
      </w:r>
      <w:proofErr w:type="spellStart"/>
      <w:r w:rsidRPr="00644DBC">
        <w:rPr>
          <w:rFonts w:ascii="Times New Roman" w:eastAsia="Times New Roman" w:hAnsi="Times New Roman" w:cs="Times New Roman"/>
          <w:sz w:val="20"/>
          <w:szCs w:val="20"/>
        </w:rPr>
        <w:t>ng</w:t>
      </w:r>
      <w:proofErr w:type="spellEnd"/>
      <w:r w:rsidRPr="00644DBC">
        <w:rPr>
          <w:rFonts w:ascii="Times New Roman" w:eastAsia="Times New Roman" w:hAnsi="Times New Roman" w:cs="Times New Roman"/>
          <w:sz w:val="20"/>
          <w:szCs w:val="20"/>
        </w:rPr>
        <w:t xml:space="preserve">/ml and 2089 ± 1920 </w:t>
      </w:r>
      <w:proofErr w:type="spellStart"/>
      <w:r w:rsidRPr="00644DBC">
        <w:rPr>
          <w:rFonts w:ascii="Times New Roman" w:eastAsia="Times New Roman" w:hAnsi="Times New Roman" w:cs="Times New Roman"/>
          <w:sz w:val="20"/>
          <w:szCs w:val="20"/>
        </w:rPr>
        <w:t>ng</w:t>
      </w:r>
      <w:proofErr w:type="spellEnd"/>
      <w:r w:rsidRPr="00644DBC">
        <w:rPr>
          <w:rFonts w:ascii="Times New Roman" w:eastAsia="Times New Roman" w:hAnsi="Times New Roman" w:cs="Times New Roman"/>
          <w:sz w:val="20"/>
          <w:szCs w:val="20"/>
        </w:rPr>
        <w:t>/ml respectively and it was found to be statistically significant in both the groups (p&lt;0.02)</w:t>
      </w:r>
      <w:r w:rsidR="001B5C8E" w:rsidRPr="00644DBC">
        <w:rPr>
          <w:rFonts w:ascii="Times New Roman" w:hAnsi="Times New Roman" w:cs="Times New Roman"/>
          <w:sz w:val="20"/>
          <w:szCs w:val="20"/>
        </w:rPr>
        <w:t xml:space="preserve"> </w:t>
      </w:r>
    </w:p>
    <w:p w:rsidR="001B5C8E" w:rsidRPr="001B5C8E" w:rsidRDefault="001B5C8E" w:rsidP="00644DBC">
      <w:pPr>
        <w:spacing w:after="120" w:line="240" w:lineRule="auto"/>
        <w:jc w:val="both"/>
        <w:rPr>
          <w:rFonts w:ascii="Times New Roman" w:hAnsi="Times New Roman" w:cs="Times New Roman"/>
          <w:b/>
          <w:sz w:val="26"/>
          <w:szCs w:val="24"/>
        </w:rPr>
      </w:pPr>
      <w:proofErr w:type="gramStart"/>
      <w:r w:rsidRPr="007542ED">
        <w:rPr>
          <w:rFonts w:ascii="Times New Roman" w:hAnsi="Times New Roman" w:cs="Times New Roman"/>
          <w:b/>
          <w:sz w:val="28"/>
          <w:szCs w:val="28"/>
        </w:rPr>
        <w:t xml:space="preserve">CONCLUSION </w:t>
      </w:r>
      <w:r w:rsidRPr="001B5C8E">
        <w:rPr>
          <w:rFonts w:ascii="Times New Roman" w:hAnsi="Times New Roman" w:cs="Times New Roman"/>
          <w:b/>
          <w:sz w:val="26"/>
          <w:szCs w:val="24"/>
        </w:rPr>
        <w:t>:</w:t>
      </w:r>
      <w:proofErr w:type="gramEnd"/>
    </w:p>
    <w:p w:rsidR="001B5C8E" w:rsidRPr="00644DBC" w:rsidRDefault="001B5C8E" w:rsidP="00644DBC">
      <w:pPr>
        <w:spacing w:after="120" w:line="240" w:lineRule="auto"/>
        <w:jc w:val="both"/>
        <w:rPr>
          <w:rFonts w:ascii="Times New Roman" w:hAnsi="Times New Roman" w:cs="Times New Roman"/>
          <w:sz w:val="20"/>
          <w:szCs w:val="20"/>
        </w:rPr>
      </w:pPr>
      <w:r w:rsidRPr="00644DBC">
        <w:rPr>
          <w:rFonts w:ascii="Times New Roman" w:hAnsi="Times New Roman" w:cs="Times New Roman"/>
          <w:sz w:val="20"/>
          <w:szCs w:val="20"/>
        </w:rPr>
        <w:t xml:space="preserve">From the present study, it was observed that serum </w:t>
      </w:r>
      <w:proofErr w:type="spellStart"/>
      <w:r w:rsidRPr="00644DBC">
        <w:rPr>
          <w:rFonts w:ascii="Times New Roman" w:hAnsi="Times New Roman" w:cs="Times New Roman"/>
          <w:sz w:val="20"/>
          <w:szCs w:val="20"/>
        </w:rPr>
        <w:t>ferritin</w:t>
      </w:r>
      <w:proofErr w:type="spellEnd"/>
      <w:r w:rsidRPr="00644DBC">
        <w:rPr>
          <w:rFonts w:ascii="Times New Roman" w:hAnsi="Times New Roman" w:cs="Times New Roman"/>
          <w:sz w:val="20"/>
          <w:szCs w:val="20"/>
        </w:rPr>
        <w:t xml:space="preserve"> was</w:t>
      </w:r>
      <w:r w:rsidR="00E55ACE" w:rsidRPr="00644DBC">
        <w:rPr>
          <w:rFonts w:ascii="Times New Roman" w:hAnsi="Times New Roman" w:cs="Times New Roman"/>
          <w:sz w:val="20"/>
          <w:szCs w:val="20"/>
        </w:rPr>
        <w:t xml:space="preserve"> </w:t>
      </w:r>
      <w:r w:rsidRPr="00644DBC">
        <w:rPr>
          <w:rFonts w:ascii="Times New Roman" w:hAnsi="Times New Roman" w:cs="Times New Roman"/>
          <w:sz w:val="20"/>
          <w:szCs w:val="20"/>
        </w:rPr>
        <w:t xml:space="preserve">significantly elevated in patients with </w:t>
      </w:r>
      <w:proofErr w:type="spellStart"/>
      <w:r w:rsidRPr="00644DBC">
        <w:rPr>
          <w:rFonts w:ascii="Times New Roman" w:hAnsi="Times New Roman" w:cs="Times New Roman"/>
          <w:sz w:val="20"/>
          <w:szCs w:val="20"/>
        </w:rPr>
        <w:t>haemoglobinopathies</w:t>
      </w:r>
      <w:proofErr w:type="spellEnd"/>
      <w:r w:rsidRPr="00644DBC">
        <w:rPr>
          <w:rFonts w:ascii="Times New Roman" w:hAnsi="Times New Roman" w:cs="Times New Roman"/>
          <w:sz w:val="20"/>
          <w:szCs w:val="20"/>
        </w:rPr>
        <w:t xml:space="preserve"> as compared to normal reference interval, however serum zinc was significantly decreased as compared to normal reference </w:t>
      </w:r>
      <w:proofErr w:type="gramStart"/>
      <w:r w:rsidRPr="00644DBC">
        <w:rPr>
          <w:rFonts w:ascii="Times New Roman" w:hAnsi="Times New Roman" w:cs="Times New Roman"/>
          <w:sz w:val="20"/>
          <w:szCs w:val="20"/>
        </w:rPr>
        <w:t>interval .</w:t>
      </w:r>
      <w:proofErr w:type="gramEnd"/>
      <w:r w:rsidRPr="00644DBC">
        <w:rPr>
          <w:rFonts w:ascii="Times New Roman" w:hAnsi="Times New Roman" w:cs="Times New Roman"/>
          <w:sz w:val="20"/>
          <w:szCs w:val="20"/>
        </w:rPr>
        <w:t xml:space="preserve"> Moreover , there was definite statistically negative correlation of serum </w:t>
      </w:r>
      <w:proofErr w:type="spellStart"/>
      <w:r w:rsidRPr="00644DBC">
        <w:rPr>
          <w:rFonts w:ascii="Times New Roman" w:hAnsi="Times New Roman" w:cs="Times New Roman"/>
          <w:sz w:val="20"/>
          <w:szCs w:val="20"/>
        </w:rPr>
        <w:t>ferritin</w:t>
      </w:r>
      <w:proofErr w:type="spellEnd"/>
      <w:r w:rsidRPr="00644DBC">
        <w:rPr>
          <w:rFonts w:ascii="Times New Roman" w:hAnsi="Times New Roman" w:cs="Times New Roman"/>
          <w:sz w:val="20"/>
          <w:szCs w:val="20"/>
        </w:rPr>
        <w:t xml:space="preserve"> to serum zinc .To conclude, measurement </w:t>
      </w:r>
      <w:r w:rsidR="00D918FA">
        <w:rPr>
          <w:rFonts w:ascii="Times New Roman" w:hAnsi="Times New Roman" w:cs="Times New Roman"/>
          <w:sz w:val="20"/>
          <w:szCs w:val="20"/>
        </w:rPr>
        <w:t>of</w:t>
      </w:r>
      <w:r w:rsidRPr="00644DBC">
        <w:rPr>
          <w:rFonts w:ascii="Times New Roman" w:hAnsi="Times New Roman" w:cs="Times New Roman"/>
          <w:sz w:val="20"/>
          <w:szCs w:val="20"/>
        </w:rPr>
        <w:t xml:space="preserve"> zinc , </w:t>
      </w:r>
      <w:proofErr w:type="spellStart"/>
      <w:r w:rsidR="00D918FA">
        <w:rPr>
          <w:rFonts w:ascii="Times New Roman" w:hAnsi="Times New Roman" w:cs="Times New Roman"/>
          <w:sz w:val="20"/>
          <w:szCs w:val="20"/>
        </w:rPr>
        <w:t>ferritin</w:t>
      </w:r>
      <w:proofErr w:type="spellEnd"/>
      <w:r w:rsidRPr="00644DBC">
        <w:rPr>
          <w:rFonts w:ascii="Times New Roman" w:hAnsi="Times New Roman" w:cs="Times New Roman"/>
          <w:sz w:val="20"/>
          <w:szCs w:val="20"/>
        </w:rPr>
        <w:t xml:space="preserve"> in  patients with </w:t>
      </w:r>
      <w:proofErr w:type="spellStart"/>
      <w:r w:rsidRPr="00644DBC">
        <w:rPr>
          <w:rFonts w:ascii="Times New Roman" w:hAnsi="Times New Roman" w:cs="Times New Roman"/>
          <w:sz w:val="20"/>
          <w:szCs w:val="20"/>
        </w:rPr>
        <w:t>haemoglobinopathies</w:t>
      </w:r>
      <w:proofErr w:type="spellEnd"/>
      <w:r w:rsidRPr="00644DBC">
        <w:rPr>
          <w:rFonts w:ascii="Times New Roman" w:hAnsi="Times New Roman" w:cs="Times New Roman"/>
          <w:sz w:val="20"/>
          <w:szCs w:val="20"/>
        </w:rPr>
        <w:t xml:space="preserve"> and </w:t>
      </w:r>
      <w:r w:rsidR="007542ED" w:rsidRPr="00644DBC">
        <w:rPr>
          <w:rFonts w:ascii="Times New Roman" w:hAnsi="Times New Roman" w:cs="Times New Roman"/>
          <w:sz w:val="20"/>
          <w:szCs w:val="20"/>
        </w:rPr>
        <w:t xml:space="preserve"> replenishment of trace element</w:t>
      </w:r>
      <w:r w:rsidRPr="00644DBC">
        <w:rPr>
          <w:rFonts w:ascii="Times New Roman" w:hAnsi="Times New Roman" w:cs="Times New Roman"/>
          <w:sz w:val="20"/>
          <w:szCs w:val="20"/>
        </w:rPr>
        <w:t xml:space="preserve"> in deficient states, by means of oral supplementation  and removal of excess iron by </w:t>
      </w:r>
      <w:proofErr w:type="spellStart"/>
      <w:r w:rsidRPr="00644DBC">
        <w:rPr>
          <w:rFonts w:ascii="Times New Roman" w:hAnsi="Times New Roman" w:cs="Times New Roman"/>
          <w:sz w:val="20"/>
          <w:szCs w:val="20"/>
        </w:rPr>
        <w:t>chelation</w:t>
      </w:r>
      <w:proofErr w:type="spellEnd"/>
      <w:r w:rsidRPr="00644DBC">
        <w:rPr>
          <w:rFonts w:ascii="Times New Roman" w:hAnsi="Times New Roman" w:cs="Times New Roman"/>
          <w:sz w:val="20"/>
          <w:szCs w:val="20"/>
        </w:rPr>
        <w:t xml:space="preserve"> therapy could be a possible deterrent to the progression of disease .</w:t>
      </w:r>
      <w:r w:rsidRPr="00644DBC">
        <w:rPr>
          <w:rFonts w:ascii="Times New Roman" w:hAnsi="Times New Roman" w:cs="Times New Roman"/>
          <w:b/>
          <w:bCs/>
          <w:sz w:val="20"/>
          <w:szCs w:val="20"/>
        </w:rPr>
        <w:t xml:space="preserve"> </w:t>
      </w:r>
      <w:r w:rsidRPr="00644DBC">
        <w:rPr>
          <w:rFonts w:ascii="Times New Roman" w:eastAsia="Times New Roman" w:hAnsi="Times New Roman" w:cs="Times New Roman"/>
          <w:sz w:val="20"/>
          <w:szCs w:val="20"/>
        </w:rPr>
        <w:t xml:space="preserve">Regardless of the underlying etiology, these results suggest that all patients with </w:t>
      </w:r>
      <w:proofErr w:type="spellStart"/>
      <w:r w:rsidRPr="00644DBC">
        <w:rPr>
          <w:rFonts w:ascii="Times New Roman" w:eastAsia="Times New Roman" w:hAnsi="Times New Roman" w:cs="Times New Roman"/>
          <w:sz w:val="20"/>
          <w:szCs w:val="20"/>
        </w:rPr>
        <w:t>thalassemia</w:t>
      </w:r>
      <w:proofErr w:type="spellEnd"/>
      <w:r w:rsidRPr="00644DBC">
        <w:rPr>
          <w:rFonts w:ascii="Times New Roman" w:eastAsia="Times New Roman" w:hAnsi="Times New Roman" w:cs="Times New Roman"/>
          <w:sz w:val="20"/>
          <w:szCs w:val="20"/>
        </w:rPr>
        <w:t xml:space="preserve"> major and sickle cell disease who are repeatedly transfused should have periodic nutritional evaluation and supplementation as necessary.</w:t>
      </w:r>
    </w:p>
    <w:p w:rsidR="00D04CBB" w:rsidRPr="00644DBC" w:rsidRDefault="007542ED" w:rsidP="00D918FA">
      <w:pPr>
        <w:widowControl w:val="0"/>
        <w:spacing w:after="120" w:line="240" w:lineRule="auto"/>
        <w:jc w:val="both"/>
        <w:rPr>
          <w:rFonts w:ascii="Times New Roman" w:hAnsi="Times New Roman"/>
          <w:sz w:val="20"/>
          <w:szCs w:val="20"/>
        </w:rPr>
      </w:pPr>
      <w:r w:rsidRPr="00644DBC">
        <w:rPr>
          <w:rFonts w:ascii="Times New Roman" w:eastAsia="Times New Roman" w:hAnsi="Times New Roman" w:cs="Times New Roman"/>
          <w:sz w:val="20"/>
          <w:szCs w:val="20"/>
        </w:rPr>
        <w:t xml:space="preserve">However, </w:t>
      </w:r>
      <w:r w:rsidR="00D04CBB" w:rsidRPr="00644DBC">
        <w:rPr>
          <w:rFonts w:ascii="Times New Roman" w:hAnsi="Times New Roman"/>
          <w:sz w:val="20"/>
          <w:szCs w:val="20"/>
        </w:rPr>
        <w:t xml:space="preserve">as we are constrained by the limitation of time and relatively smaller sample size, it would probably be more predictive with larger sample size and longer period of study to explore more deep into this area for better management of the patients indisposed with </w:t>
      </w:r>
      <w:proofErr w:type="spellStart"/>
      <w:proofErr w:type="gramStart"/>
      <w:r w:rsidR="00D04CBB" w:rsidRPr="00644DBC">
        <w:rPr>
          <w:rFonts w:ascii="Times New Roman" w:hAnsi="Times New Roman"/>
          <w:sz w:val="20"/>
          <w:szCs w:val="20"/>
        </w:rPr>
        <w:t>haemoglobinopathies</w:t>
      </w:r>
      <w:proofErr w:type="spellEnd"/>
      <w:r w:rsidR="00D04CBB" w:rsidRPr="00644DBC">
        <w:rPr>
          <w:rFonts w:ascii="Times New Roman" w:hAnsi="Times New Roman"/>
          <w:sz w:val="20"/>
          <w:szCs w:val="20"/>
        </w:rPr>
        <w:t xml:space="preserve"> .</w:t>
      </w:r>
      <w:proofErr w:type="gramEnd"/>
    </w:p>
    <w:p w:rsidR="005174E3" w:rsidRPr="00D918FA" w:rsidRDefault="005174E3" w:rsidP="00D918FA">
      <w:pPr>
        <w:widowControl w:val="0"/>
        <w:spacing w:after="120" w:line="240" w:lineRule="auto"/>
        <w:jc w:val="both"/>
        <w:rPr>
          <w:rFonts w:ascii="Times New Roman" w:hAnsi="Times New Roman" w:cs="Times New Roman"/>
          <w:sz w:val="24"/>
        </w:rPr>
      </w:pPr>
      <w:proofErr w:type="gramStart"/>
      <w:r w:rsidRPr="00D918FA">
        <w:rPr>
          <w:rFonts w:ascii="Times New Roman" w:hAnsi="Times New Roman" w:cs="Times New Roman"/>
          <w:b/>
          <w:sz w:val="20"/>
          <w:szCs w:val="20"/>
        </w:rPr>
        <w:lastRenderedPageBreak/>
        <w:t xml:space="preserve">Acknowledgements </w:t>
      </w:r>
      <w:r w:rsidRPr="00D918FA">
        <w:rPr>
          <w:rFonts w:ascii="Times New Roman" w:hAnsi="Times New Roman" w:cs="Times New Roman"/>
          <w:sz w:val="24"/>
        </w:rPr>
        <w:t>:</w:t>
      </w:r>
      <w:proofErr w:type="gramEnd"/>
      <w:r w:rsidRPr="00D918FA">
        <w:rPr>
          <w:rFonts w:ascii="Times New Roman" w:hAnsi="Times New Roman" w:cs="Times New Roman"/>
          <w:sz w:val="24"/>
        </w:rPr>
        <w:t xml:space="preserve"> </w:t>
      </w:r>
      <w:r w:rsidR="003A0CA0">
        <w:rPr>
          <w:rFonts w:ascii="Times New Roman" w:hAnsi="Times New Roman" w:cs="Times New Roman"/>
          <w:sz w:val="24"/>
        </w:rPr>
        <w:t>G</w:t>
      </w:r>
      <w:r w:rsidR="002606C8" w:rsidRPr="00D918FA">
        <w:rPr>
          <w:rFonts w:ascii="Times New Roman" w:hAnsi="Times New Roman" w:cs="Times New Roman"/>
          <w:sz w:val="24"/>
        </w:rPr>
        <w:t xml:space="preserve">rateful acknowledgement to </w:t>
      </w:r>
      <w:proofErr w:type="spellStart"/>
      <w:r w:rsidR="002606C8" w:rsidRPr="00D918FA">
        <w:rPr>
          <w:rFonts w:ascii="Times New Roman" w:hAnsi="Times New Roman" w:cs="Times New Roman"/>
          <w:sz w:val="24"/>
        </w:rPr>
        <w:t>paediatric</w:t>
      </w:r>
      <w:proofErr w:type="spellEnd"/>
      <w:r w:rsidR="002606C8" w:rsidRPr="00D918FA">
        <w:rPr>
          <w:rFonts w:ascii="Times New Roman" w:hAnsi="Times New Roman" w:cs="Times New Roman"/>
          <w:sz w:val="24"/>
        </w:rPr>
        <w:t xml:space="preserve"> patients and guardians for their co-operation in carrying out the study .</w:t>
      </w:r>
    </w:p>
    <w:p w:rsidR="005174E3" w:rsidRPr="00D918FA" w:rsidRDefault="005174E3" w:rsidP="00D918FA">
      <w:pPr>
        <w:widowControl w:val="0"/>
        <w:spacing w:after="120" w:line="240" w:lineRule="auto"/>
        <w:jc w:val="both"/>
        <w:rPr>
          <w:rFonts w:ascii="Times New Roman" w:hAnsi="Times New Roman" w:cs="Times New Roman"/>
          <w:sz w:val="24"/>
        </w:rPr>
      </w:pPr>
      <w:r w:rsidRPr="00D918FA">
        <w:rPr>
          <w:rFonts w:ascii="Times New Roman" w:hAnsi="Times New Roman" w:cs="Times New Roman"/>
          <w:b/>
          <w:sz w:val="20"/>
          <w:szCs w:val="20"/>
        </w:rPr>
        <w:t xml:space="preserve">Conflict of </w:t>
      </w:r>
      <w:proofErr w:type="gramStart"/>
      <w:r w:rsidRPr="00D918FA">
        <w:rPr>
          <w:rFonts w:ascii="Times New Roman" w:hAnsi="Times New Roman" w:cs="Times New Roman"/>
          <w:b/>
          <w:sz w:val="20"/>
          <w:szCs w:val="20"/>
        </w:rPr>
        <w:t>interest</w:t>
      </w:r>
      <w:r w:rsidRPr="00D918FA">
        <w:rPr>
          <w:rFonts w:ascii="Times New Roman" w:hAnsi="Times New Roman" w:cs="Times New Roman"/>
          <w:sz w:val="24"/>
        </w:rPr>
        <w:t xml:space="preserve"> :</w:t>
      </w:r>
      <w:proofErr w:type="gramEnd"/>
      <w:r w:rsidRPr="00D918FA">
        <w:rPr>
          <w:rFonts w:ascii="Times New Roman" w:hAnsi="Times New Roman" w:cs="Times New Roman"/>
          <w:sz w:val="24"/>
        </w:rPr>
        <w:t xml:space="preserve"> </w:t>
      </w:r>
      <w:r w:rsidR="003A0CA0">
        <w:rPr>
          <w:rFonts w:ascii="Times New Roman" w:hAnsi="Times New Roman" w:cs="Times New Roman"/>
          <w:sz w:val="20"/>
          <w:szCs w:val="20"/>
        </w:rPr>
        <w:t>N</w:t>
      </w:r>
      <w:r w:rsidRPr="00D918FA">
        <w:rPr>
          <w:rFonts w:ascii="Times New Roman" w:hAnsi="Times New Roman" w:cs="Times New Roman"/>
          <w:sz w:val="20"/>
          <w:szCs w:val="20"/>
        </w:rPr>
        <w:t>o</w:t>
      </w:r>
      <w:r w:rsidR="003B1F47" w:rsidRPr="00D918FA">
        <w:rPr>
          <w:rFonts w:ascii="Times New Roman" w:hAnsi="Times New Roman" w:cs="Times New Roman"/>
          <w:sz w:val="20"/>
          <w:szCs w:val="20"/>
        </w:rPr>
        <w:t xml:space="preserve"> conf</w:t>
      </w:r>
      <w:r w:rsidR="00644DBC" w:rsidRPr="00D918FA">
        <w:rPr>
          <w:rFonts w:ascii="Times New Roman" w:hAnsi="Times New Roman" w:cs="Times New Roman"/>
          <w:sz w:val="20"/>
          <w:szCs w:val="20"/>
        </w:rPr>
        <w:t xml:space="preserve">lict of interest associated with this work </w:t>
      </w:r>
    </w:p>
    <w:p w:rsidR="005174E3" w:rsidRPr="00D918FA" w:rsidRDefault="005174E3" w:rsidP="00D918FA">
      <w:pPr>
        <w:widowControl w:val="0"/>
        <w:tabs>
          <w:tab w:val="center" w:pos="5040"/>
        </w:tabs>
        <w:spacing w:after="120" w:line="240" w:lineRule="auto"/>
        <w:jc w:val="both"/>
        <w:rPr>
          <w:rFonts w:ascii="Times New Roman" w:hAnsi="Times New Roman" w:cs="Times New Roman"/>
          <w:sz w:val="24"/>
        </w:rPr>
      </w:pPr>
      <w:r w:rsidRPr="00D918FA">
        <w:rPr>
          <w:rFonts w:ascii="Times New Roman" w:hAnsi="Times New Roman" w:cs="Times New Roman"/>
          <w:b/>
          <w:sz w:val="20"/>
          <w:szCs w:val="20"/>
        </w:rPr>
        <w:t xml:space="preserve">Ethical </w:t>
      </w:r>
      <w:proofErr w:type="gramStart"/>
      <w:r w:rsidRPr="00D918FA">
        <w:rPr>
          <w:rFonts w:ascii="Times New Roman" w:hAnsi="Times New Roman" w:cs="Times New Roman"/>
          <w:b/>
          <w:sz w:val="20"/>
          <w:szCs w:val="20"/>
        </w:rPr>
        <w:t>clearance</w:t>
      </w:r>
      <w:r w:rsidRPr="00D918FA">
        <w:rPr>
          <w:rFonts w:ascii="Times New Roman" w:hAnsi="Times New Roman" w:cs="Times New Roman"/>
          <w:b/>
          <w:sz w:val="28"/>
          <w:szCs w:val="28"/>
        </w:rPr>
        <w:t xml:space="preserve"> </w:t>
      </w:r>
      <w:r w:rsidRPr="00D918FA">
        <w:rPr>
          <w:rFonts w:ascii="Times New Roman" w:hAnsi="Times New Roman" w:cs="Times New Roman"/>
          <w:sz w:val="24"/>
        </w:rPr>
        <w:t>:</w:t>
      </w:r>
      <w:proofErr w:type="gramEnd"/>
      <w:r w:rsidRPr="00D918FA">
        <w:rPr>
          <w:rFonts w:ascii="Times New Roman" w:hAnsi="Times New Roman" w:cs="Times New Roman"/>
          <w:sz w:val="24"/>
        </w:rPr>
        <w:t xml:space="preserve"> </w:t>
      </w:r>
      <w:r w:rsidR="003A0CA0">
        <w:rPr>
          <w:rFonts w:ascii="Times New Roman" w:hAnsi="Times New Roman" w:cs="Times New Roman"/>
          <w:sz w:val="20"/>
          <w:szCs w:val="20"/>
        </w:rPr>
        <w:t>T</w:t>
      </w:r>
      <w:r w:rsidRPr="00D918FA">
        <w:rPr>
          <w:rFonts w:ascii="Times New Roman" w:hAnsi="Times New Roman" w:cs="Times New Roman"/>
          <w:sz w:val="20"/>
          <w:szCs w:val="20"/>
        </w:rPr>
        <w:t>aken</w:t>
      </w:r>
    </w:p>
    <w:p w:rsidR="005174E3" w:rsidRPr="00D918FA" w:rsidRDefault="005174E3" w:rsidP="00D918FA">
      <w:pPr>
        <w:widowControl w:val="0"/>
        <w:spacing w:after="120" w:line="240" w:lineRule="auto"/>
        <w:jc w:val="both"/>
        <w:rPr>
          <w:rFonts w:ascii="Times New Roman" w:hAnsi="Times New Roman" w:cs="Times New Roman"/>
          <w:sz w:val="24"/>
        </w:rPr>
      </w:pPr>
      <w:r w:rsidRPr="00D918FA">
        <w:rPr>
          <w:rFonts w:ascii="Times New Roman" w:hAnsi="Times New Roman" w:cs="Times New Roman"/>
          <w:b/>
          <w:sz w:val="20"/>
          <w:szCs w:val="20"/>
        </w:rPr>
        <w:t xml:space="preserve">Source of </w:t>
      </w:r>
      <w:proofErr w:type="gramStart"/>
      <w:r w:rsidRPr="00D918FA">
        <w:rPr>
          <w:rFonts w:ascii="Times New Roman" w:hAnsi="Times New Roman" w:cs="Times New Roman"/>
          <w:b/>
          <w:sz w:val="20"/>
          <w:szCs w:val="20"/>
        </w:rPr>
        <w:t>funding</w:t>
      </w:r>
      <w:r w:rsidRPr="00D918FA">
        <w:rPr>
          <w:rFonts w:ascii="Times New Roman" w:hAnsi="Times New Roman" w:cs="Times New Roman"/>
          <w:sz w:val="24"/>
        </w:rPr>
        <w:t xml:space="preserve"> :</w:t>
      </w:r>
      <w:proofErr w:type="gramEnd"/>
      <w:r w:rsidRPr="00D918FA">
        <w:rPr>
          <w:rFonts w:ascii="Times New Roman" w:hAnsi="Times New Roman" w:cs="Times New Roman"/>
          <w:sz w:val="24"/>
        </w:rPr>
        <w:t xml:space="preserve"> </w:t>
      </w:r>
      <w:r w:rsidR="003A0CA0">
        <w:rPr>
          <w:rFonts w:ascii="Times New Roman" w:hAnsi="Times New Roman" w:cs="Times New Roman"/>
          <w:sz w:val="20"/>
          <w:szCs w:val="20"/>
        </w:rPr>
        <w:t>N</w:t>
      </w:r>
      <w:r w:rsidR="003B1F47" w:rsidRPr="00D918FA">
        <w:rPr>
          <w:rFonts w:ascii="Times New Roman" w:hAnsi="Times New Roman" w:cs="Times New Roman"/>
          <w:sz w:val="20"/>
          <w:szCs w:val="20"/>
        </w:rPr>
        <w:t>il</w:t>
      </w:r>
    </w:p>
    <w:p w:rsidR="005174E3" w:rsidRPr="00D918FA" w:rsidRDefault="005174E3" w:rsidP="00D918FA">
      <w:pPr>
        <w:widowControl w:val="0"/>
        <w:spacing w:after="120" w:line="240" w:lineRule="auto"/>
        <w:jc w:val="both"/>
        <w:rPr>
          <w:rFonts w:ascii="Times New Roman" w:hAnsi="Times New Roman" w:cs="Times New Roman"/>
          <w:sz w:val="24"/>
        </w:rPr>
      </w:pPr>
      <w:r w:rsidRPr="00D918FA">
        <w:rPr>
          <w:rFonts w:ascii="Times New Roman" w:hAnsi="Times New Roman" w:cs="Times New Roman"/>
          <w:b/>
          <w:sz w:val="20"/>
          <w:szCs w:val="20"/>
        </w:rPr>
        <w:t xml:space="preserve">Contribution of </w:t>
      </w:r>
      <w:proofErr w:type="gramStart"/>
      <w:r w:rsidRPr="00D918FA">
        <w:rPr>
          <w:rFonts w:ascii="Times New Roman" w:hAnsi="Times New Roman" w:cs="Times New Roman"/>
          <w:b/>
          <w:sz w:val="20"/>
          <w:szCs w:val="20"/>
        </w:rPr>
        <w:t>authors</w:t>
      </w:r>
      <w:r w:rsidRPr="00D918FA">
        <w:rPr>
          <w:rFonts w:ascii="Times New Roman" w:hAnsi="Times New Roman" w:cs="Times New Roman"/>
          <w:sz w:val="24"/>
        </w:rPr>
        <w:t xml:space="preserve"> :I</w:t>
      </w:r>
      <w:proofErr w:type="gramEnd"/>
      <w:r w:rsidRPr="00D918FA">
        <w:rPr>
          <w:rFonts w:ascii="Times New Roman" w:hAnsi="Times New Roman" w:cs="Times New Roman"/>
          <w:sz w:val="24"/>
        </w:rPr>
        <w:t xml:space="preserve"> (</w:t>
      </w:r>
      <w:proofErr w:type="gramStart"/>
      <w:r w:rsidRPr="00D918FA">
        <w:rPr>
          <w:rFonts w:ascii="Times New Roman" w:hAnsi="Times New Roman" w:cs="Times New Roman"/>
          <w:sz w:val="24"/>
        </w:rPr>
        <w:t>we</w:t>
      </w:r>
      <w:proofErr w:type="gramEnd"/>
      <w:r w:rsidRPr="00D918FA">
        <w:rPr>
          <w:rFonts w:ascii="Times New Roman" w:hAnsi="Times New Roman" w:cs="Times New Roman"/>
          <w:sz w:val="24"/>
        </w:rPr>
        <w:t>) declare that this work was done by the authors named in this article and all liabilities pertaining to claims relating to the content of this article will be borne by the authors .</w:t>
      </w:r>
    </w:p>
    <w:p w:rsidR="00D04CBB" w:rsidRPr="003B1F47" w:rsidRDefault="00E56176" w:rsidP="002606C8">
      <w:pPr>
        <w:spacing w:after="120" w:line="240" w:lineRule="auto"/>
        <w:jc w:val="both"/>
        <w:rPr>
          <w:rFonts w:ascii="Times New Roman" w:hAnsi="Times New Roman" w:cs="Times New Roman"/>
          <w:sz w:val="28"/>
          <w:szCs w:val="28"/>
        </w:rPr>
      </w:pPr>
      <w:proofErr w:type="gramStart"/>
      <w:r w:rsidRPr="003B1F47">
        <w:rPr>
          <w:rFonts w:ascii="Times New Roman" w:hAnsi="Times New Roman" w:cs="Times New Roman"/>
          <w:sz w:val="28"/>
          <w:szCs w:val="28"/>
        </w:rPr>
        <w:t>References :</w:t>
      </w:r>
      <w:proofErr w:type="gramEnd"/>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proofErr w:type="spellStart"/>
      <w:r w:rsidRPr="003B1F47">
        <w:rPr>
          <w:rFonts w:ascii="Times New Roman" w:eastAsia="Calibri" w:hAnsi="Times New Roman"/>
          <w:iCs/>
          <w:sz w:val="16"/>
          <w:szCs w:val="16"/>
        </w:rPr>
        <w:t>Balgir</w:t>
      </w:r>
      <w:proofErr w:type="spellEnd"/>
      <w:r w:rsidRPr="003B1F47">
        <w:rPr>
          <w:rFonts w:ascii="Times New Roman" w:eastAsia="Calibri" w:hAnsi="Times New Roman"/>
          <w:iCs/>
          <w:sz w:val="16"/>
          <w:szCs w:val="16"/>
        </w:rPr>
        <w:t>, R. S., Natl. Med. J. India, 1999, 12, 234–238.</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proofErr w:type="spellStart"/>
      <w:r w:rsidRPr="003B1F47">
        <w:rPr>
          <w:rFonts w:ascii="Times New Roman" w:eastAsia="Calibri" w:hAnsi="Times New Roman"/>
          <w:iCs/>
          <w:sz w:val="16"/>
          <w:szCs w:val="16"/>
        </w:rPr>
        <w:t>Balgir</w:t>
      </w:r>
      <w:proofErr w:type="spellEnd"/>
      <w:r w:rsidRPr="003B1F47">
        <w:rPr>
          <w:rFonts w:ascii="Times New Roman" w:eastAsia="Calibri" w:hAnsi="Times New Roman"/>
          <w:iCs/>
          <w:sz w:val="16"/>
          <w:szCs w:val="16"/>
        </w:rPr>
        <w:t xml:space="preserve">, R. S., J. Assoc. Phys. India, 1996, 44, 25–28. </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r w:rsidRPr="003B1F47">
        <w:rPr>
          <w:rFonts w:ascii="Times New Roman" w:eastAsia="Calibri" w:hAnsi="Times New Roman"/>
          <w:iCs/>
          <w:sz w:val="16"/>
          <w:szCs w:val="16"/>
        </w:rPr>
        <w:t xml:space="preserve">Morris CR, Singer </w:t>
      </w:r>
      <w:proofErr w:type="spellStart"/>
      <w:r w:rsidRPr="003B1F47">
        <w:rPr>
          <w:rFonts w:ascii="Times New Roman" w:eastAsia="Calibri" w:hAnsi="Times New Roman"/>
          <w:iCs/>
          <w:sz w:val="16"/>
          <w:szCs w:val="16"/>
        </w:rPr>
        <w:t>ST</w:t>
      </w:r>
      <w:proofErr w:type="gramStart"/>
      <w:r w:rsidRPr="003B1F47">
        <w:rPr>
          <w:rFonts w:ascii="Times New Roman" w:eastAsia="Calibri" w:hAnsi="Times New Roman"/>
          <w:iCs/>
          <w:sz w:val="16"/>
          <w:szCs w:val="16"/>
        </w:rPr>
        <w:t>,Walters</w:t>
      </w:r>
      <w:proofErr w:type="spellEnd"/>
      <w:proofErr w:type="gramEnd"/>
      <w:r w:rsidRPr="003B1F47">
        <w:rPr>
          <w:rFonts w:ascii="Times New Roman" w:eastAsia="Calibri" w:hAnsi="Times New Roman"/>
          <w:iCs/>
          <w:sz w:val="16"/>
          <w:szCs w:val="16"/>
        </w:rPr>
        <w:t xml:space="preserve"> MC. Clinical </w:t>
      </w:r>
      <w:proofErr w:type="spellStart"/>
      <w:r w:rsidRPr="003B1F47">
        <w:rPr>
          <w:rFonts w:ascii="Times New Roman" w:eastAsia="Calibri" w:hAnsi="Times New Roman"/>
          <w:iCs/>
          <w:sz w:val="16"/>
          <w:szCs w:val="16"/>
        </w:rPr>
        <w:t>hemoglobinopathies</w:t>
      </w:r>
      <w:proofErr w:type="spellEnd"/>
      <w:r w:rsidRPr="003B1F47">
        <w:rPr>
          <w:rFonts w:ascii="Times New Roman" w:eastAsia="Calibri" w:hAnsi="Times New Roman"/>
          <w:iCs/>
          <w:sz w:val="16"/>
          <w:szCs w:val="16"/>
        </w:rPr>
        <w:t xml:space="preserve">: iron, lungs and new blood. </w:t>
      </w:r>
      <w:proofErr w:type="spellStart"/>
      <w:r w:rsidRPr="003B1F47">
        <w:rPr>
          <w:rFonts w:ascii="Times New Roman" w:eastAsia="Calibri" w:hAnsi="Times New Roman"/>
          <w:iCs/>
          <w:sz w:val="16"/>
          <w:szCs w:val="16"/>
        </w:rPr>
        <w:t>Curr</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Opin</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Hematol</w:t>
      </w:r>
      <w:proofErr w:type="spellEnd"/>
      <w:r w:rsidRPr="003B1F47">
        <w:rPr>
          <w:rFonts w:ascii="Times New Roman" w:eastAsia="Calibri" w:hAnsi="Times New Roman"/>
          <w:iCs/>
          <w:sz w:val="16"/>
          <w:szCs w:val="16"/>
        </w:rPr>
        <w:t>. 2006</w:t>
      </w:r>
      <w:proofErr w:type="gramStart"/>
      <w:r w:rsidRPr="003B1F47">
        <w:rPr>
          <w:rFonts w:ascii="Times New Roman" w:eastAsia="Calibri" w:hAnsi="Times New Roman"/>
          <w:iCs/>
          <w:sz w:val="16"/>
          <w:szCs w:val="16"/>
        </w:rPr>
        <w:t>;13:407</w:t>
      </w:r>
      <w:proofErr w:type="gramEnd"/>
      <w:r w:rsidRPr="003B1F47">
        <w:rPr>
          <w:rFonts w:ascii="Times New Roman" w:eastAsia="Calibri" w:hAnsi="Times New Roman"/>
          <w:iCs/>
          <w:sz w:val="16"/>
          <w:szCs w:val="16"/>
        </w:rPr>
        <w:t xml:space="preserve">-18. ((Hereditary </w:t>
      </w:r>
      <w:proofErr w:type="spellStart"/>
      <w:r w:rsidRPr="003B1F47">
        <w:rPr>
          <w:rFonts w:ascii="Times New Roman" w:eastAsia="Calibri" w:hAnsi="Times New Roman"/>
          <w:iCs/>
          <w:sz w:val="16"/>
          <w:szCs w:val="16"/>
        </w:rPr>
        <w:t>hemoglobinopathies</w:t>
      </w:r>
      <w:proofErr w:type="spellEnd"/>
      <w:r w:rsidRPr="003B1F47">
        <w:rPr>
          <w:rFonts w:ascii="Times New Roman" w:eastAsia="Calibri" w:hAnsi="Times New Roman"/>
          <w:iCs/>
          <w:sz w:val="16"/>
          <w:szCs w:val="16"/>
        </w:rPr>
        <w:t xml:space="preserve"> - </w:t>
      </w:r>
      <w:proofErr w:type="spellStart"/>
      <w:r w:rsidRPr="003B1F47">
        <w:rPr>
          <w:rFonts w:ascii="Times New Roman" w:eastAsia="Calibri" w:hAnsi="Times New Roman"/>
          <w:iCs/>
          <w:sz w:val="16"/>
          <w:szCs w:val="16"/>
        </w:rPr>
        <w:t>Sonati</w:t>
      </w:r>
      <w:proofErr w:type="spellEnd"/>
      <w:r w:rsidRPr="003B1F47">
        <w:rPr>
          <w:rFonts w:ascii="Times New Roman" w:eastAsia="Calibri" w:hAnsi="Times New Roman"/>
          <w:iCs/>
          <w:sz w:val="16"/>
          <w:szCs w:val="16"/>
        </w:rPr>
        <w:t xml:space="preserve"> MF &amp; Costa FF))</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hAnsi="Times New Roman"/>
          <w:sz w:val="16"/>
          <w:szCs w:val="16"/>
        </w:rPr>
      </w:pPr>
      <w:proofErr w:type="spellStart"/>
      <w:r w:rsidRPr="003B1F47">
        <w:rPr>
          <w:rFonts w:ascii="Times New Roman" w:hAnsi="Times New Roman"/>
          <w:sz w:val="16"/>
          <w:szCs w:val="16"/>
        </w:rPr>
        <w:t>Cavallo</w:t>
      </w:r>
      <w:proofErr w:type="spellEnd"/>
      <w:r w:rsidRPr="003B1F47">
        <w:rPr>
          <w:rFonts w:ascii="Times New Roman" w:hAnsi="Times New Roman"/>
          <w:sz w:val="16"/>
          <w:szCs w:val="16"/>
        </w:rPr>
        <w:t xml:space="preserve"> E., Gerber M., </w:t>
      </w:r>
      <w:proofErr w:type="spellStart"/>
      <w:r w:rsidRPr="003B1F47">
        <w:rPr>
          <w:rFonts w:ascii="Times New Roman" w:hAnsi="Times New Roman"/>
          <w:sz w:val="16"/>
          <w:szCs w:val="16"/>
        </w:rPr>
        <w:t>Marubini</w:t>
      </w:r>
      <w:proofErr w:type="spellEnd"/>
      <w:r w:rsidRPr="003B1F47">
        <w:rPr>
          <w:rFonts w:ascii="Times New Roman" w:hAnsi="Times New Roman"/>
          <w:sz w:val="16"/>
          <w:szCs w:val="16"/>
        </w:rPr>
        <w:t xml:space="preserve"> E., </w:t>
      </w:r>
      <w:proofErr w:type="spellStart"/>
      <w:r w:rsidRPr="003B1F47">
        <w:rPr>
          <w:rFonts w:ascii="Times New Roman" w:hAnsi="Times New Roman"/>
          <w:sz w:val="16"/>
          <w:szCs w:val="16"/>
        </w:rPr>
        <w:t>Richardoson</w:t>
      </w:r>
      <w:proofErr w:type="spellEnd"/>
      <w:r w:rsidRPr="003B1F47">
        <w:rPr>
          <w:rFonts w:ascii="Times New Roman" w:hAnsi="Times New Roman"/>
          <w:sz w:val="16"/>
          <w:szCs w:val="16"/>
        </w:rPr>
        <w:t xml:space="preserve"> S., </w:t>
      </w:r>
      <w:proofErr w:type="spellStart"/>
      <w:r w:rsidRPr="003B1F47">
        <w:rPr>
          <w:rFonts w:ascii="Times New Roman" w:hAnsi="Times New Roman"/>
          <w:sz w:val="16"/>
          <w:szCs w:val="16"/>
        </w:rPr>
        <w:t>Barbieri</w:t>
      </w:r>
      <w:proofErr w:type="spellEnd"/>
      <w:r w:rsidRPr="003B1F47">
        <w:rPr>
          <w:rFonts w:ascii="Times New Roman" w:hAnsi="Times New Roman"/>
          <w:sz w:val="16"/>
          <w:szCs w:val="16"/>
        </w:rPr>
        <w:t xml:space="preserve"> A., Costa A., </w:t>
      </w:r>
      <w:proofErr w:type="spellStart"/>
      <w:r w:rsidRPr="003B1F47">
        <w:rPr>
          <w:rFonts w:ascii="Times New Roman" w:hAnsi="Times New Roman"/>
          <w:sz w:val="16"/>
          <w:szCs w:val="16"/>
        </w:rPr>
        <w:t>Pecarli</w:t>
      </w:r>
      <w:proofErr w:type="spellEnd"/>
      <w:r w:rsidRPr="003B1F47">
        <w:rPr>
          <w:rFonts w:ascii="Times New Roman" w:hAnsi="Times New Roman"/>
          <w:sz w:val="16"/>
          <w:szCs w:val="16"/>
        </w:rPr>
        <w:t xml:space="preserve"> A., </w:t>
      </w:r>
      <w:proofErr w:type="spellStart"/>
      <w:r w:rsidRPr="003B1F47">
        <w:rPr>
          <w:rFonts w:ascii="Times New Roman" w:hAnsi="Times New Roman"/>
          <w:sz w:val="16"/>
          <w:szCs w:val="16"/>
        </w:rPr>
        <w:t>Pujol</w:t>
      </w:r>
      <w:proofErr w:type="spellEnd"/>
      <w:r w:rsidRPr="003B1F47">
        <w:rPr>
          <w:rFonts w:ascii="Times New Roman" w:hAnsi="Times New Roman"/>
          <w:sz w:val="16"/>
          <w:szCs w:val="16"/>
        </w:rPr>
        <w:t xml:space="preserve"> H., 1991. Zinc and copper in breast cancer, a joint study in northern Italy and southern France; Cancer, 67: 738-745. PMID: 1985767.</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proofErr w:type="spellStart"/>
      <w:r w:rsidRPr="003B1F47">
        <w:rPr>
          <w:rFonts w:ascii="Times New Roman" w:eastAsia="Calibri" w:hAnsi="Times New Roman"/>
          <w:iCs/>
          <w:sz w:val="16"/>
          <w:szCs w:val="16"/>
        </w:rPr>
        <w:t>Malakar</w:t>
      </w:r>
      <w:proofErr w:type="spellEnd"/>
      <w:r w:rsidRPr="003B1F47">
        <w:rPr>
          <w:rFonts w:ascii="Times New Roman" w:eastAsia="Calibri" w:hAnsi="Times New Roman"/>
          <w:iCs/>
          <w:sz w:val="16"/>
          <w:szCs w:val="16"/>
        </w:rPr>
        <w:t xml:space="preserve"> R et al</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r w:rsidRPr="003B1F47">
        <w:rPr>
          <w:rFonts w:ascii="Times New Roman" w:eastAsia="Calibri" w:hAnsi="Times New Roman"/>
          <w:iCs/>
          <w:sz w:val="16"/>
          <w:szCs w:val="16"/>
        </w:rPr>
        <w:t xml:space="preserve">Cohen AR: Management of iron overload in the pediatric patient. </w:t>
      </w:r>
      <w:proofErr w:type="spellStart"/>
      <w:r w:rsidRPr="003B1F47">
        <w:rPr>
          <w:rFonts w:ascii="Times New Roman" w:eastAsia="Calibri" w:hAnsi="Times New Roman"/>
          <w:iCs/>
          <w:sz w:val="16"/>
          <w:szCs w:val="16"/>
        </w:rPr>
        <w:t>Hematol</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Oncol</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Clin</w:t>
      </w:r>
      <w:proofErr w:type="spellEnd"/>
      <w:r w:rsidRPr="003B1F47">
        <w:rPr>
          <w:rFonts w:ascii="Times New Roman" w:eastAsia="Calibri" w:hAnsi="Times New Roman"/>
          <w:iCs/>
          <w:sz w:val="16"/>
          <w:szCs w:val="16"/>
        </w:rPr>
        <w:t xml:space="preserve"> North Am 1987, 1:521-544. </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r w:rsidRPr="003B1F47">
        <w:rPr>
          <w:rFonts w:ascii="Times New Roman" w:eastAsia="Calibri" w:hAnsi="Times New Roman"/>
          <w:iCs/>
          <w:sz w:val="16"/>
          <w:szCs w:val="16"/>
        </w:rPr>
        <w:t xml:space="preserve">Fleet JC. Zinc, Copper, and Manganese. In: </w:t>
      </w:r>
      <w:proofErr w:type="spellStart"/>
      <w:r w:rsidRPr="003B1F47">
        <w:rPr>
          <w:rFonts w:ascii="Times New Roman" w:eastAsia="Calibri" w:hAnsi="Times New Roman"/>
          <w:iCs/>
          <w:sz w:val="16"/>
          <w:szCs w:val="16"/>
        </w:rPr>
        <w:t>Stipanuk</w:t>
      </w:r>
      <w:proofErr w:type="spellEnd"/>
      <w:r w:rsidRPr="003B1F47">
        <w:rPr>
          <w:rFonts w:ascii="Times New Roman" w:eastAsia="Calibri" w:hAnsi="Times New Roman"/>
          <w:iCs/>
          <w:sz w:val="16"/>
          <w:szCs w:val="16"/>
        </w:rPr>
        <w:t xml:space="preserve"> </w:t>
      </w:r>
      <w:proofErr w:type="gramStart"/>
      <w:r w:rsidRPr="003B1F47">
        <w:rPr>
          <w:rFonts w:ascii="Times New Roman" w:eastAsia="Calibri" w:hAnsi="Times New Roman"/>
          <w:iCs/>
          <w:sz w:val="16"/>
          <w:szCs w:val="16"/>
        </w:rPr>
        <w:t>MH ,</w:t>
      </w:r>
      <w:proofErr w:type="gramEnd"/>
      <w:r w:rsidRPr="003B1F47">
        <w:rPr>
          <w:rFonts w:ascii="Times New Roman" w:eastAsia="Calibri" w:hAnsi="Times New Roman"/>
          <w:iCs/>
          <w:sz w:val="16"/>
          <w:szCs w:val="16"/>
        </w:rPr>
        <w:t xml:space="preserve"> editor .Biochemical and        Physiological aspects of Human Nutrition . New York; Saunders: 2000. p.741-759</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r w:rsidRPr="003B1F47">
        <w:rPr>
          <w:rFonts w:ascii="Times New Roman" w:eastAsia="Calibri" w:hAnsi="Times New Roman"/>
          <w:iCs/>
          <w:sz w:val="16"/>
          <w:szCs w:val="16"/>
        </w:rPr>
        <w:t xml:space="preserve">King JC, Keen CL. Zinc. In. </w:t>
      </w:r>
      <w:proofErr w:type="spellStart"/>
      <w:r w:rsidRPr="003B1F47">
        <w:rPr>
          <w:rFonts w:ascii="Times New Roman" w:eastAsia="Calibri" w:hAnsi="Times New Roman"/>
          <w:iCs/>
          <w:sz w:val="16"/>
          <w:szCs w:val="16"/>
        </w:rPr>
        <w:t>Shils</w:t>
      </w:r>
      <w:proofErr w:type="spellEnd"/>
      <w:r w:rsidRPr="003B1F47">
        <w:rPr>
          <w:rFonts w:ascii="Times New Roman" w:eastAsia="Calibri" w:hAnsi="Times New Roman"/>
          <w:iCs/>
          <w:sz w:val="16"/>
          <w:szCs w:val="16"/>
        </w:rPr>
        <w:t xml:space="preserve"> ME, </w:t>
      </w:r>
      <w:proofErr w:type="spellStart"/>
      <w:proofErr w:type="gramStart"/>
      <w:r w:rsidRPr="003B1F47">
        <w:rPr>
          <w:rFonts w:ascii="Times New Roman" w:eastAsia="Calibri" w:hAnsi="Times New Roman"/>
          <w:iCs/>
          <w:sz w:val="16"/>
          <w:szCs w:val="16"/>
        </w:rPr>
        <w:t>OlsonJA</w:t>
      </w:r>
      <w:proofErr w:type="spellEnd"/>
      <w:r w:rsidRPr="003B1F47">
        <w:rPr>
          <w:rFonts w:ascii="Times New Roman" w:eastAsia="Calibri" w:hAnsi="Times New Roman"/>
          <w:iCs/>
          <w:sz w:val="16"/>
          <w:szCs w:val="16"/>
        </w:rPr>
        <w:t xml:space="preserve"> ,</w:t>
      </w:r>
      <w:proofErr w:type="gram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Shike</w:t>
      </w:r>
      <w:proofErr w:type="spellEnd"/>
      <w:r w:rsidRPr="003B1F47">
        <w:rPr>
          <w:rFonts w:ascii="Times New Roman" w:eastAsia="Calibri" w:hAnsi="Times New Roman"/>
          <w:iCs/>
          <w:sz w:val="16"/>
          <w:szCs w:val="16"/>
        </w:rPr>
        <w:t xml:space="preserve"> M, Ross CA, editors. Modern Nutrition in Health and Disease. 9th Ed. </w:t>
      </w:r>
      <w:proofErr w:type="spellStart"/>
      <w:r w:rsidRPr="003B1F47">
        <w:rPr>
          <w:rFonts w:ascii="Times New Roman" w:eastAsia="Calibri" w:hAnsi="Times New Roman"/>
          <w:iCs/>
          <w:sz w:val="16"/>
          <w:szCs w:val="16"/>
        </w:rPr>
        <w:t>NewYork</w:t>
      </w:r>
      <w:proofErr w:type="spellEnd"/>
      <w:r w:rsidRPr="003B1F47">
        <w:rPr>
          <w:rFonts w:ascii="Times New Roman" w:eastAsia="Calibri" w:hAnsi="Times New Roman"/>
          <w:iCs/>
          <w:sz w:val="16"/>
          <w:szCs w:val="16"/>
        </w:rPr>
        <w:t xml:space="preserve">; p.223-239, </w:t>
      </w:r>
      <w:proofErr w:type="spellStart"/>
      <w:r w:rsidRPr="003B1F47">
        <w:rPr>
          <w:rFonts w:ascii="Times New Roman" w:eastAsia="Calibri" w:hAnsi="Times New Roman"/>
          <w:iCs/>
          <w:sz w:val="16"/>
          <w:szCs w:val="16"/>
        </w:rPr>
        <w:t>Lippinkott</w:t>
      </w:r>
      <w:proofErr w:type="spellEnd"/>
      <w:r w:rsidRPr="003B1F47">
        <w:rPr>
          <w:rFonts w:ascii="Times New Roman" w:eastAsia="Calibri" w:hAnsi="Times New Roman"/>
          <w:iCs/>
          <w:sz w:val="16"/>
          <w:szCs w:val="16"/>
        </w:rPr>
        <w:t xml:space="preserve"> Williams&amp; Wilkins: 2003.</w:t>
      </w:r>
    </w:p>
    <w:p w:rsidR="00E56176" w:rsidRPr="003B1F47" w:rsidRDefault="00E56176"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Calibri" w:hAnsi="Times New Roman"/>
          <w:iCs/>
          <w:sz w:val="16"/>
          <w:szCs w:val="16"/>
        </w:rPr>
      </w:pPr>
      <w:r w:rsidRPr="003B1F47">
        <w:rPr>
          <w:rFonts w:ascii="Times New Roman" w:eastAsia="Calibri" w:hAnsi="Times New Roman"/>
          <w:iCs/>
          <w:sz w:val="16"/>
          <w:szCs w:val="16"/>
        </w:rPr>
        <w:t xml:space="preserve">Zinc in Human health </w:t>
      </w:r>
      <w:proofErr w:type="spellStart"/>
      <w:r w:rsidRPr="003B1F47">
        <w:rPr>
          <w:rFonts w:ascii="Times New Roman" w:eastAsia="Calibri" w:hAnsi="Times New Roman"/>
          <w:iCs/>
          <w:sz w:val="16"/>
          <w:szCs w:val="16"/>
        </w:rPr>
        <w:t>Ch.Bimola</w:t>
      </w:r>
      <w:proofErr w:type="spellEnd"/>
      <w:r w:rsidRPr="003B1F47">
        <w:rPr>
          <w:rFonts w:ascii="Times New Roman" w:eastAsia="Calibri" w:hAnsi="Times New Roman"/>
          <w:iCs/>
          <w:sz w:val="16"/>
          <w:szCs w:val="16"/>
        </w:rPr>
        <w:t xml:space="preserve"> Devi, Th. </w:t>
      </w:r>
      <w:proofErr w:type="spellStart"/>
      <w:r w:rsidRPr="003B1F47">
        <w:rPr>
          <w:rFonts w:ascii="Times New Roman" w:eastAsia="Calibri" w:hAnsi="Times New Roman"/>
          <w:iCs/>
          <w:sz w:val="16"/>
          <w:szCs w:val="16"/>
        </w:rPr>
        <w:t>Nandakishore</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Sangeeta</w:t>
      </w:r>
      <w:proofErr w:type="spellEnd"/>
      <w:r w:rsidRPr="003B1F47">
        <w:rPr>
          <w:rFonts w:ascii="Times New Roman" w:eastAsia="Calibri" w:hAnsi="Times New Roman"/>
          <w:iCs/>
          <w:sz w:val="16"/>
          <w:szCs w:val="16"/>
        </w:rPr>
        <w:t xml:space="preserve"> N, </w:t>
      </w:r>
      <w:proofErr w:type="spellStart"/>
      <w:r w:rsidRPr="003B1F47">
        <w:rPr>
          <w:rFonts w:ascii="Times New Roman" w:eastAsia="Calibri" w:hAnsi="Times New Roman"/>
          <w:iCs/>
          <w:sz w:val="16"/>
          <w:szCs w:val="16"/>
        </w:rPr>
        <w:t>Gomi</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Basar</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N.Omita</w:t>
      </w:r>
      <w:proofErr w:type="spellEnd"/>
      <w:r w:rsidRPr="003B1F47">
        <w:rPr>
          <w:rFonts w:ascii="Times New Roman" w:eastAsia="Calibri" w:hAnsi="Times New Roman"/>
          <w:iCs/>
          <w:sz w:val="16"/>
          <w:szCs w:val="16"/>
        </w:rPr>
        <w:t xml:space="preserve"> Devi, </w:t>
      </w:r>
      <w:proofErr w:type="spellStart"/>
      <w:r w:rsidRPr="003B1F47">
        <w:rPr>
          <w:rFonts w:ascii="Times New Roman" w:eastAsia="Calibri" w:hAnsi="Times New Roman"/>
          <w:iCs/>
          <w:sz w:val="16"/>
          <w:szCs w:val="16"/>
        </w:rPr>
        <w:t>Sungdirenla</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Jamir</w:t>
      </w:r>
      <w:proofErr w:type="spellEnd"/>
      <w:r w:rsidRPr="003B1F47">
        <w:rPr>
          <w:rFonts w:ascii="Times New Roman" w:eastAsia="Calibri" w:hAnsi="Times New Roman"/>
          <w:iCs/>
          <w:sz w:val="16"/>
          <w:szCs w:val="16"/>
        </w:rPr>
        <w:t xml:space="preserve">, </w:t>
      </w:r>
      <w:proofErr w:type="spellStart"/>
      <w:r w:rsidRPr="003B1F47">
        <w:rPr>
          <w:rFonts w:ascii="Times New Roman" w:eastAsia="Calibri" w:hAnsi="Times New Roman"/>
          <w:iCs/>
          <w:sz w:val="16"/>
          <w:szCs w:val="16"/>
        </w:rPr>
        <w:t>M.Amuba</w:t>
      </w:r>
      <w:proofErr w:type="spellEnd"/>
      <w:r w:rsidRPr="003B1F47">
        <w:rPr>
          <w:rFonts w:ascii="Times New Roman" w:eastAsia="Calibri" w:hAnsi="Times New Roman"/>
          <w:iCs/>
          <w:sz w:val="16"/>
          <w:szCs w:val="16"/>
        </w:rPr>
        <w:t xml:space="preserve"> Singh</w:t>
      </w:r>
    </w:p>
    <w:p w:rsidR="002606C8" w:rsidRPr="003B1F47" w:rsidRDefault="002606C8" w:rsidP="002606C8">
      <w:pPr>
        <w:pStyle w:val="ListParagraph"/>
        <w:numPr>
          <w:ilvl w:val="0"/>
          <w:numId w:val="6"/>
        </w:numPr>
        <w:spacing w:after="0" w:line="240" w:lineRule="auto"/>
        <w:ind w:left="851" w:hanging="567"/>
        <w:contextualSpacing/>
        <w:jc w:val="both"/>
        <w:rPr>
          <w:rFonts w:ascii="Times New Roman" w:hAnsi="Times New Roman"/>
          <w:sz w:val="16"/>
          <w:szCs w:val="16"/>
        </w:rPr>
      </w:pPr>
      <w:r w:rsidRPr="003B1F47">
        <w:rPr>
          <w:rFonts w:ascii="Times New Roman" w:hAnsi="Times New Roman"/>
          <w:sz w:val="16"/>
          <w:szCs w:val="16"/>
        </w:rPr>
        <w:t>Labmed.UCSF.edu/lab manual :</w:t>
      </w:r>
      <w:proofErr w:type="spellStart"/>
      <w:r w:rsidRPr="003B1F47">
        <w:rPr>
          <w:rFonts w:ascii="Times New Roman" w:hAnsi="Times New Roman"/>
          <w:sz w:val="16"/>
          <w:szCs w:val="16"/>
        </w:rPr>
        <w:t>BioRAD</w:t>
      </w:r>
      <w:proofErr w:type="spellEnd"/>
      <w:r w:rsidRPr="003B1F47">
        <w:rPr>
          <w:rFonts w:ascii="Times New Roman" w:hAnsi="Times New Roman"/>
          <w:sz w:val="16"/>
          <w:szCs w:val="16"/>
        </w:rPr>
        <w:t xml:space="preserve"> D 10 Dual </w:t>
      </w:r>
      <w:proofErr w:type="spellStart"/>
      <w:r w:rsidRPr="003B1F47">
        <w:rPr>
          <w:rFonts w:ascii="Times New Roman" w:hAnsi="Times New Roman"/>
          <w:sz w:val="16"/>
          <w:szCs w:val="16"/>
        </w:rPr>
        <w:t>programme</w:t>
      </w:r>
      <w:proofErr w:type="spellEnd"/>
      <w:r w:rsidRPr="003B1F47">
        <w:rPr>
          <w:rFonts w:ascii="Times New Roman" w:hAnsi="Times New Roman"/>
          <w:sz w:val="16"/>
          <w:szCs w:val="16"/>
        </w:rPr>
        <w:t xml:space="preserve"> manual</w:t>
      </w:r>
    </w:p>
    <w:p w:rsidR="002606C8" w:rsidRPr="003B1F47" w:rsidRDefault="002606C8"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Theme="minorHAnsi" w:hAnsi="Times New Roman" w:cs="TimesNewRoman"/>
          <w:sz w:val="16"/>
          <w:szCs w:val="16"/>
        </w:rPr>
      </w:pPr>
      <w:r w:rsidRPr="003B1F47">
        <w:rPr>
          <w:rFonts w:ascii="Times New Roman" w:hAnsi="Times New Roman"/>
          <w:sz w:val="16"/>
          <w:szCs w:val="16"/>
        </w:rPr>
        <w:t xml:space="preserve">Akita Abe , </w:t>
      </w:r>
      <w:proofErr w:type="spellStart"/>
      <w:r w:rsidRPr="003B1F47">
        <w:rPr>
          <w:rFonts w:ascii="Times New Roman" w:hAnsi="Times New Roman"/>
          <w:sz w:val="16"/>
          <w:szCs w:val="16"/>
        </w:rPr>
        <w:t>Yiamashita</w:t>
      </w:r>
      <w:proofErr w:type="spellEnd"/>
      <w:r w:rsidRPr="003B1F47">
        <w:rPr>
          <w:rFonts w:ascii="Times New Roman" w:hAnsi="Times New Roman"/>
          <w:sz w:val="16"/>
          <w:szCs w:val="16"/>
        </w:rPr>
        <w:t xml:space="preserve"> S , (1989) clin.chem.35/4:552-554 </w:t>
      </w:r>
    </w:p>
    <w:p w:rsidR="002606C8" w:rsidRPr="003B1F47" w:rsidRDefault="002606C8" w:rsidP="002606C8">
      <w:pPr>
        <w:pStyle w:val="ListParagraph"/>
        <w:numPr>
          <w:ilvl w:val="0"/>
          <w:numId w:val="6"/>
        </w:numPr>
        <w:autoSpaceDE w:val="0"/>
        <w:autoSpaceDN w:val="0"/>
        <w:adjustRightInd w:val="0"/>
        <w:spacing w:after="0" w:line="240" w:lineRule="auto"/>
        <w:ind w:left="851" w:hanging="567"/>
        <w:contextualSpacing/>
        <w:jc w:val="both"/>
        <w:rPr>
          <w:rFonts w:ascii="Times New Roman" w:eastAsiaTheme="minorHAnsi" w:hAnsi="Times New Roman" w:cs="TimesNewRoman"/>
          <w:sz w:val="16"/>
          <w:szCs w:val="16"/>
        </w:rPr>
      </w:pPr>
      <w:proofErr w:type="spellStart"/>
      <w:r w:rsidRPr="003B1F47">
        <w:rPr>
          <w:rFonts w:ascii="Times New Roman" w:hAnsi="Times New Roman"/>
          <w:sz w:val="16"/>
          <w:szCs w:val="16"/>
        </w:rPr>
        <w:t>Siedel</w:t>
      </w:r>
      <w:proofErr w:type="spellEnd"/>
      <w:r w:rsidRPr="003B1F47">
        <w:rPr>
          <w:rFonts w:ascii="Times New Roman" w:hAnsi="Times New Roman"/>
          <w:sz w:val="16"/>
          <w:szCs w:val="16"/>
        </w:rPr>
        <w:t xml:space="preserve"> J.et al(1984)</w:t>
      </w:r>
      <w:proofErr w:type="spellStart"/>
      <w:r w:rsidRPr="003B1F47">
        <w:rPr>
          <w:rFonts w:ascii="Times New Roman" w:hAnsi="Times New Roman"/>
          <w:sz w:val="16"/>
          <w:szCs w:val="16"/>
        </w:rPr>
        <w:t>Clin</w:t>
      </w:r>
      <w:proofErr w:type="spellEnd"/>
      <w:r w:rsidRPr="003B1F47">
        <w:rPr>
          <w:rFonts w:ascii="Times New Roman" w:hAnsi="Times New Roman"/>
          <w:sz w:val="16"/>
          <w:szCs w:val="16"/>
        </w:rPr>
        <w:t xml:space="preserve"> </w:t>
      </w:r>
      <w:proofErr w:type="spellStart"/>
      <w:r w:rsidRPr="003B1F47">
        <w:rPr>
          <w:rFonts w:ascii="Times New Roman" w:hAnsi="Times New Roman"/>
          <w:sz w:val="16"/>
          <w:szCs w:val="16"/>
        </w:rPr>
        <w:t>Chem</w:t>
      </w:r>
      <w:proofErr w:type="spellEnd"/>
      <w:r w:rsidRPr="003B1F47">
        <w:rPr>
          <w:rFonts w:ascii="Times New Roman" w:hAnsi="Times New Roman"/>
          <w:sz w:val="16"/>
          <w:szCs w:val="16"/>
        </w:rPr>
        <w:t xml:space="preserve"> :30:975</w:t>
      </w:r>
    </w:p>
    <w:p w:rsidR="002606C8" w:rsidRPr="003B1F47" w:rsidRDefault="002606C8" w:rsidP="002606C8">
      <w:pPr>
        <w:pStyle w:val="Default"/>
        <w:numPr>
          <w:ilvl w:val="0"/>
          <w:numId w:val="6"/>
        </w:numPr>
        <w:ind w:left="851" w:hanging="567"/>
        <w:jc w:val="both"/>
        <w:rPr>
          <w:sz w:val="16"/>
          <w:szCs w:val="16"/>
        </w:rPr>
      </w:pPr>
      <w:proofErr w:type="spellStart"/>
      <w:r w:rsidRPr="003B1F47">
        <w:rPr>
          <w:color w:val="231F20"/>
          <w:sz w:val="16"/>
          <w:szCs w:val="16"/>
        </w:rPr>
        <w:t>Immunoradiometric</w:t>
      </w:r>
      <w:proofErr w:type="spellEnd"/>
      <w:r w:rsidRPr="003B1F47">
        <w:rPr>
          <w:color w:val="231F20"/>
          <w:sz w:val="16"/>
          <w:szCs w:val="16"/>
        </w:rPr>
        <w:t xml:space="preserve"> assay </w:t>
      </w:r>
      <w:proofErr w:type="gramStart"/>
      <w:r w:rsidRPr="003B1F47">
        <w:rPr>
          <w:color w:val="231F20"/>
          <w:sz w:val="16"/>
          <w:szCs w:val="16"/>
        </w:rPr>
        <w:t>( IRMA</w:t>
      </w:r>
      <w:proofErr w:type="gramEnd"/>
      <w:r w:rsidRPr="003B1F47">
        <w:rPr>
          <w:color w:val="231F20"/>
          <w:sz w:val="16"/>
          <w:szCs w:val="16"/>
        </w:rPr>
        <w:t xml:space="preserve">) kit for human serum </w:t>
      </w:r>
      <w:proofErr w:type="spellStart"/>
      <w:r w:rsidRPr="003B1F47">
        <w:rPr>
          <w:color w:val="231F20"/>
          <w:sz w:val="16"/>
          <w:szCs w:val="16"/>
        </w:rPr>
        <w:t>ferritin</w:t>
      </w:r>
      <w:proofErr w:type="spellEnd"/>
      <w:r w:rsidRPr="003B1F47">
        <w:rPr>
          <w:color w:val="231F20"/>
          <w:sz w:val="16"/>
          <w:szCs w:val="16"/>
        </w:rPr>
        <w:t>, Board Of Radiation And Isotope Technology (BRIT), India.</w:t>
      </w:r>
    </w:p>
    <w:p w:rsidR="00E56176" w:rsidRPr="003B1F47" w:rsidRDefault="00E56176" w:rsidP="002606C8">
      <w:pPr>
        <w:pStyle w:val="ListParagraph"/>
        <w:autoSpaceDE w:val="0"/>
        <w:autoSpaceDN w:val="0"/>
        <w:adjustRightInd w:val="0"/>
        <w:spacing w:after="0" w:line="240" w:lineRule="auto"/>
        <w:ind w:left="851"/>
        <w:contextualSpacing/>
        <w:jc w:val="both"/>
        <w:rPr>
          <w:rFonts w:ascii="Times New Roman" w:eastAsia="Calibri" w:hAnsi="Times New Roman"/>
          <w:iCs/>
          <w:sz w:val="16"/>
          <w:szCs w:val="16"/>
        </w:rPr>
      </w:pPr>
    </w:p>
    <w:p w:rsidR="00E56176" w:rsidRPr="003B1F47" w:rsidRDefault="00E56176" w:rsidP="00E56176">
      <w:pPr>
        <w:pStyle w:val="ListParagraph"/>
        <w:autoSpaceDE w:val="0"/>
        <w:autoSpaceDN w:val="0"/>
        <w:adjustRightInd w:val="0"/>
        <w:spacing w:after="0" w:line="480" w:lineRule="auto"/>
        <w:ind w:left="851"/>
        <w:contextualSpacing/>
        <w:jc w:val="both"/>
        <w:rPr>
          <w:rFonts w:ascii="Times New Roman" w:eastAsia="Calibri" w:hAnsi="Times New Roman"/>
          <w:iCs/>
          <w:sz w:val="16"/>
          <w:szCs w:val="16"/>
        </w:rPr>
      </w:pPr>
    </w:p>
    <w:p w:rsidR="00E56176" w:rsidRPr="00B6532E" w:rsidRDefault="00E56176" w:rsidP="00D04CBB">
      <w:pPr>
        <w:spacing w:after="120" w:line="480" w:lineRule="auto"/>
        <w:jc w:val="both"/>
        <w:rPr>
          <w:rFonts w:ascii="Times New Roman" w:hAnsi="Times New Roman" w:cs="Times New Roman"/>
          <w:sz w:val="24"/>
          <w:szCs w:val="24"/>
        </w:rPr>
      </w:pPr>
    </w:p>
    <w:p w:rsidR="007542ED" w:rsidRDefault="007542ED" w:rsidP="007542ED">
      <w:pPr>
        <w:shd w:val="clear" w:color="auto" w:fill="FFFFFF"/>
        <w:tabs>
          <w:tab w:val="left" w:pos="284"/>
        </w:tabs>
        <w:spacing w:after="120" w:line="480" w:lineRule="auto"/>
        <w:jc w:val="both"/>
        <w:rPr>
          <w:rFonts w:ascii="Times New Roman" w:eastAsia="Times New Roman" w:hAnsi="Times New Roman" w:cs="Times New Roman"/>
          <w:sz w:val="26"/>
          <w:szCs w:val="24"/>
        </w:rPr>
      </w:pPr>
    </w:p>
    <w:p w:rsidR="00D04CBB" w:rsidRPr="00833D43" w:rsidRDefault="00D04CBB" w:rsidP="007542ED">
      <w:pPr>
        <w:shd w:val="clear" w:color="auto" w:fill="FFFFFF"/>
        <w:tabs>
          <w:tab w:val="left" w:pos="284"/>
        </w:tabs>
        <w:spacing w:after="120" w:line="480" w:lineRule="auto"/>
        <w:jc w:val="both"/>
        <w:rPr>
          <w:rFonts w:ascii="Times New Roman" w:eastAsia="Times New Roman" w:hAnsi="Times New Roman" w:cs="Times New Roman"/>
          <w:sz w:val="26"/>
          <w:szCs w:val="24"/>
        </w:rPr>
      </w:pPr>
    </w:p>
    <w:p w:rsidR="001B5C8E" w:rsidRDefault="001B5C8E" w:rsidP="008465DD">
      <w:pPr>
        <w:rPr>
          <w:rFonts w:ascii="Times New Roman" w:eastAsia="Times New Roman" w:hAnsi="Times New Roman" w:cs="Times New Roman"/>
          <w:sz w:val="26"/>
          <w:szCs w:val="26"/>
        </w:rPr>
      </w:pPr>
    </w:p>
    <w:p w:rsidR="001B5C8E" w:rsidRPr="00CB38FB" w:rsidRDefault="001B5C8E" w:rsidP="008465DD">
      <w:pPr>
        <w:rPr>
          <w:rFonts w:ascii="Times New Roman" w:eastAsia="Calibri" w:hAnsi="Times New Roman" w:cs="Times New Roman"/>
          <w:bCs/>
          <w:sz w:val="24"/>
          <w:szCs w:val="24"/>
        </w:rPr>
      </w:pPr>
    </w:p>
    <w:sectPr w:rsidR="001B5C8E" w:rsidRPr="00CB38FB" w:rsidSect="005154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roshige ATT">
    <w:altName w:val="Times New Roman"/>
    <w:charset w:val="00"/>
    <w:family w:val="auto"/>
    <w:pitch w:val="variable"/>
    <w:sig w:usb0="00000001" w:usb1="00000000" w:usb2="00000000" w:usb3="00000000" w:csb0="00000013" w:csb1="00000000"/>
  </w:font>
  <w:font w:name="Kartika">
    <w:panose1 w:val="02020503030404060203"/>
    <w:charset w:val="00"/>
    <w:family w:val="roman"/>
    <w:pitch w:val="variable"/>
    <w:sig w:usb0="008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DFF"/>
    <w:multiLevelType w:val="hybridMultilevel"/>
    <w:tmpl w:val="F470F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51346F"/>
    <w:multiLevelType w:val="hybridMultilevel"/>
    <w:tmpl w:val="7D580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37B2D"/>
    <w:multiLevelType w:val="hybridMultilevel"/>
    <w:tmpl w:val="B56A41B6"/>
    <w:lvl w:ilvl="0" w:tplc="0409000F">
      <w:start w:val="1"/>
      <w:numFmt w:val="decimal"/>
      <w:lvlText w:val="%1."/>
      <w:lvlJc w:val="left"/>
      <w:pPr>
        <w:tabs>
          <w:tab w:val="num" w:pos="720"/>
        </w:tabs>
        <w:ind w:left="720" w:hanging="720"/>
      </w:pPr>
      <w:rPr>
        <w:rFonts w:hint="default"/>
      </w:rPr>
    </w:lvl>
    <w:lvl w:ilvl="1" w:tplc="9C6C67CA">
      <w:start w:val="1"/>
      <w:numFmt w:val="bullet"/>
      <w:lvlText w:val=""/>
      <w:lvlJc w:val="left"/>
      <w:pPr>
        <w:tabs>
          <w:tab w:val="num" w:pos="720"/>
        </w:tabs>
        <w:ind w:left="720" w:hanging="72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711B52"/>
    <w:multiLevelType w:val="hybridMultilevel"/>
    <w:tmpl w:val="B360E5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CD5152"/>
    <w:multiLevelType w:val="hybridMultilevel"/>
    <w:tmpl w:val="FCC0F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B5226C"/>
    <w:multiLevelType w:val="hybridMultilevel"/>
    <w:tmpl w:val="1590A4A4"/>
    <w:lvl w:ilvl="0" w:tplc="0409000F">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rsids>
    <w:rsidRoot w:val="001B7BD8"/>
    <w:rsid w:val="00062B77"/>
    <w:rsid w:val="00085203"/>
    <w:rsid w:val="00095283"/>
    <w:rsid w:val="000C6C66"/>
    <w:rsid w:val="000D1340"/>
    <w:rsid w:val="000D7898"/>
    <w:rsid w:val="000E0CC3"/>
    <w:rsid w:val="000E1D43"/>
    <w:rsid w:val="000F1683"/>
    <w:rsid w:val="00106E50"/>
    <w:rsid w:val="001224D9"/>
    <w:rsid w:val="00126790"/>
    <w:rsid w:val="00147645"/>
    <w:rsid w:val="001A314A"/>
    <w:rsid w:val="001B5C8E"/>
    <w:rsid w:val="001B7BD8"/>
    <w:rsid w:val="00241E52"/>
    <w:rsid w:val="00257F1B"/>
    <w:rsid w:val="002606C8"/>
    <w:rsid w:val="00271454"/>
    <w:rsid w:val="002855ED"/>
    <w:rsid w:val="00303F93"/>
    <w:rsid w:val="0034397C"/>
    <w:rsid w:val="00346C5C"/>
    <w:rsid w:val="00386F2E"/>
    <w:rsid w:val="003A0CA0"/>
    <w:rsid w:val="003B1F47"/>
    <w:rsid w:val="003D458E"/>
    <w:rsid w:val="003E7E24"/>
    <w:rsid w:val="0040308A"/>
    <w:rsid w:val="004149DB"/>
    <w:rsid w:val="00415239"/>
    <w:rsid w:val="00455802"/>
    <w:rsid w:val="0047397C"/>
    <w:rsid w:val="004B5857"/>
    <w:rsid w:val="004C1CFC"/>
    <w:rsid w:val="004C2EC2"/>
    <w:rsid w:val="004D1114"/>
    <w:rsid w:val="005075C2"/>
    <w:rsid w:val="005154A3"/>
    <w:rsid w:val="005174E3"/>
    <w:rsid w:val="00557491"/>
    <w:rsid w:val="005E31BD"/>
    <w:rsid w:val="005E3E26"/>
    <w:rsid w:val="005F251E"/>
    <w:rsid w:val="00644DBC"/>
    <w:rsid w:val="006517DA"/>
    <w:rsid w:val="00676520"/>
    <w:rsid w:val="006946A0"/>
    <w:rsid w:val="006F3061"/>
    <w:rsid w:val="00717770"/>
    <w:rsid w:val="00731160"/>
    <w:rsid w:val="007542ED"/>
    <w:rsid w:val="007638B6"/>
    <w:rsid w:val="007676C5"/>
    <w:rsid w:val="007B77C4"/>
    <w:rsid w:val="00820C0B"/>
    <w:rsid w:val="008465DD"/>
    <w:rsid w:val="009005E1"/>
    <w:rsid w:val="00976102"/>
    <w:rsid w:val="009777ED"/>
    <w:rsid w:val="009E19F1"/>
    <w:rsid w:val="009F3A9E"/>
    <w:rsid w:val="00A14B68"/>
    <w:rsid w:val="00A33DE2"/>
    <w:rsid w:val="00AE5733"/>
    <w:rsid w:val="00B3294B"/>
    <w:rsid w:val="00BE3B18"/>
    <w:rsid w:val="00BE47BF"/>
    <w:rsid w:val="00C103B7"/>
    <w:rsid w:val="00C25011"/>
    <w:rsid w:val="00C33FE5"/>
    <w:rsid w:val="00C42D00"/>
    <w:rsid w:val="00C7347A"/>
    <w:rsid w:val="00CB38FB"/>
    <w:rsid w:val="00CD0765"/>
    <w:rsid w:val="00CD4065"/>
    <w:rsid w:val="00D04CBB"/>
    <w:rsid w:val="00D37485"/>
    <w:rsid w:val="00D918FA"/>
    <w:rsid w:val="00DE214C"/>
    <w:rsid w:val="00DE3735"/>
    <w:rsid w:val="00E34F67"/>
    <w:rsid w:val="00E46CF6"/>
    <w:rsid w:val="00E55ACE"/>
    <w:rsid w:val="00E56176"/>
    <w:rsid w:val="00E815C3"/>
    <w:rsid w:val="00F42FFB"/>
    <w:rsid w:val="00F8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4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B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68"/>
    <w:rPr>
      <w:rFonts w:ascii="Tahoma" w:hAnsi="Tahoma" w:cs="Tahoma"/>
      <w:sz w:val="16"/>
      <w:szCs w:val="16"/>
    </w:rPr>
  </w:style>
  <w:style w:type="paragraph" w:styleId="ListParagraph">
    <w:name w:val="List Paragraph"/>
    <w:basedOn w:val="Normal"/>
    <w:uiPriority w:val="34"/>
    <w:qFormat/>
    <w:rsid w:val="00820C0B"/>
    <w:pPr>
      <w:ind w:left="720"/>
    </w:pPr>
    <w:rPr>
      <w:rFonts w:ascii="Calibri" w:eastAsia="Times New Roman" w:hAnsi="Calibri" w:cs="Times New Roman"/>
    </w:rPr>
  </w:style>
  <w:style w:type="paragraph" w:customStyle="1" w:styleId="Default">
    <w:name w:val="Default"/>
    <w:rsid w:val="00820C0B"/>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E0C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0CC3"/>
    <w:pPr>
      <w:spacing w:after="0" w:line="240" w:lineRule="auto"/>
    </w:pPr>
  </w:style>
  <w:style w:type="paragraph" w:styleId="Caption">
    <w:name w:val="caption"/>
    <w:basedOn w:val="Normal"/>
    <w:next w:val="Normal"/>
    <w:uiPriority w:val="35"/>
    <w:unhideWhenUsed/>
    <w:qFormat/>
    <w:rsid w:val="000E0CC3"/>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Downloads\nibeditas%20master%20chart%20PROPER%20FOR%20SCD%20N%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ownloads\nibeditas%20THESIS%20FINAL%20TO%20UNIVERSITY\nibeditas%20master%20chart%20%20%20D%20FINAL%20calculated.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nibeditas%20master%20chart%20%20FINAL%20calculated.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nibeditas%20master%20chart%20%20FINAL%20calculated.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Downloads\nibeditas%20master%20chart%20PROPER%20FOR%20SCD%20N%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5"/>
  <c:chart>
    <c:autoTitleDeleted val="1"/>
    <c:view3D>
      <c:rAngAx val="1"/>
    </c:view3D>
    <c:sideWall>
      <c:spPr>
        <a:ln>
          <a:noFill/>
        </a:ln>
      </c:spPr>
    </c:sideWall>
    <c:backWall>
      <c:spPr>
        <a:ln>
          <a:noFill/>
        </a:ln>
      </c:spPr>
    </c:backWall>
    <c:plotArea>
      <c:layout>
        <c:manualLayout>
          <c:layoutTarget val="inner"/>
          <c:xMode val="edge"/>
          <c:yMode val="edge"/>
          <c:x val="0.11055664956624525"/>
          <c:y val="6.9258149182964746E-2"/>
          <c:w val="0.86540362332757303"/>
          <c:h val="0.52642560741360034"/>
        </c:manualLayout>
      </c:layout>
      <c:bar3DChart>
        <c:barDir val="col"/>
        <c:grouping val="clustered"/>
        <c:ser>
          <c:idx val="0"/>
          <c:order val="0"/>
          <c:tx>
            <c:strRef>
              <c:f>Sheet1!$B$15</c:f>
              <c:strCache>
                <c:ptCount val="1"/>
                <c:pt idx="0">
                  <c:v>number of patient</c:v>
                </c:pt>
              </c:strCache>
            </c:strRef>
          </c:tx>
          <c:spPr>
            <a:solidFill>
              <a:schemeClr val="tx1"/>
            </a:solidFill>
          </c:spPr>
          <c:dLbls>
            <c:txPr>
              <a:bodyPr/>
              <a:lstStyle/>
              <a:p>
                <a:pPr>
                  <a:defRPr lang="en-US"/>
                </a:pPr>
                <a:endParaRPr lang="en-US"/>
              </a:p>
            </c:txPr>
            <c:showVal val="1"/>
          </c:dLbls>
          <c:cat>
            <c:strRef>
              <c:f>Sheet1!$A$16:$A$20</c:f>
              <c:strCache>
                <c:ptCount val="5"/>
                <c:pt idx="0">
                  <c:v>beta thalassemiamajor</c:v>
                </c:pt>
                <c:pt idx="1">
                  <c:v>E-beta thalassemia</c:v>
                </c:pt>
                <c:pt idx="2">
                  <c:v>S-beta thalassemia</c:v>
                </c:pt>
                <c:pt idx="3">
                  <c:v>Sickle cell disease</c:v>
                </c:pt>
                <c:pt idx="4">
                  <c:v>E-sickle cell disease</c:v>
                </c:pt>
              </c:strCache>
            </c:strRef>
          </c:cat>
          <c:val>
            <c:numRef>
              <c:f>Sheet1!$B$16:$B$20</c:f>
              <c:numCache>
                <c:formatCode>General</c:formatCode>
                <c:ptCount val="5"/>
                <c:pt idx="0">
                  <c:v>33</c:v>
                </c:pt>
                <c:pt idx="1">
                  <c:v>28</c:v>
                </c:pt>
                <c:pt idx="2">
                  <c:v>1</c:v>
                </c:pt>
                <c:pt idx="3">
                  <c:v>37</c:v>
                </c:pt>
                <c:pt idx="4">
                  <c:v>1</c:v>
                </c:pt>
              </c:numCache>
            </c:numRef>
          </c:val>
        </c:ser>
        <c:shape val="box"/>
        <c:axId val="90570752"/>
        <c:axId val="90573056"/>
        <c:axId val="0"/>
      </c:bar3DChart>
      <c:catAx>
        <c:axId val="90570752"/>
        <c:scaling>
          <c:orientation val="minMax"/>
        </c:scaling>
        <c:axPos val="b"/>
        <c:tickLblPos val="nextTo"/>
        <c:txPr>
          <a:bodyPr/>
          <a:lstStyle/>
          <a:p>
            <a:pPr>
              <a:defRPr lang="en-US"/>
            </a:pPr>
            <a:endParaRPr lang="en-US"/>
          </a:p>
        </c:txPr>
        <c:crossAx val="90573056"/>
        <c:crosses val="autoZero"/>
        <c:auto val="1"/>
        <c:lblAlgn val="ctr"/>
        <c:lblOffset val="100"/>
      </c:catAx>
      <c:valAx>
        <c:axId val="90573056"/>
        <c:scaling>
          <c:orientation val="minMax"/>
        </c:scaling>
        <c:axPos val="l"/>
        <c:numFmt formatCode="General" sourceLinked="1"/>
        <c:tickLblPos val="nextTo"/>
        <c:txPr>
          <a:bodyPr/>
          <a:lstStyle/>
          <a:p>
            <a:pPr>
              <a:defRPr lang="en-US"/>
            </a:pPr>
            <a:endParaRPr lang="en-US"/>
          </a:p>
        </c:txPr>
        <c:crossAx val="90570752"/>
        <c:crosses val="autoZero"/>
        <c:crossBetween val="between"/>
      </c:valAx>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9"/>
  <c:chart>
    <c:plotArea>
      <c:layout/>
      <c:pieChart>
        <c:varyColors val="1"/>
        <c:ser>
          <c:idx val="0"/>
          <c:order val="0"/>
          <c:dLbls>
            <c:showVal val="1"/>
            <c:showCatName val="1"/>
            <c:showLeaderLines val="1"/>
          </c:dLbls>
          <c:cat>
            <c:strRef>
              <c:f>Sheet1!$H$10:$H$13</c:f>
              <c:strCache>
                <c:ptCount val="4"/>
                <c:pt idx="0">
                  <c:v>male with thalassemia</c:v>
                </c:pt>
                <c:pt idx="1">
                  <c:v>male with scd</c:v>
                </c:pt>
                <c:pt idx="2">
                  <c:v>female with thalassemia</c:v>
                </c:pt>
                <c:pt idx="3">
                  <c:v>female with scd</c:v>
                </c:pt>
              </c:strCache>
            </c:strRef>
          </c:cat>
          <c:val>
            <c:numRef>
              <c:f>Sheet1!$I$10:$I$13</c:f>
              <c:numCache>
                <c:formatCode>General</c:formatCode>
                <c:ptCount val="4"/>
                <c:pt idx="0">
                  <c:v>29</c:v>
                </c:pt>
                <c:pt idx="1">
                  <c:v>25</c:v>
                </c:pt>
                <c:pt idx="2">
                  <c:v>33</c:v>
                </c:pt>
                <c:pt idx="3">
                  <c:v>13</c:v>
                </c:pt>
              </c:numCache>
            </c:numRef>
          </c:val>
        </c:ser>
        <c:firstSliceAng val="0"/>
      </c:pieChart>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view3D>
      <c:rotX val="0"/>
      <c:rotY val="10"/>
      <c:perspective val="30"/>
    </c:view3D>
    <c:plotArea>
      <c:layout>
        <c:manualLayout>
          <c:layoutTarget val="inner"/>
          <c:xMode val="edge"/>
          <c:yMode val="edge"/>
          <c:x val="0.23171062992125985"/>
          <c:y val="5.1400554097404488E-2"/>
          <c:w val="0.7090269028871391"/>
          <c:h val="0.66859543598716864"/>
        </c:manualLayout>
      </c:layout>
      <c:bar3DChart>
        <c:barDir val="col"/>
        <c:grouping val="clustered"/>
        <c:ser>
          <c:idx val="0"/>
          <c:order val="0"/>
          <c:tx>
            <c:strRef>
              <c:f>Sheet1!$B$1</c:f>
              <c:strCache>
                <c:ptCount val="1"/>
                <c:pt idx="0">
                  <c:v>thalassemia</c:v>
                </c:pt>
              </c:strCache>
            </c:strRef>
          </c:tx>
          <c:dLbls>
            <c:showVal val="1"/>
          </c:dLbls>
          <c:cat>
            <c:strRef>
              <c:f>Sheet1!$A$2:$A$5</c:f>
              <c:strCache>
                <c:ptCount val="4"/>
                <c:pt idx="0">
                  <c:v>&lt;10</c:v>
                </c:pt>
                <c:pt idx="1">
                  <c:v>10--50</c:v>
                </c:pt>
                <c:pt idx="2">
                  <c:v>50--100</c:v>
                </c:pt>
                <c:pt idx="3">
                  <c:v>&gt;100</c:v>
                </c:pt>
              </c:strCache>
            </c:strRef>
          </c:cat>
          <c:val>
            <c:numRef>
              <c:f>Sheet1!$B$2:$B$5</c:f>
              <c:numCache>
                <c:formatCode>General</c:formatCode>
                <c:ptCount val="4"/>
                <c:pt idx="0">
                  <c:v>12</c:v>
                </c:pt>
                <c:pt idx="1">
                  <c:v>33</c:v>
                </c:pt>
                <c:pt idx="2">
                  <c:v>16</c:v>
                </c:pt>
                <c:pt idx="3">
                  <c:v>1</c:v>
                </c:pt>
              </c:numCache>
            </c:numRef>
          </c:val>
        </c:ser>
        <c:ser>
          <c:idx val="1"/>
          <c:order val="1"/>
          <c:tx>
            <c:strRef>
              <c:f>Sheet1!$C$1</c:f>
              <c:strCache>
                <c:ptCount val="1"/>
                <c:pt idx="0">
                  <c:v>scd</c:v>
                </c:pt>
              </c:strCache>
            </c:strRef>
          </c:tx>
          <c:dLbls>
            <c:showVal val="1"/>
          </c:dLbls>
          <c:cat>
            <c:strRef>
              <c:f>Sheet1!$A$2:$A$5</c:f>
              <c:strCache>
                <c:ptCount val="4"/>
                <c:pt idx="0">
                  <c:v>&lt;10</c:v>
                </c:pt>
                <c:pt idx="1">
                  <c:v>10--50</c:v>
                </c:pt>
                <c:pt idx="2">
                  <c:v>50--100</c:v>
                </c:pt>
                <c:pt idx="3">
                  <c:v>&gt;100</c:v>
                </c:pt>
              </c:strCache>
            </c:strRef>
          </c:cat>
          <c:val>
            <c:numRef>
              <c:f>Sheet1!$C$2:$C$5</c:f>
              <c:numCache>
                <c:formatCode>General</c:formatCode>
                <c:ptCount val="4"/>
                <c:pt idx="0">
                  <c:v>26</c:v>
                </c:pt>
                <c:pt idx="1">
                  <c:v>12</c:v>
                </c:pt>
                <c:pt idx="2">
                  <c:v>0</c:v>
                </c:pt>
                <c:pt idx="3">
                  <c:v>0</c:v>
                </c:pt>
              </c:numCache>
            </c:numRef>
          </c:val>
        </c:ser>
        <c:shape val="box"/>
        <c:axId val="48074112"/>
        <c:axId val="48092288"/>
        <c:axId val="0"/>
      </c:bar3DChart>
      <c:catAx>
        <c:axId val="48074112"/>
        <c:scaling>
          <c:orientation val="minMax"/>
        </c:scaling>
        <c:axPos val="b"/>
        <c:tickLblPos val="nextTo"/>
        <c:crossAx val="48092288"/>
        <c:crosses val="autoZero"/>
        <c:auto val="1"/>
        <c:lblAlgn val="ctr"/>
        <c:lblOffset val="100"/>
      </c:catAx>
      <c:valAx>
        <c:axId val="48092288"/>
        <c:scaling>
          <c:orientation val="minMax"/>
          <c:max val="50"/>
          <c:min val="0"/>
        </c:scaling>
        <c:axPos val="l"/>
        <c:numFmt formatCode="General" sourceLinked="1"/>
        <c:tickLblPos val="nextTo"/>
        <c:crossAx val="48074112"/>
        <c:crosses val="autoZero"/>
        <c:crossBetween val="between"/>
        <c:majorUnit val="5"/>
      </c:valAx>
    </c:plotArea>
    <c:legend>
      <c:legendPos val="r"/>
      <c:layout>
        <c:manualLayout>
          <c:xMode val="edge"/>
          <c:yMode val="edge"/>
          <c:x val="0.69286488858352036"/>
          <c:y val="2.739391951006203E-2"/>
          <c:w val="0.25476460245135979"/>
          <c:h val="0.26592982085293032"/>
        </c:manualLayout>
      </c:layout>
    </c:legend>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21523840769904046"/>
          <c:y val="8.3692403032954207E-2"/>
          <c:w val="0.70572681539809368"/>
          <c:h val="0.53134887844215595"/>
        </c:manualLayout>
      </c:layout>
      <c:scatterChart>
        <c:scatterStyle val="lineMarker"/>
        <c:ser>
          <c:idx val="0"/>
          <c:order val="0"/>
          <c:tx>
            <c:strRef>
              <c:f>'thal proper'!$B$1</c:f>
              <c:strCache>
                <c:ptCount val="1"/>
                <c:pt idx="0">
                  <c:v>ZINC</c:v>
                </c:pt>
              </c:strCache>
            </c:strRef>
          </c:tx>
          <c:spPr>
            <a:ln w="28575">
              <a:noFill/>
            </a:ln>
          </c:spPr>
          <c:trendline>
            <c:trendlineType val="linear"/>
          </c:trendline>
          <c:xVal>
            <c:numRef>
              <c:f>'thal proper'!$A$2:$A$63</c:f>
              <c:numCache>
                <c:formatCode>General</c:formatCode>
                <c:ptCount val="62"/>
                <c:pt idx="0">
                  <c:v>1200</c:v>
                </c:pt>
                <c:pt idx="1">
                  <c:v>989</c:v>
                </c:pt>
                <c:pt idx="2">
                  <c:v>458</c:v>
                </c:pt>
                <c:pt idx="3">
                  <c:v>1500</c:v>
                </c:pt>
                <c:pt idx="4">
                  <c:v>1500</c:v>
                </c:pt>
                <c:pt idx="5">
                  <c:v>1500</c:v>
                </c:pt>
                <c:pt idx="6">
                  <c:v>1500</c:v>
                </c:pt>
                <c:pt idx="7">
                  <c:v>1500</c:v>
                </c:pt>
                <c:pt idx="8">
                  <c:v>1500</c:v>
                </c:pt>
                <c:pt idx="9">
                  <c:v>700</c:v>
                </c:pt>
                <c:pt idx="10">
                  <c:v>1000</c:v>
                </c:pt>
                <c:pt idx="11">
                  <c:v>800</c:v>
                </c:pt>
                <c:pt idx="12">
                  <c:v>1500</c:v>
                </c:pt>
                <c:pt idx="13">
                  <c:v>1500</c:v>
                </c:pt>
                <c:pt idx="14">
                  <c:v>280</c:v>
                </c:pt>
                <c:pt idx="15">
                  <c:v>80</c:v>
                </c:pt>
                <c:pt idx="16">
                  <c:v>700</c:v>
                </c:pt>
                <c:pt idx="17">
                  <c:v>800</c:v>
                </c:pt>
                <c:pt idx="18">
                  <c:v>1500</c:v>
                </c:pt>
                <c:pt idx="19">
                  <c:v>1500</c:v>
                </c:pt>
                <c:pt idx="20">
                  <c:v>1500</c:v>
                </c:pt>
                <c:pt idx="21">
                  <c:v>1500</c:v>
                </c:pt>
                <c:pt idx="22">
                  <c:v>1000</c:v>
                </c:pt>
                <c:pt idx="23">
                  <c:v>850</c:v>
                </c:pt>
                <c:pt idx="24">
                  <c:v>1500</c:v>
                </c:pt>
                <c:pt idx="25">
                  <c:v>1400</c:v>
                </c:pt>
                <c:pt idx="26">
                  <c:v>1300</c:v>
                </c:pt>
                <c:pt idx="27">
                  <c:v>1400</c:v>
                </c:pt>
                <c:pt idx="28">
                  <c:v>800</c:v>
                </c:pt>
                <c:pt idx="29">
                  <c:v>1200</c:v>
                </c:pt>
                <c:pt idx="30">
                  <c:v>1500</c:v>
                </c:pt>
                <c:pt idx="31">
                  <c:v>1000</c:v>
                </c:pt>
                <c:pt idx="32">
                  <c:v>180</c:v>
                </c:pt>
                <c:pt idx="33">
                  <c:v>1300</c:v>
                </c:pt>
                <c:pt idx="34">
                  <c:v>1100</c:v>
                </c:pt>
                <c:pt idx="35">
                  <c:v>1200</c:v>
                </c:pt>
                <c:pt idx="36">
                  <c:v>280</c:v>
                </c:pt>
                <c:pt idx="37">
                  <c:v>1100</c:v>
                </c:pt>
                <c:pt idx="38">
                  <c:v>2756</c:v>
                </c:pt>
                <c:pt idx="39">
                  <c:v>1000</c:v>
                </c:pt>
                <c:pt idx="40">
                  <c:v>1200</c:v>
                </c:pt>
                <c:pt idx="41">
                  <c:v>2000</c:v>
                </c:pt>
                <c:pt idx="42">
                  <c:v>1000</c:v>
                </c:pt>
                <c:pt idx="43">
                  <c:v>2000</c:v>
                </c:pt>
                <c:pt idx="44">
                  <c:v>1000</c:v>
                </c:pt>
                <c:pt idx="45">
                  <c:v>1000</c:v>
                </c:pt>
                <c:pt idx="46">
                  <c:v>800</c:v>
                </c:pt>
                <c:pt idx="47">
                  <c:v>1000</c:v>
                </c:pt>
                <c:pt idx="48">
                  <c:v>1000</c:v>
                </c:pt>
                <c:pt idx="49">
                  <c:v>1400</c:v>
                </c:pt>
                <c:pt idx="50">
                  <c:v>1300</c:v>
                </c:pt>
                <c:pt idx="51">
                  <c:v>1200</c:v>
                </c:pt>
                <c:pt idx="52">
                  <c:v>500</c:v>
                </c:pt>
                <c:pt idx="53">
                  <c:v>1100</c:v>
                </c:pt>
                <c:pt idx="54">
                  <c:v>1000</c:v>
                </c:pt>
                <c:pt idx="55">
                  <c:v>1200</c:v>
                </c:pt>
                <c:pt idx="56">
                  <c:v>1400</c:v>
                </c:pt>
                <c:pt idx="57">
                  <c:v>1100</c:v>
                </c:pt>
                <c:pt idx="58">
                  <c:v>1100</c:v>
                </c:pt>
                <c:pt idx="59">
                  <c:v>440</c:v>
                </c:pt>
                <c:pt idx="60">
                  <c:v>480</c:v>
                </c:pt>
                <c:pt idx="61">
                  <c:v>1000</c:v>
                </c:pt>
              </c:numCache>
            </c:numRef>
          </c:xVal>
          <c:yVal>
            <c:numRef>
              <c:f>'thal proper'!$B$2:$B$63</c:f>
              <c:numCache>
                <c:formatCode>General</c:formatCode>
                <c:ptCount val="62"/>
                <c:pt idx="0">
                  <c:v>91.7</c:v>
                </c:pt>
                <c:pt idx="1">
                  <c:v>61</c:v>
                </c:pt>
                <c:pt idx="2">
                  <c:v>109</c:v>
                </c:pt>
                <c:pt idx="3">
                  <c:v>72.3</c:v>
                </c:pt>
                <c:pt idx="4">
                  <c:v>67.5</c:v>
                </c:pt>
                <c:pt idx="5">
                  <c:v>56.2</c:v>
                </c:pt>
                <c:pt idx="6">
                  <c:v>60.4</c:v>
                </c:pt>
                <c:pt idx="7">
                  <c:v>50.7</c:v>
                </c:pt>
                <c:pt idx="8">
                  <c:v>70.5</c:v>
                </c:pt>
                <c:pt idx="9">
                  <c:v>106</c:v>
                </c:pt>
                <c:pt idx="10">
                  <c:v>42.9</c:v>
                </c:pt>
                <c:pt idx="11">
                  <c:v>52</c:v>
                </c:pt>
                <c:pt idx="12">
                  <c:v>70.099999999999994</c:v>
                </c:pt>
                <c:pt idx="13">
                  <c:v>50.7</c:v>
                </c:pt>
                <c:pt idx="14">
                  <c:v>86</c:v>
                </c:pt>
                <c:pt idx="15">
                  <c:v>72.5</c:v>
                </c:pt>
                <c:pt idx="16">
                  <c:v>94.6</c:v>
                </c:pt>
                <c:pt idx="17">
                  <c:v>90.2</c:v>
                </c:pt>
                <c:pt idx="18">
                  <c:v>63.7</c:v>
                </c:pt>
                <c:pt idx="19">
                  <c:v>53.5</c:v>
                </c:pt>
                <c:pt idx="20">
                  <c:v>69.400000000000006</c:v>
                </c:pt>
                <c:pt idx="21">
                  <c:v>56.8</c:v>
                </c:pt>
                <c:pt idx="22">
                  <c:v>84.6</c:v>
                </c:pt>
                <c:pt idx="23">
                  <c:v>54.1</c:v>
                </c:pt>
                <c:pt idx="24">
                  <c:v>51.9</c:v>
                </c:pt>
                <c:pt idx="25">
                  <c:v>82.2</c:v>
                </c:pt>
                <c:pt idx="26">
                  <c:v>79.5</c:v>
                </c:pt>
                <c:pt idx="27">
                  <c:v>68.400000000000006</c:v>
                </c:pt>
                <c:pt idx="28">
                  <c:v>98</c:v>
                </c:pt>
                <c:pt idx="29">
                  <c:v>67</c:v>
                </c:pt>
                <c:pt idx="30">
                  <c:v>54</c:v>
                </c:pt>
                <c:pt idx="31">
                  <c:v>93</c:v>
                </c:pt>
                <c:pt idx="32">
                  <c:v>96.2</c:v>
                </c:pt>
                <c:pt idx="33">
                  <c:v>46.4</c:v>
                </c:pt>
                <c:pt idx="34">
                  <c:v>68</c:v>
                </c:pt>
                <c:pt idx="35">
                  <c:v>93.7</c:v>
                </c:pt>
                <c:pt idx="36">
                  <c:v>86</c:v>
                </c:pt>
                <c:pt idx="37">
                  <c:v>70</c:v>
                </c:pt>
                <c:pt idx="38">
                  <c:v>60</c:v>
                </c:pt>
                <c:pt idx="39">
                  <c:v>92</c:v>
                </c:pt>
                <c:pt idx="40">
                  <c:v>62</c:v>
                </c:pt>
                <c:pt idx="41">
                  <c:v>88</c:v>
                </c:pt>
                <c:pt idx="42">
                  <c:v>72.3</c:v>
                </c:pt>
                <c:pt idx="43">
                  <c:v>68</c:v>
                </c:pt>
                <c:pt idx="44">
                  <c:v>63.8</c:v>
                </c:pt>
                <c:pt idx="45">
                  <c:v>82.2</c:v>
                </c:pt>
                <c:pt idx="46">
                  <c:v>60</c:v>
                </c:pt>
                <c:pt idx="47">
                  <c:v>90</c:v>
                </c:pt>
                <c:pt idx="48">
                  <c:v>79.2</c:v>
                </c:pt>
                <c:pt idx="49">
                  <c:v>52.9</c:v>
                </c:pt>
                <c:pt idx="50">
                  <c:v>54.1</c:v>
                </c:pt>
                <c:pt idx="51">
                  <c:v>88</c:v>
                </c:pt>
                <c:pt idx="52">
                  <c:v>68</c:v>
                </c:pt>
                <c:pt idx="53">
                  <c:v>76.2</c:v>
                </c:pt>
                <c:pt idx="54">
                  <c:v>72.5</c:v>
                </c:pt>
                <c:pt idx="55">
                  <c:v>96.5</c:v>
                </c:pt>
                <c:pt idx="56">
                  <c:v>62</c:v>
                </c:pt>
                <c:pt idx="57">
                  <c:v>46.4</c:v>
                </c:pt>
                <c:pt idx="58">
                  <c:v>51.9</c:v>
                </c:pt>
                <c:pt idx="59">
                  <c:v>70.099999999999994</c:v>
                </c:pt>
                <c:pt idx="60">
                  <c:v>90.1</c:v>
                </c:pt>
                <c:pt idx="61">
                  <c:v>68</c:v>
                </c:pt>
              </c:numCache>
            </c:numRef>
          </c:yVal>
        </c:ser>
        <c:axId val="64637184"/>
        <c:axId val="64638976"/>
      </c:scatterChart>
      <c:valAx>
        <c:axId val="64637184"/>
        <c:scaling>
          <c:orientation val="minMax"/>
        </c:scaling>
        <c:axPos val="b"/>
        <c:numFmt formatCode="General" sourceLinked="1"/>
        <c:tickLblPos val="nextTo"/>
        <c:txPr>
          <a:bodyPr/>
          <a:lstStyle/>
          <a:p>
            <a:pPr>
              <a:defRPr lang="en-US"/>
            </a:pPr>
            <a:endParaRPr lang="en-US"/>
          </a:p>
        </c:txPr>
        <c:crossAx val="64638976"/>
        <c:crosses val="autoZero"/>
        <c:crossBetween val="midCat"/>
      </c:valAx>
      <c:valAx>
        <c:axId val="64638976"/>
        <c:scaling>
          <c:orientation val="minMax"/>
        </c:scaling>
        <c:axPos val="l"/>
        <c:numFmt formatCode="General" sourceLinked="1"/>
        <c:tickLblPos val="nextTo"/>
        <c:txPr>
          <a:bodyPr/>
          <a:lstStyle/>
          <a:p>
            <a:pPr>
              <a:defRPr lang="en-US"/>
            </a:pPr>
            <a:endParaRPr lang="en-US"/>
          </a:p>
        </c:txPr>
        <c:crossAx val="64637184"/>
        <c:crosses val="autoZero"/>
        <c:crossBetween val="midCat"/>
      </c:valAx>
    </c:plotArea>
    <c:legend>
      <c:legendPos val="r"/>
      <c:layout>
        <c:manualLayout>
          <c:xMode val="edge"/>
          <c:yMode val="edge"/>
          <c:x val="0.78050503730620502"/>
          <c:y val="3.4280402449693811E-2"/>
          <c:w val="0.19982901459482574"/>
          <c:h val="0.23328310568868582"/>
        </c:manualLayout>
      </c:layout>
      <c:txPr>
        <a:bodyPr/>
        <a:lstStyle/>
        <a:p>
          <a:pPr>
            <a:defRPr lang="en-US"/>
          </a:pPr>
          <a:endParaRPr lang="en-US"/>
        </a:p>
      </c:txPr>
    </c:legend>
    <c:plotVisOnly val="1"/>
  </c:chart>
  <c:spPr>
    <a:ln>
      <a:noFill/>
    </a:ln>
  </c:sp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750717057301344"/>
          <c:y val="5.1400554097404488E-2"/>
          <c:w val="0.728916418480966"/>
          <c:h val="0.68189686572706831"/>
        </c:manualLayout>
      </c:layout>
      <c:scatterChart>
        <c:scatterStyle val="lineMarker"/>
        <c:ser>
          <c:idx val="0"/>
          <c:order val="0"/>
          <c:tx>
            <c:strRef>
              <c:f>'graphs for scd'!$Q$1</c:f>
              <c:strCache>
                <c:ptCount val="1"/>
                <c:pt idx="0">
                  <c:v>ZINC in mg/dl </c:v>
                </c:pt>
              </c:strCache>
            </c:strRef>
          </c:tx>
          <c:spPr>
            <a:ln w="28575">
              <a:noFill/>
            </a:ln>
          </c:spPr>
          <c:trendline>
            <c:trendlineType val="linear"/>
          </c:trendline>
          <c:xVal>
            <c:numRef>
              <c:f>'graphs for scd'!$P$2:$P$72</c:f>
              <c:numCache>
                <c:formatCode>General</c:formatCode>
                <c:ptCount val="71"/>
                <c:pt idx="0">
                  <c:v>81.2</c:v>
                </c:pt>
                <c:pt idx="1">
                  <c:v>440</c:v>
                </c:pt>
                <c:pt idx="2">
                  <c:v>375</c:v>
                </c:pt>
                <c:pt idx="3">
                  <c:v>1200</c:v>
                </c:pt>
                <c:pt idx="4">
                  <c:v>1261</c:v>
                </c:pt>
                <c:pt idx="5">
                  <c:v>298</c:v>
                </c:pt>
                <c:pt idx="6">
                  <c:v>120</c:v>
                </c:pt>
                <c:pt idx="7">
                  <c:v>200</c:v>
                </c:pt>
                <c:pt idx="8">
                  <c:v>700</c:v>
                </c:pt>
                <c:pt idx="9">
                  <c:v>100</c:v>
                </c:pt>
                <c:pt idx="10">
                  <c:v>1100</c:v>
                </c:pt>
                <c:pt idx="11">
                  <c:v>1200</c:v>
                </c:pt>
                <c:pt idx="12">
                  <c:v>155</c:v>
                </c:pt>
                <c:pt idx="13">
                  <c:v>1200</c:v>
                </c:pt>
                <c:pt idx="14">
                  <c:v>800</c:v>
                </c:pt>
                <c:pt idx="15">
                  <c:v>755</c:v>
                </c:pt>
                <c:pt idx="16">
                  <c:v>70</c:v>
                </c:pt>
                <c:pt idx="17">
                  <c:v>670</c:v>
                </c:pt>
                <c:pt idx="18">
                  <c:v>280</c:v>
                </c:pt>
                <c:pt idx="19">
                  <c:v>1000</c:v>
                </c:pt>
                <c:pt idx="20">
                  <c:v>800</c:v>
                </c:pt>
                <c:pt idx="21">
                  <c:v>1000</c:v>
                </c:pt>
                <c:pt idx="22">
                  <c:v>300</c:v>
                </c:pt>
                <c:pt idx="23">
                  <c:v>650</c:v>
                </c:pt>
                <c:pt idx="24">
                  <c:v>450</c:v>
                </c:pt>
                <c:pt idx="25">
                  <c:v>500</c:v>
                </c:pt>
                <c:pt idx="26">
                  <c:v>755</c:v>
                </c:pt>
                <c:pt idx="27">
                  <c:v>1100</c:v>
                </c:pt>
                <c:pt idx="28">
                  <c:v>800</c:v>
                </c:pt>
                <c:pt idx="29">
                  <c:v>650</c:v>
                </c:pt>
                <c:pt idx="30">
                  <c:v>800</c:v>
                </c:pt>
                <c:pt idx="31">
                  <c:v>450</c:v>
                </c:pt>
                <c:pt idx="32">
                  <c:v>380</c:v>
                </c:pt>
                <c:pt idx="33">
                  <c:v>1100</c:v>
                </c:pt>
                <c:pt idx="34">
                  <c:v>255</c:v>
                </c:pt>
                <c:pt idx="35">
                  <c:v>600</c:v>
                </c:pt>
                <c:pt idx="36">
                  <c:v>500</c:v>
                </c:pt>
                <c:pt idx="37">
                  <c:v>500</c:v>
                </c:pt>
              </c:numCache>
            </c:numRef>
          </c:xVal>
          <c:yVal>
            <c:numRef>
              <c:f>'graphs for scd'!$Q$2:$Q$72</c:f>
              <c:numCache>
                <c:formatCode>General</c:formatCode>
                <c:ptCount val="71"/>
                <c:pt idx="0">
                  <c:v>72.900000000000006</c:v>
                </c:pt>
                <c:pt idx="1">
                  <c:v>80.400000000000006</c:v>
                </c:pt>
                <c:pt idx="2">
                  <c:v>96.4</c:v>
                </c:pt>
                <c:pt idx="3">
                  <c:v>53.5</c:v>
                </c:pt>
                <c:pt idx="4">
                  <c:v>46.5</c:v>
                </c:pt>
                <c:pt idx="5">
                  <c:v>81.5</c:v>
                </c:pt>
                <c:pt idx="6">
                  <c:v>92.5</c:v>
                </c:pt>
                <c:pt idx="7">
                  <c:v>84.5</c:v>
                </c:pt>
                <c:pt idx="8">
                  <c:v>60.1</c:v>
                </c:pt>
                <c:pt idx="9">
                  <c:v>93.9</c:v>
                </c:pt>
                <c:pt idx="10">
                  <c:v>56.9</c:v>
                </c:pt>
                <c:pt idx="11">
                  <c:v>47.1</c:v>
                </c:pt>
                <c:pt idx="12">
                  <c:v>98.4</c:v>
                </c:pt>
                <c:pt idx="13">
                  <c:v>57.2</c:v>
                </c:pt>
                <c:pt idx="14">
                  <c:v>72.5</c:v>
                </c:pt>
                <c:pt idx="15">
                  <c:v>65.3</c:v>
                </c:pt>
                <c:pt idx="16">
                  <c:v>73.599999999999994</c:v>
                </c:pt>
                <c:pt idx="17">
                  <c:v>68.599999999999994</c:v>
                </c:pt>
                <c:pt idx="18">
                  <c:v>94.5</c:v>
                </c:pt>
                <c:pt idx="19">
                  <c:v>56.1</c:v>
                </c:pt>
                <c:pt idx="20">
                  <c:v>98.1</c:v>
                </c:pt>
                <c:pt idx="21">
                  <c:v>70.099999999999994</c:v>
                </c:pt>
                <c:pt idx="22">
                  <c:v>64.5</c:v>
                </c:pt>
                <c:pt idx="23">
                  <c:v>87.6</c:v>
                </c:pt>
                <c:pt idx="24">
                  <c:v>84.7</c:v>
                </c:pt>
                <c:pt idx="25">
                  <c:v>78.3</c:v>
                </c:pt>
                <c:pt idx="26">
                  <c:v>66.400000000000006</c:v>
                </c:pt>
                <c:pt idx="27">
                  <c:v>56.1</c:v>
                </c:pt>
                <c:pt idx="28">
                  <c:v>70.400000000000006</c:v>
                </c:pt>
                <c:pt idx="29">
                  <c:v>77.3</c:v>
                </c:pt>
                <c:pt idx="30">
                  <c:v>47.2</c:v>
                </c:pt>
                <c:pt idx="31">
                  <c:v>64.5</c:v>
                </c:pt>
                <c:pt idx="32">
                  <c:v>63.6</c:v>
                </c:pt>
                <c:pt idx="33">
                  <c:v>54.9</c:v>
                </c:pt>
                <c:pt idx="34">
                  <c:v>74.3</c:v>
                </c:pt>
                <c:pt idx="35">
                  <c:v>68.599999999999994</c:v>
                </c:pt>
                <c:pt idx="36">
                  <c:v>85.3</c:v>
                </c:pt>
                <c:pt idx="37">
                  <c:v>78.400000000000006</c:v>
                </c:pt>
              </c:numCache>
            </c:numRef>
          </c:yVal>
        </c:ser>
        <c:axId val="65015808"/>
        <c:axId val="65017344"/>
      </c:scatterChart>
      <c:valAx>
        <c:axId val="65015808"/>
        <c:scaling>
          <c:orientation val="minMax"/>
        </c:scaling>
        <c:axPos val="b"/>
        <c:numFmt formatCode="General" sourceLinked="1"/>
        <c:tickLblPos val="nextTo"/>
        <c:txPr>
          <a:bodyPr/>
          <a:lstStyle/>
          <a:p>
            <a:pPr>
              <a:defRPr lang="en-US"/>
            </a:pPr>
            <a:endParaRPr lang="en-US"/>
          </a:p>
        </c:txPr>
        <c:crossAx val="65017344"/>
        <c:crosses val="autoZero"/>
        <c:crossBetween val="midCat"/>
      </c:valAx>
      <c:valAx>
        <c:axId val="65017344"/>
        <c:scaling>
          <c:orientation val="minMax"/>
        </c:scaling>
        <c:axPos val="l"/>
        <c:numFmt formatCode="General" sourceLinked="1"/>
        <c:tickLblPos val="nextTo"/>
        <c:txPr>
          <a:bodyPr/>
          <a:lstStyle/>
          <a:p>
            <a:pPr>
              <a:defRPr lang="en-US"/>
            </a:pPr>
            <a:endParaRPr lang="en-US"/>
          </a:p>
        </c:txPr>
        <c:crossAx val="65015808"/>
        <c:crosses val="autoZero"/>
        <c:crossBetween val="midCat"/>
      </c:valAx>
    </c:plotArea>
    <c:legend>
      <c:legendPos val="r"/>
      <c:layout>
        <c:manualLayout>
          <c:xMode val="edge"/>
          <c:yMode val="edge"/>
          <c:x val="0.73501896897712149"/>
          <c:y val="5.0542067658209393E-2"/>
          <c:w val="0.24831448827019045"/>
          <c:h val="0.24508360394521878"/>
        </c:manualLayout>
      </c:layout>
      <c:txPr>
        <a:bodyPr/>
        <a:lstStyle/>
        <a:p>
          <a:pPr>
            <a:defRPr lang="en-US"/>
          </a:pPr>
          <a:endParaRPr lang="en-US"/>
        </a:p>
      </c:txP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0.39268</cdr:x>
      <cdr:y>0.85417</cdr:y>
    </cdr:from>
    <cdr:to>
      <cdr:x>0.72333</cdr:x>
      <cdr:y>1</cdr:y>
    </cdr:to>
    <cdr:sp macro="" textlink="">
      <cdr:nvSpPr>
        <cdr:cNvPr id="2" name="TextBox 1"/>
        <cdr:cNvSpPr txBox="1"/>
      </cdr:nvSpPr>
      <cdr:spPr>
        <a:xfrm xmlns:a="http://schemas.openxmlformats.org/drawingml/2006/main">
          <a:off x="2235051" y="2978900"/>
          <a:ext cx="1881963" cy="50857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number of transfusion</a:t>
          </a:r>
        </a:p>
      </cdr:txBody>
    </cdr:sp>
  </cdr:relSizeAnchor>
  <cdr:relSizeAnchor xmlns:cdr="http://schemas.openxmlformats.org/drawingml/2006/chartDrawing">
    <cdr:from>
      <cdr:x>0.07062</cdr:x>
      <cdr:y>0.28905</cdr:y>
    </cdr:from>
    <cdr:to>
      <cdr:x>0.23127</cdr:x>
      <cdr:y>0.84684</cdr:y>
    </cdr:to>
    <cdr:sp macro="" textlink="">
      <cdr:nvSpPr>
        <cdr:cNvPr id="4" name="TextBox 3"/>
        <cdr:cNvSpPr txBox="1"/>
      </cdr:nvSpPr>
      <cdr:spPr>
        <a:xfrm xmlns:a="http://schemas.openxmlformats.org/drawingml/2006/main" rot="16200000">
          <a:off x="0" y="793881"/>
          <a:ext cx="1055513" cy="561683"/>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number of patients </a:t>
          </a:r>
        </a:p>
      </cdr:txBody>
    </cdr:sp>
  </cdr:relSizeAnchor>
</c:userShapes>
</file>

<file path=word/drawings/drawing2.xml><?xml version="1.0" encoding="utf-8"?>
<c:userShapes xmlns:c="http://schemas.openxmlformats.org/drawingml/2006/chart">
  <cdr:relSizeAnchor xmlns:cdr="http://schemas.openxmlformats.org/drawingml/2006/chartDrawing">
    <cdr:from>
      <cdr:x>0.02404</cdr:x>
      <cdr:y>0.36047</cdr:y>
    </cdr:from>
    <cdr:to>
      <cdr:x>0.25397</cdr:x>
      <cdr:y>0.6938</cdr:y>
    </cdr:to>
    <cdr:sp macro="" textlink="">
      <cdr:nvSpPr>
        <cdr:cNvPr id="2" name="TextBox 1"/>
        <cdr:cNvSpPr txBox="1"/>
      </cdr:nvSpPr>
      <cdr:spPr>
        <a:xfrm xmlns:a="http://schemas.openxmlformats.org/drawingml/2006/main" rot="16200000">
          <a:off x="135379" y="560794"/>
          <a:ext cx="576038" cy="70033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zinc ( </a:t>
          </a:r>
          <a:r>
            <a:rPr lang="en-US" sz="1100">
              <a:latin typeface="Calibri"/>
            </a:rPr>
            <a:t>µ</a:t>
          </a:r>
          <a:r>
            <a:rPr lang="en-US" sz="1100"/>
            <a:t>g/ml )</a:t>
          </a:r>
        </a:p>
      </cdr:txBody>
    </cdr:sp>
  </cdr:relSizeAnchor>
  <cdr:relSizeAnchor xmlns:cdr="http://schemas.openxmlformats.org/drawingml/2006/chartDrawing">
    <cdr:from>
      <cdr:x>0.40412</cdr:x>
      <cdr:y>0.80583</cdr:y>
    </cdr:from>
    <cdr:to>
      <cdr:x>0.70281</cdr:x>
      <cdr:y>1</cdr:y>
    </cdr:to>
    <cdr:sp macro="" textlink="">
      <cdr:nvSpPr>
        <cdr:cNvPr id="3" name="TextBox 2"/>
        <cdr:cNvSpPr txBox="1"/>
      </cdr:nvSpPr>
      <cdr:spPr>
        <a:xfrm xmlns:a="http://schemas.openxmlformats.org/drawingml/2006/main">
          <a:off x="1230910" y="1392572"/>
          <a:ext cx="909761" cy="33556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ferritin ( ng/ml )</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0.33206</cdr:y>
    </cdr:from>
    <cdr:to>
      <cdr:x>0.20323</cdr:x>
      <cdr:y>0.66031</cdr:y>
    </cdr:to>
    <cdr:sp macro="" textlink="">
      <cdr:nvSpPr>
        <cdr:cNvPr id="2" name="TextBox 1"/>
        <cdr:cNvSpPr txBox="1"/>
      </cdr:nvSpPr>
      <cdr:spPr>
        <a:xfrm xmlns:a="http://schemas.openxmlformats.org/drawingml/2006/main" rot="16200000">
          <a:off x="20933" y="708907"/>
          <a:ext cx="721466" cy="76333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ZINC (</a:t>
          </a:r>
          <a:r>
            <a:rPr lang="en-US" sz="1100">
              <a:latin typeface="Calibri"/>
            </a:rPr>
            <a:t>µg/dl )</a:t>
          </a:r>
          <a:endParaRPr lang="en-US" sz="1100"/>
        </a:p>
      </cdr:txBody>
    </cdr:sp>
  </cdr:relSizeAnchor>
  <cdr:relSizeAnchor xmlns:cdr="http://schemas.openxmlformats.org/drawingml/2006/chartDrawing">
    <cdr:from>
      <cdr:x>0.36587</cdr:x>
      <cdr:y>0.86095</cdr:y>
    </cdr:from>
    <cdr:to>
      <cdr:x>0.66009</cdr:x>
      <cdr:y>1</cdr:y>
    </cdr:to>
    <cdr:sp macro="" textlink="">
      <cdr:nvSpPr>
        <cdr:cNvPr id="3" name="TextBox 2"/>
        <cdr:cNvSpPr txBox="1"/>
      </cdr:nvSpPr>
      <cdr:spPr>
        <a:xfrm xmlns:a="http://schemas.openxmlformats.org/drawingml/2006/main">
          <a:off x="1156287" y="1451295"/>
          <a:ext cx="929847" cy="23439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1100"/>
            <a:t>ferritin (ng/ml)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5410216D-A244-4A58-915E-B64E370E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2019-03-28T11:36:00Z</dcterms:created>
  <dcterms:modified xsi:type="dcterms:W3CDTF">2019-04-26T19:44:00Z</dcterms:modified>
</cp:coreProperties>
</file>