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E8" w:rsidRPr="00E973E8" w:rsidRDefault="00E973E8" w:rsidP="00E973E8">
      <w:pPr>
        <w:spacing w:before="240" w:line="240" w:lineRule="auto"/>
        <w:jc w:val="both"/>
        <w:rPr>
          <w:bCs/>
          <w:sz w:val="44"/>
          <w:szCs w:val="44"/>
        </w:rPr>
      </w:pPr>
      <w:r w:rsidRPr="00E973E8">
        <w:rPr>
          <w:bCs/>
          <w:sz w:val="44"/>
          <w:szCs w:val="44"/>
        </w:rPr>
        <w:t>ORIGINAL PAPER</w:t>
      </w:r>
    </w:p>
    <w:p w:rsidR="00E973E8" w:rsidRDefault="00E973E8" w:rsidP="00E973E8">
      <w:pPr>
        <w:spacing w:before="240" w:line="240" w:lineRule="auto"/>
        <w:jc w:val="both"/>
        <w:rPr>
          <w:b/>
          <w:sz w:val="44"/>
          <w:szCs w:val="44"/>
        </w:rPr>
      </w:pPr>
      <w:r>
        <w:rPr>
          <w:b/>
          <w:sz w:val="44"/>
          <w:szCs w:val="44"/>
        </w:rPr>
        <w:t xml:space="preserve">Efficacy of </w:t>
      </w:r>
      <w:r w:rsidRPr="00E973E8">
        <w:rPr>
          <w:b/>
          <w:sz w:val="44"/>
          <w:szCs w:val="44"/>
        </w:rPr>
        <w:t xml:space="preserve">Trabeculectomy </w:t>
      </w:r>
      <w:r>
        <w:rPr>
          <w:b/>
          <w:sz w:val="44"/>
          <w:szCs w:val="44"/>
        </w:rPr>
        <w:t>and</w:t>
      </w:r>
      <w:r w:rsidRPr="00E973E8">
        <w:rPr>
          <w:b/>
          <w:sz w:val="44"/>
          <w:szCs w:val="44"/>
        </w:rPr>
        <w:t xml:space="preserve"> manual small incision cataract surgery with posterior chamber intraocular lens implantation</w:t>
      </w:r>
    </w:p>
    <w:p w:rsidR="00E973E8" w:rsidRDefault="00E973E8" w:rsidP="00E973E8">
      <w:pPr>
        <w:spacing w:before="240" w:line="240" w:lineRule="auto"/>
        <w:jc w:val="both"/>
        <w:rPr>
          <w:bCs/>
          <w:i/>
          <w:iCs/>
          <w:sz w:val="24"/>
          <w:szCs w:val="24"/>
          <w:vertAlign w:val="superscript"/>
        </w:rPr>
      </w:pPr>
      <w:r w:rsidRPr="00E973E8">
        <w:rPr>
          <w:bCs/>
          <w:i/>
          <w:iCs/>
          <w:sz w:val="24"/>
          <w:szCs w:val="24"/>
        </w:rPr>
        <w:t xml:space="preserve">Deka </w:t>
      </w:r>
      <w:r w:rsidR="0054606C">
        <w:rPr>
          <w:bCs/>
          <w:i/>
          <w:iCs/>
          <w:sz w:val="24"/>
          <w:szCs w:val="24"/>
        </w:rPr>
        <w:t>R</w:t>
      </w:r>
      <w:r w:rsidRPr="00E973E8">
        <w:rPr>
          <w:bCs/>
          <w:i/>
          <w:iCs/>
          <w:sz w:val="24"/>
          <w:szCs w:val="24"/>
        </w:rPr>
        <w:t>ita</w:t>
      </w:r>
      <w:r>
        <w:rPr>
          <w:bCs/>
          <w:i/>
          <w:iCs/>
          <w:sz w:val="24"/>
          <w:szCs w:val="24"/>
          <w:vertAlign w:val="superscript"/>
        </w:rPr>
        <w:t>*</w:t>
      </w:r>
    </w:p>
    <w:p w:rsidR="00E973E8" w:rsidRDefault="00E973E8" w:rsidP="00E973E8">
      <w:pPr>
        <w:spacing w:before="240" w:line="240" w:lineRule="auto"/>
        <w:jc w:val="both"/>
        <w:rPr>
          <w:bCs/>
          <w:i/>
          <w:iCs/>
          <w:sz w:val="24"/>
          <w:szCs w:val="24"/>
        </w:rPr>
      </w:pPr>
      <w:r w:rsidRPr="00E973E8">
        <w:rPr>
          <w:bCs/>
          <w:i/>
          <w:iCs/>
          <w:sz w:val="24"/>
          <w:szCs w:val="24"/>
          <w:highlight w:val="green"/>
        </w:rPr>
        <w:t>Received on January 11 ,2019; editorial approval on May 10, 2019</w:t>
      </w:r>
    </w:p>
    <w:p w:rsidR="00E973E8" w:rsidRDefault="00E973E8" w:rsidP="00E973E8">
      <w:pPr>
        <w:spacing w:before="240" w:line="240" w:lineRule="auto"/>
        <w:jc w:val="both"/>
        <w:rPr>
          <w:b/>
          <w:sz w:val="24"/>
          <w:szCs w:val="24"/>
        </w:rPr>
      </w:pPr>
      <w:r w:rsidRPr="00E973E8">
        <w:rPr>
          <w:b/>
          <w:sz w:val="24"/>
          <w:szCs w:val="24"/>
        </w:rPr>
        <w:t>ABSTRACT</w:t>
      </w:r>
    </w:p>
    <w:p w:rsidR="00BF0C55" w:rsidRPr="00E973E8" w:rsidRDefault="00056833" w:rsidP="00D455E6">
      <w:pPr>
        <w:spacing w:before="240" w:line="240" w:lineRule="auto"/>
        <w:jc w:val="both"/>
        <w:rPr>
          <w:i/>
          <w:iCs/>
        </w:rPr>
      </w:pPr>
      <w:r w:rsidRPr="00E973E8">
        <w:rPr>
          <w:b/>
          <w:i/>
          <w:iCs/>
        </w:rPr>
        <w:t xml:space="preserve">Purpose: </w:t>
      </w:r>
      <w:r w:rsidR="00F1469E" w:rsidRPr="00E973E8">
        <w:rPr>
          <w:i/>
          <w:iCs/>
        </w:rPr>
        <w:t>Glaucoma co existing with cataract is frequently encountered in the practice of ophthalmology. The association has been found in primary open angle glaucoma in aging population, chronic angle closure glaucoma, pigmentary glaucoma, lens induced glaucoma, pseudoexfoliation glaucoma and to the use of strong</w:t>
      </w:r>
      <w:r w:rsidR="0070653B" w:rsidRPr="00E973E8">
        <w:rPr>
          <w:i/>
          <w:iCs/>
        </w:rPr>
        <w:t xml:space="preserve"> </w:t>
      </w:r>
      <w:r w:rsidR="00F1469E" w:rsidRPr="00E973E8">
        <w:rPr>
          <w:i/>
          <w:iCs/>
        </w:rPr>
        <w:t xml:space="preserve"> miotics in the medical thera</w:t>
      </w:r>
      <w:r w:rsidR="008B23D3" w:rsidRPr="00E973E8">
        <w:rPr>
          <w:i/>
          <w:iCs/>
        </w:rPr>
        <w:t>p</w:t>
      </w:r>
      <w:r w:rsidR="00F1469E" w:rsidRPr="00E973E8">
        <w:rPr>
          <w:i/>
          <w:iCs/>
        </w:rPr>
        <w:t>y of glaucoma.</w:t>
      </w:r>
      <w:r w:rsidR="008B23D3" w:rsidRPr="00E973E8">
        <w:rPr>
          <w:i/>
          <w:iCs/>
        </w:rPr>
        <w:t xml:space="preserve"> </w:t>
      </w:r>
      <w:r w:rsidR="00E973E8" w:rsidRPr="00E973E8">
        <w:rPr>
          <w:b/>
          <w:bCs/>
          <w:i/>
          <w:iCs/>
        </w:rPr>
        <w:t>Introduction</w:t>
      </w:r>
      <w:r w:rsidR="00E973E8" w:rsidRPr="00E973E8">
        <w:rPr>
          <w:i/>
          <w:iCs/>
        </w:rPr>
        <w:t xml:space="preserve">: </w:t>
      </w:r>
      <w:r w:rsidR="008B23D3" w:rsidRPr="00E973E8">
        <w:rPr>
          <w:i/>
          <w:iCs/>
        </w:rPr>
        <w:t>Primary open angle glaucoma</w:t>
      </w:r>
      <w:r w:rsidR="00E973E8" w:rsidRPr="00E973E8">
        <w:rPr>
          <w:i/>
          <w:iCs/>
        </w:rPr>
        <w:t xml:space="preserve"> </w:t>
      </w:r>
      <w:r w:rsidR="008B23D3" w:rsidRPr="00E973E8">
        <w:rPr>
          <w:i/>
          <w:iCs/>
        </w:rPr>
        <w:t>(POAG) and cataract are common</w:t>
      </w:r>
      <w:r w:rsidR="0070653B" w:rsidRPr="00E973E8">
        <w:rPr>
          <w:i/>
          <w:iCs/>
        </w:rPr>
        <w:t xml:space="preserve"> </w:t>
      </w:r>
      <w:r w:rsidR="008B23D3" w:rsidRPr="00E973E8">
        <w:rPr>
          <w:i/>
          <w:iCs/>
        </w:rPr>
        <w:t>eye disorders arising independently which occur in aging population</w:t>
      </w:r>
      <w:r w:rsidR="00E973E8" w:rsidRPr="00E973E8">
        <w:rPr>
          <w:i/>
          <w:iCs/>
        </w:rPr>
        <w:t xml:space="preserve">. </w:t>
      </w:r>
      <w:r w:rsidR="008B23D3" w:rsidRPr="00E973E8">
        <w:rPr>
          <w:i/>
          <w:iCs/>
        </w:rPr>
        <w:t xml:space="preserve">Surgery for cataract alone and medical treatment for glaucoma does not sound </w:t>
      </w:r>
      <w:r w:rsidR="0070653B" w:rsidRPr="00E973E8">
        <w:rPr>
          <w:i/>
          <w:iCs/>
        </w:rPr>
        <w:t xml:space="preserve">scientific  </w:t>
      </w:r>
      <w:r w:rsidR="008B23D3" w:rsidRPr="00E973E8">
        <w:rPr>
          <w:i/>
          <w:iCs/>
        </w:rPr>
        <w:t>because of the danger of irreversible chron</w:t>
      </w:r>
      <w:r w:rsidR="00BA2EF1" w:rsidRPr="00E973E8">
        <w:rPr>
          <w:i/>
          <w:iCs/>
        </w:rPr>
        <w:t>ic angle clo</w:t>
      </w:r>
      <w:r w:rsidR="008B23D3" w:rsidRPr="00E973E8">
        <w:rPr>
          <w:i/>
          <w:iCs/>
        </w:rPr>
        <w:t>s</w:t>
      </w:r>
      <w:r w:rsidR="00D9316A" w:rsidRPr="00E973E8">
        <w:rPr>
          <w:i/>
          <w:iCs/>
        </w:rPr>
        <w:t xml:space="preserve">ure after long term use of anti </w:t>
      </w:r>
      <w:r w:rsidR="008B23D3" w:rsidRPr="00E973E8">
        <w:rPr>
          <w:i/>
          <w:iCs/>
        </w:rPr>
        <w:t>glaucoma drugs. To avoid the risk of exposure of the patient twice to the intra and post operative complications; management of both the conditions at the same operative setting is beneficial to the patient. The proposed study aims to examine the results of this procedure in cataract with glaucomatous eyes in term of</w:t>
      </w:r>
      <w:r w:rsidR="00620F50" w:rsidRPr="00E973E8">
        <w:rPr>
          <w:i/>
          <w:iCs/>
        </w:rPr>
        <w:t xml:space="preserve"> long term effect on intraocular pressure level, improvement in visual acuity and occurrence of operative and post operative complications. </w:t>
      </w:r>
      <w:r w:rsidR="00620F50" w:rsidRPr="00E973E8">
        <w:rPr>
          <w:b/>
          <w:i/>
          <w:iCs/>
        </w:rPr>
        <w:t>Materials and methods:</w:t>
      </w:r>
      <w:r w:rsidR="00620F50" w:rsidRPr="00E973E8">
        <w:rPr>
          <w:i/>
          <w:iCs/>
        </w:rPr>
        <w:t xml:space="preserve"> The study was conducted on 30 cases admitted in Regional Institute of Ophthalmology</w:t>
      </w:r>
      <w:r w:rsidR="00920DB4" w:rsidRPr="00E973E8">
        <w:rPr>
          <w:i/>
          <w:iCs/>
        </w:rPr>
        <w:t>,</w:t>
      </w:r>
      <w:r w:rsidR="00D455E6">
        <w:rPr>
          <w:i/>
          <w:iCs/>
        </w:rPr>
        <w:t xml:space="preserve"> </w:t>
      </w:r>
      <w:r w:rsidR="00920DB4" w:rsidRPr="00E973E8">
        <w:rPr>
          <w:i/>
          <w:iCs/>
        </w:rPr>
        <w:t>Gauhati Medical college.</w:t>
      </w:r>
      <w:r w:rsidR="00D455E6">
        <w:rPr>
          <w:i/>
          <w:iCs/>
        </w:rPr>
        <w:t xml:space="preserve"> </w:t>
      </w:r>
      <w:r w:rsidR="00920DB4" w:rsidRPr="00E973E8">
        <w:rPr>
          <w:i/>
          <w:iCs/>
        </w:rPr>
        <w:t>Cataract cases co-existing with primary open angle glaucoma previously receiving maximally tolerated medication ,but with poor control; chronic angle closure glaucoma; intraocular pressure above 22mm of Hg and a visually significant cataract;</w:t>
      </w:r>
      <w:r w:rsidR="00D455E6">
        <w:rPr>
          <w:i/>
          <w:iCs/>
        </w:rPr>
        <w:t xml:space="preserve"> </w:t>
      </w:r>
      <w:r w:rsidR="00920DB4" w:rsidRPr="00E973E8">
        <w:rPr>
          <w:i/>
          <w:iCs/>
        </w:rPr>
        <w:t>lens induced glaucoma; cases of age related macular degeneration in other eye</w:t>
      </w:r>
      <w:r w:rsidR="00FB28B1" w:rsidRPr="00E973E8">
        <w:rPr>
          <w:i/>
          <w:iCs/>
        </w:rPr>
        <w:t>; pigmentary glaucoma were only included  for the study.</w:t>
      </w:r>
      <w:r w:rsidR="00D455E6">
        <w:rPr>
          <w:i/>
          <w:iCs/>
        </w:rPr>
        <w:t xml:space="preserve"> </w:t>
      </w:r>
      <w:r w:rsidR="00FB28B1" w:rsidRPr="00E973E8">
        <w:rPr>
          <w:i/>
          <w:iCs/>
        </w:rPr>
        <w:t>A thorough ocular examination with slit lamp, tonometry, gonioscopy,</w:t>
      </w:r>
      <w:r w:rsidR="00D455E6">
        <w:rPr>
          <w:i/>
          <w:iCs/>
        </w:rPr>
        <w:t xml:space="preserve"> </w:t>
      </w:r>
      <w:r w:rsidR="00FB28B1" w:rsidRPr="00E973E8">
        <w:rPr>
          <w:i/>
          <w:iCs/>
        </w:rPr>
        <w:t>ophthalmoscopy,</w:t>
      </w:r>
      <w:r w:rsidR="00D455E6">
        <w:rPr>
          <w:i/>
          <w:iCs/>
        </w:rPr>
        <w:t xml:space="preserve"> </w:t>
      </w:r>
      <w:r w:rsidR="00FB28B1" w:rsidRPr="00E973E8">
        <w:rPr>
          <w:i/>
          <w:iCs/>
        </w:rPr>
        <w:t>field charting and operative procedure with pre-operative and post-operative care.</w:t>
      </w:r>
      <w:r w:rsidR="00E973E8" w:rsidRPr="00E973E8">
        <w:rPr>
          <w:i/>
          <w:iCs/>
        </w:rPr>
        <w:t xml:space="preserve"> </w:t>
      </w:r>
      <w:r w:rsidR="00FB28B1" w:rsidRPr="00E973E8">
        <w:rPr>
          <w:b/>
          <w:i/>
          <w:iCs/>
        </w:rPr>
        <w:t>Results:</w:t>
      </w:r>
      <w:r w:rsidR="00D455E6">
        <w:rPr>
          <w:b/>
          <w:i/>
          <w:iCs/>
        </w:rPr>
        <w:t xml:space="preserve"> </w:t>
      </w:r>
      <w:r w:rsidR="00542403" w:rsidRPr="00E973E8">
        <w:rPr>
          <w:i/>
          <w:iCs/>
        </w:rPr>
        <w:t>The mean age of the patients were 55.5 years. The follow ups were 6 weeks and 6 months. Thirty eyes of 30 patients u</w:t>
      </w:r>
      <w:r w:rsidR="00494052" w:rsidRPr="00E973E8">
        <w:rPr>
          <w:i/>
          <w:iCs/>
        </w:rPr>
        <w:t>nderwent trabeculectomy and SICS</w:t>
      </w:r>
      <w:r w:rsidR="00542403" w:rsidRPr="00E973E8">
        <w:rPr>
          <w:i/>
          <w:iCs/>
        </w:rPr>
        <w:t xml:space="preserve"> with PCIOL.</w:t>
      </w:r>
      <w:r w:rsidR="00E973E8" w:rsidRPr="00E973E8">
        <w:rPr>
          <w:i/>
          <w:iCs/>
        </w:rPr>
        <w:t xml:space="preserve"> </w:t>
      </w:r>
      <w:r w:rsidR="00542403" w:rsidRPr="00E973E8">
        <w:rPr>
          <w:i/>
          <w:iCs/>
        </w:rPr>
        <w:t>Primary open angle glauma</w:t>
      </w:r>
      <w:r w:rsidR="00D455E6">
        <w:rPr>
          <w:i/>
          <w:iCs/>
        </w:rPr>
        <w:t xml:space="preserve"> </w:t>
      </w:r>
      <w:r w:rsidR="00542403" w:rsidRPr="00E973E8">
        <w:rPr>
          <w:i/>
          <w:iCs/>
        </w:rPr>
        <w:t>(60%) was the most common pre-operative diagnosis followed by chronic angle clo</w:t>
      </w:r>
      <w:r w:rsidR="00BF0C55" w:rsidRPr="00E973E8">
        <w:rPr>
          <w:i/>
          <w:iCs/>
        </w:rPr>
        <w:t>sure glaucoma.</w:t>
      </w:r>
      <w:r w:rsidR="00E973E8" w:rsidRPr="00E973E8">
        <w:rPr>
          <w:i/>
          <w:iCs/>
        </w:rPr>
        <w:t xml:space="preserve"> Conclusion:</w:t>
      </w:r>
    </w:p>
    <w:p w:rsidR="00E973E8" w:rsidRDefault="00E973E8" w:rsidP="00E973E8">
      <w:pPr>
        <w:spacing w:before="240" w:line="240" w:lineRule="auto"/>
        <w:jc w:val="both"/>
        <w:rPr>
          <w:i/>
          <w:iCs/>
        </w:rPr>
      </w:pPr>
      <w:r w:rsidRPr="00E973E8">
        <w:rPr>
          <w:b/>
          <w:bCs/>
          <w:i/>
          <w:iCs/>
        </w:rPr>
        <w:t>Keywords</w:t>
      </w:r>
      <w:r w:rsidRPr="00E973E8">
        <w:rPr>
          <w:i/>
          <w:iCs/>
        </w:rPr>
        <w:t>: Glaucoma; IOP control</w:t>
      </w:r>
      <w:r>
        <w:rPr>
          <w:i/>
          <w:iCs/>
        </w:rPr>
        <w:t xml:space="preserve">; </w:t>
      </w:r>
      <w:r w:rsidRPr="00E973E8">
        <w:rPr>
          <w:i/>
          <w:iCs/>
        </w:rPr>
        <w:t xml:space="preserve">triple procedure; </w:t>
      </w:r>
      <w:r>
        <w:rPr>
          <w:i/>
          <w:iCs/>
        </w:rPr>
        <w:t>visual outcome</w:t>
      </w:r>
      <w:r w:rsidRPr="00E973E8">
        <w:rPr>
          <w:i/>
          <w:iCs/>
        </w:rPr>
        <w:t>.</w:t>
      </w:r>
    </w:p>
    <w:p w:rsidR="00E973E8" w:rsidRPr="00D455E6" w:rsidRDefault="00E973E8" w:rsidP="00E973E8">
      <w:pPr>
        <w:spacing w:before="240" w:line="240" w:lineRule="auto"/>
        <w:jc w:val="both"/>
        <w:rPr>
          <w:b/>
          <w:bCs/>
        </w:rPr>
      </w:pPr>
      <w:r w:rsidRPr="00D455E6">
        <w:rPr>
          <w:b/>
          <w:bCs/>
        </w:rPr>
        <w:t>Address for correspondence:</w:t>
      </w:r>
    </w:p>
    <w:p w:rsidR="00E973E8" w:rsidRPr="00D455E6" w:rsidRDefault="00E973E8" w:rsidP="00D455E6">
      <w:pPr>
        <w:spacing w:before="240" w:after="0" w:line="240" w:lineRule="auto"/>
        <w:jc w:val="both"/>
      </w:pPr>
      <w:r w:rsidRPr="00D455E6">
        <w:t>* Assistant Professor</w:t>
      </w:r>
      <w:r w:rsidR="00D455E6">
        <w:t xml:space="preserve"> (Corresponding Author)</w:t>
      </w:r>
    </w:p>
    <w:p w:rsidR="00E973E8" w:rsidRPr="00D455E6" w:rsidRDefault="00E973E8" w:rsidP="00D455E6">
      <w:pPr>
        <w:spacing w:after="0" w:line="240" w:lineRule="auto"/>
        <w:jc w:val="both"/>
      </w:pPr>
      <w:r w:rsidRPr="00D455E6">
        <w:t>Dept</w:t>
      </w:r>
      <w:r w:rsidR="00D455E6" w:rsidRPr="00D455E6">
        <w:t>t.</w:t>
      </w:r>
      <w:r w:rsidRPr="00D455E6">
        <w:t xml:space="preserve"> of Ophthalmology</w:t>
      </w:r>
    </w:p>
    <w:p w:rsidR="00E973E8" w:rsidRPr="00D455E6" w:rsidRDefault="00E973E8" w:rsidP="00D455E6">
      <w:pPr>
        <w:spacing w:after="0" w:line="240" w:lineRule="auto"/>
        <w:jc w:val="both"/>
      </w:pPr>
      <w:r w:rsidRPr="00D455E6">
        <w:t>Regional Institute of Ophthalmology</w:t>
      </w:r>
    </w:p>
    <w:p w:rsidR="00E973E8" w:rsidRPr="00D455E6" w:rsidRDefault="00E973E8" w:rsidP="00D455E6">
      <w:pPr>
        <w:spacing w:after="0" w:line="240" w:lineRule="auto"/>
        <w:jc w:val="both"/>
      </w:pPr>
      <w:r w:rsidRPr="00D455E6">
        <w:t>Gauhati Medical College, Guwahati, Assam</w:t>
      </w:r>
    </w:p>
    <w:p w:rsidR="00E973E8" w:rsidRPr="00D455E6" w:rsidRDefault="00E973E8" w:rsidP="00D455E6">
      <w:pPr>
        <w:spacing w:after="0" w:line="240" w:lineRule="auto"/>
        <w:jc w:val="both"/>
      </w:pPr>
      <w:r w:rsidRPr="00D455E6">
        <w:rPr>
          <w:b/>
          <w:bCs/>
        </w:rPr>
        <w:t>Mobile</w:t>
      </w:r>
      <w:r w:rsidRPr="00D455E6">
        <w:t>: +919706546372</w:t>
      </w:r>
    </w:p>
    <w:p w:rsidR="00D455E6" w:rsidRDefault="00E973E8" w:rsidP="00D455E6">
      <w:pPr>
        <w:spacing w:after="0" w:line="240" w:lineRule="auto"/>
        <w:jc w:val="both"/>
        <w:rPr>
          <w:i/>
          <w:iCs/>
        </w:rPr>
      </w:pPr>
      <w:r w:rsidRPr="00D455E6">
        <w:rPr>
          <w:b/>
          <w:bCs/>
        </w:rPr>
        <w:t>Email</w:t>
      </w:r>
      <w:r w:rsidRPr="00D455E6">
        <w:t>: ritadrdeka@gmail.com</w:t>
      </w:r>
    </w:p>
    <w:p w:rsidR="00BF0C55" w:rsidRPr="00D455E6" w:rsidRDefault="00BF0C55" w:rsidP="00D455E6">
      <w:pPr>
        <w:spacing w:after="0" w:line="240" w:lineRule="auto"/>
        <w:jc w:val="both"/>
        <w:rPr>
          <w:i/>
          <w:iCs/>
        </w:rPr>
      </w:pPr>
      <w:r>
        <w:lastRenderedPageBreak/>
        <w:t>There are differing opinions with regard to management of patients with co-existing glaucoma and visually significant cataracts</w:t>
      </w:r>
      <w:r w:rsidR="00586E29">
        <w:t>.According to some cataract extraction alone lowers intraocular pressure(1).However (2),nearly all eyes with combined intraocular pressure elevation and cataract will require standard medical treatmentfor glaucoma within the three tosix months after cataract extraction</w:t>
      </w:r>
      <w:r w:rsidR="00D24ADC">
        <w:t>. If surgical intervention for glaucoma is done first, the procedure may hasten the progression of the cataract.(3)</w:t>
      </w:r>
      <w:r w:rsidR="00EF7FAC">
        <w:t>.There are two potential benefits to the combined surgery: The avoidance of transient increase in intraocular pressure in the post-operative period and long term improvement  in intraocular pressure in the initial post- operative period and long term improvement in intraocular pressure control</w:t>
      </w:r>
      <w:r w:rsidR="00AA6EEB">
        <w:t xml:space="preserve"> with one surgical procedure while removing  the visual impairment.That is why ,recently the triple procedure has been widely accepted.Although long term pressure control was noted to be improved, the ability of combined procedure to protect against transient increase in intraocular pressure was not addressed.(4,5,6,7)</w:t>
      </w:r>
      <w:r w:rsidR="00BA2EF1">
        <w:t>.</w:t>
      </w:r>
    </w:p>
    <w:p w:rsidR="00BA2EF1" w:rsidRDefault="00BA2EF1" w:rsidP="00E973E8">
      <w:pPr>
        <w:spacing w:line="240" w:lineRule="auto"/>
        <w:jc w:val="both"/>
        <w:rPr>
          <w:b/>
        </w:rPr>
      </w:pPr>
      <w:r>
        <w:rPr>
          <w:b/>
        </w:rPr>
        <w:t xml:space="preserve">MATERIALS AND METHODS: </w:t>
      </w:r>
    </w:p>
    <w:p w:rsidR="00E64DF0" w:rsidRDefault="00BA2EF1" w:rsidP="00E973E8">
      <w:pPr>
        <w:spacing w:line="240" w:lineRule="auto"/>
        <w:jc w:val="both"/>
      </w:pPr>
      <w:r>
        <w:t>The present study was  conducted</w:t>
      </w:r>
      <w:r w:rsidR="008D3639">
        <w:t xml:space="preserve"> on 30 case admitted in Regional Institute of Ophthalmology,Gauhati Medical College.The different parameters accounted for the study were:(1)Intraocular pressure above 22 mm of Hg and a visually significant cataract. (2) Cases of primary open angle glaucoma previously</w:t>
      </w:r>
      <w:r w:rsidR="00E64DF0">
        <w:t>receiving maximally tolerated medication, but with poor control.(3) Cases of lens induced glaucoma. (4) Cases of age related macular degeneration in the other eye. (5) Cases of chronic simple glaucoma with a field defect in the fellow eye.Cases excluded in this study were: (1) Patients with high myopia.(2) Advanced proliferative diabetic retinopathy of the eye. (3)</w:t>
      </w:r>
      <w:r w:rsidR="00A569C0">
        <w:t>Uveitis.</w:t>
      </w:r>
      <w:r w:rsidR="00B94461">
        <w:t>(4)Eyes that had undergone previous filtration surgery.Individual  cases were investigated</w:t>
      </w:r>
      <w:r w:rsidR="00EB0C39">
        <w:t xml:space="preserve"> and operated.</w:t>
      </w:r>
    </w:p>
    <w:p w:rsidR="0084585D" w:rsidRDefault="0084585D" w:rsidP="00E973E8">
      <w:pPr>
        <w:spacing w:line="240" w:lineRule="auto"/>
        <w:jc w:val="both"/>
      </w:pPr>
      <w:r>
        <w:t xml:space="preserve">    An elaborate history recording the chief complaints, history of diabetes,hypertension,refractive error, previous surgery,history of medical treatment including the typeof drug used and duration of treatment,</w:t>
      </w:r>
      <w:r w:rsidR="000C2BA9">
        <w:t xml:space="preserve"> whether the patient had been using the drugs regularly as advised or not.A detailed examination under diffuse illumination of conjunctiva, cornea, anterior chamber,iris,pupil, lens and ocular adnexa was done.Visual acuity both distant and near using Snellen’s chart and near vision chart.The intraocular pressure was measured using the GoldmannApplanationtonometer.</w:t>
      </w:r>
      <w:r w:rsidR="007B5075">
        <w:t>A detail examination of eye under slit lamp was done to detect any abnormality lik corneal oedema, bullae, atrophic patches in iris, K.P bodies,aqueousflare,synechiae.Indirectgonioscopy was performedafter anaesthetising with 4% xylocainedrop.The corneal cup of Goldmann 3 mirror contact lens was filled up with 0.7%methylcellulose solution. The Goldmann contact lens was fitted into the eye of the patient and the tongue shaped mirror was used to examine the angle of the anterior chamber.Alsothe amount of pigmentation of the trabecular meshwork was noted.</w:t>
      </w:r>
      <w:r w:rsidR="00C06BD3">
        <w:t xml:space="preserve"> Field charting both central and peripheral were done wherever possible.The examination of the fundus was done with the help of direct and indirect ophthalmoscope to evaluate the cupping of optic disc in the operated eye and the fellow eye.</w:t>
      </w:r>
    </w:p>
    <w:p w:rsidR="00325BCE" w:rsidRDefault="00F50C3A" w:rsidP="00E973E8">
      <w:pPr>
        <w:spacing w:line="240" w:lineRule="auto"/>
        <w:jc w:val="both"/>
      </w:pPr>
      <w:r>
        <w:t>The patient was given a sedation on the night before surgery.Acetazolamide was given orally from the day prior to surgery. If the intraocular pressure was found to be high, the patient was given intravenous mannitol drip half an hour before surgery.Antibiotic drops instilled into the eye 2-3 times daily, starting from the day prior to surgery. Miotics were stopped 13 days prior to surgery.P</w:t>
      </w:r>
      <w:r w:rsidR="00FB2021">
        <w:t>rocedure of trabeculectomy and Manual small incision cataract surgery</w:t>
      </w:r>
      <w:r>
        <w:t xml:space="preserve"> with posterior chamber intraocular lens implantation was performed.</w:t>
      </w:r>
      <w:r w:rsidR="00325BCE">
        <w:t>Protective metallic shield was used to cover the operated eye.The patient was kept at bed rest until the pre-operative sedation had worn off on the first post-operative day.Patients received oralantibiotic and oxyphenbutazone wherever necessary from the first post-operative day onwards. All cases received topical steroid antibiotic preparation starting on t</w:t>
      </w:r>
      <w:r w:rsidR="00213A95">
        <w:t>he 2</w:t>
      </w:r>
      <w:r w:rsidR="00213A95" w:rsidRPr="00213A95">
        <w:rPr>
          <w:vertAlign w:val="superscript"/>
        </w:rPr>
        <w:t>nd</w:t>
      </w:r>
      <w:r w:rsidR="00213A95">
        <w:t xml:space="preserve"> post-operative day onward till the end of </w:t>
      </w:r>
      <w:r w:rsidR="00325BCE">
        <w:t xml:space="preserve"> 6</w:t>
      </w:r>
      <w:r w:rsidR="00325BCE" w:rsidRPr="00325BCE">
        <w:rPr>
          <w:vertAlign w:val="superscript"/>
        </w:rPr>
        <w:t>th</w:t>
      </w:r>
      <w:r w:rsidR="00325BCE">
        <w:t xml:space="preserve"> week. The first dressing was done next morning and the following points were noted.(1)state of cornea(2)state of the wound and filtering bleb(3) Reformation of the anterior chamber (4) Presence of lens matter or blood in the </w:t>
      </w:r>
      <w:r w:rsidR="00325BCE">
        <w:lastRenderedPageBreak/>
        <w:t>anterior chamber or vitreous in anterior chamber (5) shape of the pupil</w:t>
      </w:r>
      <w:r w:rsidR="00213A95">
        <w:t>.On the 2</w:t>
      </w:r>
      <w:r w:rsidR="00213A95" w:rsidRPr="00213A95">
        <w:rPr>
          <w:vertAlign w:val="superscript"/>
        </w:rPr>
        <w:t>nd</w:t>
      </w:r>
      <w:r w:rsidR="00213A95">
        <w:t xml:space="preserve"> post-operative day,all patients were seen under slit lamp to study the state of the posterior capsule, the behaviour of the </w:t>
      </w:r>
      <w:r w:rsidR="004409CF">
        <w:t xml:space="preserve"> anterior vitreous and corneal endothelial decompensation. In the subsequent dressing, the points that were noted in the first dressing were carefully </w:t>
      </w:r>
      <w:r w:rsidR="00686AA9">
        <w:t>looked for. On the 7</w:t>
      </w:r>
      <w:r w:rsidR="00686AA9" w:rsidRPr="00686AA9">
        <w:rPr>
          <w:vertAlign w:val="superscript"/>
        </w:rPr>
        <w:t>th</w:t>
      </w:r>
      <w:r w:rsidR="00686AA9">
        <w:t xml:space="preserve"> post-operative day, the following points were noted: (1) General ocular examination for signs </w:t>
      </w:r>
      <w:r w:rsidR="00C65E66">
        <w:t xml:space="preserve"> of external inflammation or others.(2)Visual acuity with pinhole.(3) Slit lamp examination(4)Intraocular pressure measurement. At the end of the 6</w:t>
      </w:r>
      <w:r w:rsidR="00C65E66" w:rsidRPr="00C65E66">
        <w:rPr>
          <w:vertAlign w:val="superscript"/>
        </w:rPr>
        <w:t>th</w:t>
      </w:r>
      <w:r w:rsidR="00C65E66">
        <w:t xml:space="preserve"> post-operative week,(1) Patient’s subjective complaints like pain ,photophobia were given importance.(2)</w:t>
      </w:r>
      <w:r w:rsidR="00686AA9">
        <w:t>Emphasis on corneal oedema,ciliarycongestion,state of the wound and bleb, anterior chamber abnormality,retained lens matter,pupil size and shape, after cataract, vitreous haze, posterior vitreous detachment, evidence of posterior uveitis,dics oedema or pallor, macular oedema etc.(3) Refraction and prescription of glasses.(4) Slit lamp examination (5)Fundus examinationwith direct and indirect ophthalmoscopy.</w:t>
      </w:r>
    </w:p>
    <w:p w:rsidR="00C703CD" w:rsidRDefault="00C703CD" w:rsidP="00E973E8">
      <w:pPr>
        <w:spacing w:line="240" w:lineRule="auto"/>
        <w:jc w:val="both"/>
        <w:rPr>
          <w:b/>
        </w:rPr>
      </w:pPr>
      <w:r>
        <w:rPr>
          <w:b/>
        </w:rPr>
        <w:t>RESULTS AND OBSERVATIONS:</w:t>
      </w:r>
    </w:p>
    <w:p w:rsidR="00AF024A" w:rsidRDefault="00C703CD" w:rsidP="00E973E8">
      <w:pPr>
        <w:spacing w:line="240" w:lineRule="auto"/>
        <w:jc w:val="both"/>
      </w:pPr>
      <w:r>
        <w:t>30 eyes of 30 patientsunderwent tr</w:t>
      </w:r>
      <w:r w:rsidR="00AF024A">
        <w:t>abeculectomy and manual small incision cataract surgery with posterior chamber intraocular lens implantation. The mean age of the patients were 55.5 years(range 31 to 80 years).The follow ups were 6 weeks and 6 months.Table 1 shows number of cases with diagnosis.Primary open angle glaucoma(60%) was the most common pre-operative diagnosis followed by chronic angle closure glaucoma(23.3%).</w:t>
      </w:r>
    </w:p>
    <w:p w:rsidR="0066418F" w:rsidRPr="00C703CD" w:rsidRDefault="0066418F" w:rsidP="00E973E8">
      <w:pPr>
        <w:spacing w:line="240" w:lineRule="auto"/>
        <w:jc w:val="both"/>
      </w:pPr>
      <w:r>
        <w:t>TABLE 1</w:t>
      </w:r>
    </w:p>
    <w:tbl>
      <w:tblPr>
        <w:tblStyle w:val="TableGrid"/>
        <w:tblW w:w="0" w:type="auto"/>
        <w:tblLook w:val="04A0"/>
      </w:tblPr>
      <w:tblGrid>
        <w:gridCol w:w="3080"/>
        <w:gridCol w:w="3081"/>
        <w:gridCol w:w="3081"/>
      </w:tblGrid>
      <w:tr w:rsidR="00AF024A" w:rsidTr="00AF024A">
        <w:tc>
          <w:tcPr>
            <w:tcW w:w="3080" w:type="dxa"/>
          </w:tcPr>
          <w:p w:rsidR="00AF024A" w:rsidRDefault="00AF024A" w:rsidP="00E973E8">
            <w:pPr>
              <w:jc w:val="both"/>
            </w:pPr>
            <w:r>
              <w:t>DIAGNOSIS</w:t>
            </w:r>
          </w:p>
        </w:tc>
        <w:tc>
          <w:tcPr>
            <w:tcW w:w="3081" w:type="dxa"/>
          </w:tcPr>
          <w:p w:rsidR="00AF024A" w:rsidRDefault="00AF024A" w:rsidP="00E973E8">
            <w:pPr>
              <w:jc w:val="both"/>
            </w:pPr>
            <w:r>
              <w:t>NO. OF EYES</w:t>
            </w:r>
          </w:p>
        </w:tc>
        <w:tc>
          <w:tcPr>
            <w:tcW w:w="3081" w:type="dxa"/>
          </w:tcPr>
          <w:p w:rsidR="00AF024A" w:rsidRDefault="00AF024A" w:rsidP="00E973E8">
            <w:pPr>
              <w:jc w:val="both"/>
            </w:pPr>
            <w:r>
              <w:t>PERCENTAGE</w:t>
            </w:r>
          </w:p>
        </w:tc>
      </w:tr>
      <w:tr w:rsidR="00AF024A" w:rsidTr="00AF024A">
        <w:tc>
          <w:tcPr>
            <w:tcW w:w="3080" w:type="dxa"/>
          </w:tcPr>
          <w:p w:rsidR="00AF024A" w:rsidRDefault="00AF024A" w:rsidP="00E973E8">
            <w:pPr>
              <w:jc w:val="both"/>
            </w:pPr>
            <w:r>
              <w:t>Primary open angle glaucoma</w:t>
            </w:r>
          </w:p>
        </w:tc>
        <w:tc>
          <w:tcPr>
            <w:tcW w:w="3081" w:type="dxa"/>
          </w:tcPr>
          <w:p w:rsidR="00AF024A" w:rsidRDefault="00AF024A" w:rsidP="00E973E8">
            <w:pPr>
              <w:jc w:val="both"/>
            </w:pPr>
            <w:r>
              <w:t>18</w:t>
            </w:r>
          </w:p>
        </w:tc>
        <w:tc>
          <w:tcPr>
            <w:tcW w:w="3081" w:type="dxa"/>
          </w:tcPr>
          <w:p w:rsidR="00AF024A" w:rsidRDefault="0066418F" w:rsidP="00E973E8">
            <w:pPr>
              <w:jc w:val="both"/>
            </w:pPr>
            <w:r>
              <w:t>60%</w:t>
            </w:r>
          </w:p>
        </w:tc>
      </w:tr>
      <w:tr w:rsidR="00AF024A" w:rsidTr="00AF024A">
        <w:tc>
          <w:tcPr>
            <w:tcW w:w="3080" w:type="dxa"/>
          </w:tcPr>
          <w:p w:rsidR="00AF024A" w:rsidRDefault="0066418F" w:rsidP="00E973E8">
            <w:pPr>
              <w:jc w:val="both"/>
            </w:pPr>
            <w:r>
              <w:t>Chronic angle closure glaucoma</w:t>
            </w:r>
          </w:p>
        </w:tc>
        <w:tc>
          <w:tcPr>
            <w:tcW w:w="3081" w:type="dxa"/>
          </w:tcPr>
          <w:p w:rsidR="00AF024A" w:rsidRDefault="0066418F" w:rsidP="00E973E8">
            <w:pPr>
              <w:jc w:val="both"/>
            </w:pPr>
            <w:r>
              <w:t>7</w:t>
            </w:r>
          </w:p>
        </w:tc>
        <w:tc>
          <w:tcPr>
            <w:tcW w:w="3081" w:type="dxa"/>
          </w:tcPr>
          <w:p w:rsidR="00AF024A" w:rsidRDefault="0066418F" w:rsidP="00E973E8">
            <w:pPr>
              <w:jc w:val="both"/>
            </w:pPr>
            <w:r>
              <w:t>23.3%</w:t>
            </w:r>
          </w:p>
        </w:tc>
      </w:tr>
      <w:tr w:rsidR="00AF024A" w:rsidTr="00AF024A">
        <w:tc>
          <w:tcPr>
            <w:tcW w:w="3080" w:type="dxa"/>
          </w:tcPr>
          <w:p w:rsidR="00AF024A" w:rsidRDefault="0066418F" w:rsidP="00E973E8">
            <w:pPr>
              <w:jc w:val="both"/>
            </w:pPr>
            <w:r>
              <w:t>Lens induced glaucoma</w:t>
            </w:r>
          </w:p>
        </w:tc>
        <w:tc>
          <w:tcPr>
            <w:tcW w:w="3081" w:type="dxa"/>
          </w:tcPr>
          <w:p w:rsidR="00AF024A" w:rsidRDefault="0066418F" w:rsidP="00E973E8">
            <w:pPr>
              <w:jc w:val="both"/>
            </w:pPr>
            <w:r>
              <w:t>4</w:t>
            </w:r>
          </w:p>
        </w:tc>
        <w:tc>
          <w:tcPr>
            <w:tcW w:w="3081" w:type="dxa"/>
          </w:tcPr>
          <w:p w:rsidR="00AF024A" w:rsidRDefault="0066418F" w:rsidP="00E973E8">
            <w:pPr>
              <w:jc w:val="both"/>
            </w:pPr>
            <w:r>
              <w:t>13.3%</w:t>
            </w:r>
          </w:p>
        </w:tc>
      </w:tr>
      <w:tr w:rsidR="00AF024A" w:rsidTr="00AF024A">
        <w:tc>
          <w:tcPr>
            <w:tcW w:w="3080" w:type="dxa"/>
          </w:tcPr>
          <w:p w:rsidR="00AF024A" w:rsidRDefault="0066418F" w:rsidP="00E973E8">
            <w:pPr>
              <w:jc w:val="both"/>
            </w:pPr>
            <w:r>
              <w:t>Pigmentary glaucoma</w:t>
            </w:r>
          </w:p>
        </w:tc>
        <w:tc>
          <w:tcPr>
            <w:tcW w:w="3081" w:type="dxa"/>
          </w:tcPr>
          <w:p w:rsidR="00AF024A" w:rsidRDefault="0066418F" w:rsidP="00E973E8">
            <w:pPr>
              <w:jc w:val="both"/>
            </w:pPr>
            <w:r>
              <w:t>1</w:t>
            </w:r>
          </w:p>
        </w:tc>
        <w:tc>
          <w:tcPr>
            <w:tcW w:w="3081" w:type="dxa"/>
          </w:tcPr>
          <w:p w:rsidR="00AF024A" w:rsidRDefault="0066418F" w:rsidP="00E973E8">
            <w:pPr>
              <w:jc w:val="both"/>
            </w:pPr>
            <w:r>
              <w:t>3.3%</w:t>
            </w:r>
          </w:p>
        </w:tc>
      </w:tr>
    </w:tbl>
    <w:p w:rsidR="00C703CD" w:rsidRDefault="00C703CD" w:rsidP="00E973E8">
      <w:pPr>
        <w:spacing w:line="240" w:lineRule="auto"/>
        <w:jc w:val="both"/>
      </w:pPr>
    </w:p>
    <w:p w:rsidR="0066418F" w:rsidRDefault="0066418F" w:rsidP="00E973E8">
      <w:pPr>
        <w:spacing w:line="240" w:lineRule="auto"/>
        <w:jc w:val="both"/>
        <w:rPr>
          <w:b/>
        </w:rPr>
      </w:pPr>
      <w:r>
        <w:rPr>
          <w:b/>
        </w:rPr>
        <w:t>Age and sex incidence:</w:t>
      </w:r>
    </w:p>
    <w:p w:rsidR="0066418F" w:rsidRDefault="0066418F" w:rsidP="00E973E8">
      <w:pPr>
        <w:spacing w:line="240" w:lineRule="auto"/>
        <w:jc w:val="both"/>
      </w:pPr>
      <w:r>
        <w:t>TABLE 2: Shows age distribution</w:t>
      </w:r>
    </w:p>
    <w:tbl>
      <w:tblPr>
        <w:tblStyle w:val="TableGrid"/>
        <w:tblW w:w="0" w:type="auto"/>
        <w:tblLook w:val="04A0"/>
      </w:tblPr>
      <w:tblGrid>
        <w:gridCol w:w="3080"/>
        <w:gridCol w:w="3081"/>
        <w:gridCol w:w="3081"/>
      </w:tblGrid>
      <w:tr w:rsidR="0066418F" w:rsidTr="0066418F">
        <w:tc>
          <w:tcPr>
            <w:tcW w:w="3080" w:type="dxa"/>
          </w:tcPr>
          <w:p w:rsidR="0066418F" w:rsidRDefault="0066418F" w:rsidP="00E973E8">
            <w:pPr>
              <w:jc w:val="both"/>
            </w:pPr>
            <w:r>
              <w:t>AGE IN YEARS</w:t>
            </w:r>
          </w:p>
        </w:tc>
        <w:tc>
          <w:tcPr>
            <w:tcW w:w="3081" w:type="dxa"/>
          </w:tcPr>
          <w:p w:rsidR="0066418F" w:rsidRDefault="0066418F" w:rsidP="00E973E8">
            <w:pPr>
              <w:jc w:val="both"/>
            </w:pPr>
            <w:r>
              <w:t>NO. OF CASES</w:t>
            </w:r>
          </w:p>
        </w:tc>
        <w:tc>
          <w:tcPr>
            <w:tcW w:w="3081" w:type="dxa"/>
          </w:tcPr>
          <w:p w:rsidR="0066418F" w:rsidRDefault="0066418F" w:rsidP="00E973E8">
            <w:pPr>
              <w:jc w:val="both"/>
            </w:pPr>
            <w:r>
              <w:t>PERCENTAGE</w:t>
            </w:r>
          </w:p>
        </w:tc>
      </w:tr>
      <w:tr w:rsidR="0066418F" w:rsidTr="0066418F">
        <w:tc>
          <w:tcPr>
            <w:tcW w:w="3080" w:type="dxa"/>
          </w:tcPr>
          <w:p w:rsidR="0066418F" w:rsidRDefault="0066418F" w:rsidP="00E973E8">
            <w:pPr>
              <w:jc w:val="both"/>
            </w:pPr>
            <w:r>
              <w:t>31-40</w:t>
            </w:r>
          </w:p>
        </w:tc>
        <w:tc>
          <w:tcPr>
            <w:tcW w:w="3081" w:type="dxa"/>
          </w:tcPr>
          <w:p w:rsidR="0066418F" w:rsidRDefault="0066418F" w:rsidP="00E973E8">
            <w:pPr>
              <w:jc w:val="both"/>
            </w:pPr>
            <w:r>
              <w:t>3</w:t>
            </w:r>
          </w:p>
        </w:tc>
        <w:tc>
          <w:tcPr>
            <w:tcW w:w="3081" w:type="dxa"/>
          </w:tcPr>
          <w:p w:rsidR="0066418F" w:rsidRDefault="0066418F" w:rsidP="00E973E8">
            <w:pPr>
              <w:jc w:val="both"/>
            </w:pPr>
            <w:r>
              <w:t>10.00%</w:t>
            </w:r>
          </w:p>
        </w:tc>
      </w:tr>
      <w:tr w:rsidR="0066418F" w:rsidTr="0066418F">
        <w:tc>
          <w:tcPr>
            <w:tcW w:w="3080" w:type="dxa"/>
          </w:tcPr>
          <w:p w:rsidR="0066418F" w:rsidRDefault="0066418F" w:rsidP="00E973E8">
            <w:pPr>
              <w:jc w:val="both"/>
            </w:pPr>
            <w:r>
              <w:t>41-50</w:t>
            </w:r>
          </w:p>
        </w:tc>
        <w:tc>
          <w:tcPr>
            <w:tcW w:w="3081" w:type="dxa"/>
          </w:tcPr>
          <w:p w:rsidR="0066418F" w:rsidRDefault="0066418F" w:rsidP="00E973E8">
            <w:pPr>
              <w:jc w:val="both"/>
            </w:pPr>
            <w:r>
              <w:t>14</w:t>
            </w:r>
          </w:p>
        </w:tc>
        <w:tc>
          <w:tcPr>
            <w:tcW w:w="3081" w:type="dxa"/>
          </w:tcPr>
          <w:p w:rsidR="0066418F" w:rsidRDefault="0066418F" w:rsidP="00E973E8">
            <w:pPr>
              <w:jc w:val="both"/>
            </w:pPr>
            <w:r>
              <w:t>46.67%</w:t>
            </w:r>
          </w:p>
        </w:tc>
      </w:tr>
      <w:tr w:rsidR="0066418F" w:rsidTr="0066418F">
        <w:tc>
          <w:tcPr>
            <w:tcW w:w="3080" w:type="dxa"/>
          </w:tcPr>
          <w:p w:rsidR="0066418F" w:rsidRDefault="0066418F" w:rsidP="00E973E8">
            <w:pPr>
              <w:jc w:val="both"/>
            </w:pPr>
            <w:r>
              <w:t>51-60</w:t>
            </w:r>
          </w:p>
        </w:tc>
        <w:tc>
          <w:tcPr>
            <w:tcW w:w="3081" w:type="dxa"/>
          </w:tcPr>
          <w:p w:rsidR="0066418F" w:rsidRDefault="0066418F" w:rsidP="00E973E8">
            <w:pPr>
              <w:jc w:val="both"/>
            </w:pPr>
            <w:r>
              <w:t>7</w:t>
            </w:r>
          </w:p>
        </w:tc>
        <w:tc>
          <w:tcPr>
            <w:tcW w:w="3081" w:type="dxa"/>
          </w:tcPr>
          <w:p w:rsidR="0066418F" w:rsidRDefault="0066418F" w:rsidP="00E973E8">
            <w:pPr>
              <w:jc w:val="both"/>
            </w:pPr>
            <w:r>
              <w:t>23.33%</w:t>
            </w:r>
          </w:p>
        </w:tc>
      </w:tr>
      <w:tr w:rsidR="0066418F" w:rsidTr="0066418F">
        <w:tc>
          <w:tcPr>
            <w:tcW w:w="3080" w:type="dxa"/>
          </w:tcPr>
          <w:p w:rsidR="0066418F" w:rsidRDefault="0066418F" w:rsidP="00E973E8">
            <w:pPr>
              <w:jc w:val="both"/>
            </w:pPr>
            <w:r>
              <w:t>61-70</w:t>
            </w:r>
          </w:p>
        </w:tc>
        <w:tc>
          <w:tcPr>
            <w:tcW w:w="3081" w:type="dxa"/>
          </w:tcPr>
          <w:p w:rsidR="0066418F" w:rsidRDefault="0066418F" w:rsidP="00E973E8">
            <w:pPr>
              <w:jc w:val="both"/>
            </w:pPr>
            <w:r>
              <w:t>5</w:t>
            </w:r>
          </w:p>
        </w:tc>
        <w:tc>
          <w:tcPr>
            <w:tcW w:w="3081" w:type="dxa"/>
          </w:tcPr>
          <w:p w:rsidR="0066418F" w:rsidRDefault="0066418F" w:rsidP="00E973E8">
            <w:pPr>
              <w:jc w:val="both"/>
            </w:pPr>
            <w:r>
              <w:t>16.67%</w:t>
            </w:r>
          </w:p>
        </w:tc>
      </w:tr>
      <w:tr w:rsidR="0066418F" w:rsidTr="0066418F">
        <w:tc>
          <w:tcPr>
            <w:tcW w:w="3080" w:type="dxa"/>
          </w:tcPr>
          <w:p w:rsidR="0066418F" w:rsidRDefault="0066418F" w:rsidP="00E973E8">
            <w:pPr>
              <w:jc w:val="both"/>
            </w:pPr>
            <w:r>
              <w:t>71-80</w:t>
            </w:r>
          </w:p>
        </w:tc>
        <w:tc>
          <w:tcPr>
            <w:tcW w:w="3081" w:type="dxa"/>
          </w:tcPr>
          <w:p w:rsidR="0066418F" w:rsidRDefault="0066418F" w:rsidP="00E973E8">
            <w:pPr>
              <w:jc w:val="both"/>
            </w:pPr>
            <w:r>
              <w:t>1</w:t>
            </w:r>
          </w:p>
        </w:tc>
        <w:tc>
          <w:tcPr>
            <w:tcW w:w="3081" w:type="dxa"/>
          </w:tcPr>
          <w:p w:rsidR="0066418F" w:rsidRDefault="0066418F" w:rsidP="00E973E8">
            <w:pPr>
              <w:jc w:val="both"/>
            </w:pPr>
            <w:r>
              <w:t>3.33%</w:t>
            </w:r>
          </w:p>
        </w:tc>
      </w:tr>
      <w:tr w:rsidR="0066418F" w:rsidTr="0066418F">
        <w:tc>
          <w:tcPr>
            <w:tcW w:w="3080" w:type="dxa"/>
          </w:tcPr>
          <w:p w:rsidR="0066418F" w:rsidRDefault="0066418F" w:rsidP="00E973E8">
            <w:pPr>
              <w:jc w:val="both"/>
            </w:pPr>
            <w:r>
              <w:t>GRAND TOTAL</w:t>
            </w:r>
          </w:p>
        </w:tc>
        <w:tc>
          <w:tcPr>
            <w:tcW w:w="3081" w:type="dxa"/>
          </w:tcPr>
          <w:p w:rsidR="0066418F" w:rsidRDefault="0066418F" w:rsidP="00E973E8">
            <w:pPr>
              <w:jc w:val="both"/>
            </w:pPr>
            <w:r>
              <w:t>30 CASES</w:t>
            </w:r>
          </w:p>
        </w:tc>
        <w:tc>
          <w:tcPr>
            <w:tcW w:w="3081" w:type="dxa"/>
          </w:tcPr>
          <w:p w:rsidR="0066418F" w:rsidRDefault="0066418F" w:rsidP="00E973E8">
            <w:pPr>
              <w:jc w:val="both"/>
            </w:pPr>
            <w:r>
              <w:t>100%</w:t>
            </w:r>
          </w:p>
        </w:tc>
      </w:tr>
      <w:tr w:rsidR="009D342C" w:rsidTr="0066418F">
        <w:tc>
          <w:tcPr>
            <w:tcW w:w="3080" w:type="dxa"/>
          </w:tcPr>
          <w:p w:rsidR="009D342C" w:rsidRDefault="009D342C" w:rsidP="00E973E8">
            <w:pPr>
              <w:jc w:val="both"/>
            </w:pPr>
            <w:r>
              <w:t xml:space="preserve">  SEX</w:t>
            </w:r>
          </w:p>
        </w:tc>
        <w:tc>
          <w:tcPr>
            <w:tcW w:w="3081" w:type="dxa"/>
          </w:tcPr>
          <w:p w:rsidR="009D342C" w:rsidRDefault="009D342C" w:rsidP="00E973E8">
            <w:pPr>
              <w:jc w:val="both"/>
            </w:pPr>
            <w:r>
              <w:t>NO. OF CASES</w:t>
            </w:r>
          </w:p>
        </w:tc>
        <w:tc>
          <w:tcPr>
            <w:tcW w:w="3081" w:type="dxa"/>
          </w:tcPr>
          <w:p w:rsidR="009D342C" w:rsidRDefault="009D342C" w:rsidP="00E973E8">
            <w:pPr>
              <w:jc w:val="both"/>
            </w:pPr>
            <w:r>
              <w:t>PERCENTAGE</w:t>
            </w:r>
          </w:p>
        </w:tc>
      </w:tr>
      <w:tr w:rsidR="0066418F" w:rsidTr="0066418F">
        <w:tc>
          <w:tcPr>
            <w:tcW w:w="3080" w:type="dxa"/>
          </w:tcPr>
          <w:p w:rsidR="0066418F" w:rsidRDefault="009D342C" w:rsidP="00E973E8">
            <w:pPr>
              <w:jc w:val="both"/>
            </w:pPr>
            <w:r>
              <w:t>Male</w:t>
            </w:r>
          </w:p>
        </w:tc>
        <w:tc>
          <w:tcPr>
            <w:tcW w:w="3081" w:type="dxa"/>
          </w:tcPr>
          <w:p w:rsidR="0066418F" w:rsidRDefault="009D342C" w:rsidP="00E973E8">
            <w:pPr>
              <w:jc w:val="both"/>
            </w:pPr>
            <w:r>
              <w:t>21</w:t>
            </w:r>
          </w:p>
        </w:tc>
        <w:tc>
          <w:tcPr>
            <w:tcW w:w="3081" w:type="dxa"/>
          </w:tcPr>
          <w:p w:rsidR="0066418F" w:rsidRDefault="009D342C" w:rsidP="00E973E8">
            <w:pPr>
              <w:jc w:val="both"/>
            </w:pPr>
            <w:r>
              <w:t>70%</w:t>
            </w:r>
          </w:p>
        </w:tc>
      </w:tr>
      <w:tr w:rsidR="009D342C" w:rsidTr="0066418F">
        <w:tc>
          <w:tcPr>
            <w:tcW w:w="3080" w:type="dxa"/>
          </w:tcPr>
          <w:p w:rsidR="009D342C" w:rsidRDefault="009D342C" w:rsidP="00E973E8">
            <w:pPr>
              <w:jc w:val="both"/>
            </w:pPr>
            <w:r>
              <w:t>Female</w:t>
            </w:r>
          </w:p>
        </w:tc>
        <w:tc>
          <w:tcPr>
            <w:tcW w:w="3081" w:type="dxa"/>
          </w:tcPr>
          <w:p w:rsidR="009D342C" w:rsidRDefault="009D342C" w:rsidP="00E973E8">
            <w:pPr>
              <w:jc w:val="both"/>
            </w:pPr>
            <w:r>
              <w:t>9</w:t>
            </w:r>
          </w:p>
        </w:tc>
        <w:tc>
          <w:tcPr>
            <w:tcW w:w="3081" w:type="dxa"/>
          </w:tcPr>
          <w:p w:rsidR="009D342C" w:rsidRDefault="009D342C" w:rsidP="00E973E8">
            <w:pPr>
              <w:jc w:val="both"/>
            </w:pPr>
            <w:r>
              <w:t>30%</w:t>
            </w:r>
          </w:p>
        </w:tc>
      </w:tr>
    </w:tbl>
    <w:p w:rsidR="0066418F" w:rsidRDefault="0066418F" w:rsidP="00E973E8">
      <w:pPr>
        <w:spacing w:line="240" w:lineRule="auto"/>
        <w:jc w:val="both"/>
      </w:pPr>
    </w:p>
    <w:p w:rsidR="009D342C" w:rsidRDefault="009D342C" w:rsidP="00E973E8">
      <w:pPr>
        <w:spacing w:line="240" w:lineRule="auto"/>
        <w:jc w:val="both"/>
        <w:rPr>
          <w:b/>
        </w:rPr>
      </w:pPr>
      <w:r>
        <w:rPr>
          <w:b/>
        </w:rPr>
        <w:t>Pre-operative intraocular pressure:</w:t>
      </w:r>
    </w:p>
    <w:p w:rsidR="009D342C" w:rsidRDefault="009D342C" w:rsidP="00E973E8">
      <w:pPr>
        <w:spacing w:line="240" w:lineRule="auto"/>
        <w:jc w:val="both"/>
      </w:pPr>
      <w:r>
        <w:t xml:space="preserve"> The mean pre-operative intraocular pressure was 37.2 mm of Hg and except in one case, the resthad pre- operative intraocular pressure higher than 30 mm of Hg with maximum prevalence rate(53.3%) in the range of 31-40 mm of Hg.The highest recorded intraocular pressure was 67.3 mm of Hg.</w:t>
      </w:r>
    </w:p>
    <w:p w:rsidR="009D342C" w:rsidRDefault="009D342C" w:rsidP="00E973E8">
      <w:pPr>
        <w:spacing w:line="240" w:lineRule="auto"/>
        <w:jc w:val="both"/>
      </w:pPr>
      <w:r>
        <w:lastRenderedPageBreak/>
        <w:t>TABLE 3</w:t>
      </w:r>
    </w:p>
    <w:tbl>
      <w:tblPr>
        <w:tblStyle w:val="TableGrid"/>
        <w:tblW w:w="0" w:type="auto"/>
        <w:tblLook w:val="04A0"/>
      </w:tblPr>
      <w:tblGrid>
        <w:gridCol w:w="3080"/>
        <w:gridCol w:w="3081"/>
        <w:gridCol w:w="3081"/>
      </w:tblGrid>
      <w:tr w:rsidR="009D342C" w:rsidTr="009D342C">
        <w:tc>
          <w:tcPr>
            <w:tcW w:w="3080" w:type="dxa"/>
          </w:tcPr>
          <w:p w:rsidR="009D342C" w:rsidRDefault="009D342C" w:rsidP="00E973E8">
            <w:pPr>
              <w:jc w:val="both"/>
            </w:pPr>
            <w:r>
              <w:t>RANGE OFIOP</w:t>
            </w:r>
          </w:p>
        </w:tc>
        <w:tc>
          <w:tcPr>
            <w:tcW w:w="3081" w:type="dxa"/>
          </w:tcPr>
          <w:p w:rsidR="009D342C" w:rsidRDefault="009D342C" w:rsidP="00E973E8">
            <w:pPr>
              <w:jc w:val="both"/>
            </w:pPr>
            <w:r>
              <w:t>NO.OF EYES</w:t>
            </w:r>
          </w:p>
        </w:tc>
        <w:tc>
          <w:tcPr>
            <w:tcW w:w="3081" w:type="dxa"/>
          </w:tcPr>
          <w:p w:rsidR="009D342C" w:rsidRDefault="009D342C" w:rsidP="00E973E8">
            <w:pPr>
              <w:jc w:val="both"/>
            </w:pPr>
            <w:r>
              <w:t>PERCENTAGE</w:t>
            </w:r>
          </w:p>
        </w:tc>
      </w:tr>
      <w:tr w:rsidR="009D342C" w:rsidTr="009D342C">
        <w:tc>
          <w:tcPr>
            <w:tcW w:w="3080" w:type="dxa"/>
          </w:tcPr>
          <w:p w:rsidR="009D342C" w:rsidRDefault="009D342C" w:rsidP="00E973E8">
            <w:pPr>
              <w:jc w:val="both"/>
            </w:pPr>
            <w:r>
              <w:t>21-30</w:t>
            </w:r>
          </w:p>
        </w:tc>
        <w:tc>
          <w:tcPr>
            <w:tcW w:w="3081" w:type="dxa"/>
          </w:tcPr>
          <w:p w:rsidR="009D342C" w:rsidRDefault="009D342C" w:rsidP="00E973E8">
            <w:pPr>
              <w:jc w:val="both"/>
            </w:pPr>
            <w:r>
              <w:t>1</w:t>
            </w:r>
          </w:p>
        </w:tc>
        <w:tc>
          <w:tcPr>
            <w:tcW w:w="3081" w:type="dxa"/>
          </w:tcPr>
          <w:p w:rsidR="009D342C" w:rsidRDefault="009D342C" w:rsidP="00E973E8">
            <w:pPr>
              <w:jc w:val="both"/>
            </w:pPr>
            <w:r>
              <w:t>3.3%</w:t>
            </w:r>
          </w:p>
        </w:tc>
      </w:tr>
      <w:tr w:rsidR="009D342C" w:rsidTr="009D342C">
        <w:tc>
          <w:tcPr>
            <w:tcW w:w="3080" w:type="dxa"/>
          </w:tcPr>
          <w:p w:rsidR="009D342C" w:rsidRDefault="009D342C" w:rsidP="00E973E8">
            <w:pPr>
              <w:jc w:val="both"/>
            </w:pPr>
            <w:r>
              <w:t>31-40</w:t>
            </w:r>
          </w:p>
        </w:tc>
        <w:tc>
          <w:tcPr>
            <w:tcW w:w="3081" w:type="dxa"/>
          </w:tcPr>
          <w:p w:rsidR="009D342C" w:rsidRDefault="009D342C" w:rsidP="00E973E8">
            <w:pPr>
              <w:jc w:val="both"/>
            </w:pPr>
            <w:r>
              <w:t>16</w:t>
            </w:r>
          </w:p>
        </w:tc>
        <w:tc>
          <w:tcPr>
            <w:tcW w:w="3081" w:type="dxa"/>
          </w:tcPr>
          <w:p w:rsidR="009D342C" w:rsidRDefault="009D342C" w:rsidP="00E973E8">
            <w:pPr>
              <w:jc w:val="both"/>
            </w:pPr>
            <w:r>
              <w:t>53.3%</w:t>
            </w:r>
          </w:p>
        </w:tc>
      </w:tr>
      <w:tr w:rsidR="009D342C" w:rsidTr="009D342C">
        <w:tc>
          <w:tcPr>
            <w:tcW w:w="3080" w:type="dxa"/>
          </w:tcPr>
          <w:p w:rsidR="009D342C" w:rsidRDefault="009D342C" w:rsidP="00E973E8">
            <w:pPr>
              <w:jc w:val="both"/>
            </w:pPr>
            <w:r>
              <w:t>41-50</w:t>
            </w:r>
          </w:p>
        </w:tc>
        <w:tc>
          <w:tcPr>
            <w:tcW w:w="3081" w:type="dxa"/>
          </w:tcPr>
          <w:p w:rsidR="009D342C" w:rsidRDefault="009D342C" w:rsidP="00E973E8">
            <w:pPr>
              <w:jc w:val="both"/>
            </w:pPr>
            <w:r>
              <w:t>8</w:t>
            </w:r>
          </w:p>
        </w:tc>
        <w:tc>
          <w:tcPr>
            <w:tcW w:w="3081" w:type="dxa"/>
          </w:tcPr>
          <w:p w:rsidR="009D342C" w:rsidRDefault="009D342C" w:rsidP="00E973E8">
            <w:pPr>
              <w:jc w:val="both"/>
            </w:pPr>
            <w:r>
              <w:t>26.7%</w:t>
            </w:r>
          </w:p>
        </w:tc>
      </w:tr>
      <w:tr w:rsidR="009D342C" w:rsidTr="009D342C">
        <w:tc>
          <w:tcPr>
            <w:tcW w:w="3080" w:type="dxa"/>
          </w:tcPr>
          <w:p w:rsidR="009D342C" w:rsidRDefault="009D342C" w:rsidP="00E973E8">
            <w:pPr>
              <w:jc w:val="both"/>
            </w:pPr>
            <w:r>
              <w:t>51-60</w:t>
            </w:r>
          </w:p>
        </w:tc>
        <w:tc>
          <w:tcPr>
            <w:tcW w:w="3081" w:type="dxa"/>
          </w:tcPr>
          <w:p w:rsidR="009D342C" w:rsidRDefault="009D342C" w:rsidP="00E973E8">
            <w:pPr>
              <w:jc w:val="both"/>
            </w:pPr>
            <w:r>
              <w:t>3</w:t>
            </w:r>
          </w:p>
        </w:tc>
        <w:tc>
          <w:tcPr>
            <w:tcW w:w="3081" w:type="dxa"/>
          </w:tcPr>
          <w:p w:rsidR="009D342C" w:rsidRDefault="009D342C" w:rsidP="00E973E8">
            <w:pPr>
              <w:jc w:val="both"/>
            </w:pPr>
            <w:r>
              <w:t>10.0%</w:t>
            </w:r>
          </w:p>
        </w:tc>
      </w:tr>
      <w:tr w:rsidR="009D342C" w:rsidTr="009D342C">
        <w:tc>
          <w:tcPr>
            <w:tcW w:w="3080" w:type="dxa"/>
          </w:tcPr>
          <w:p w:rsidR="009D342C" w:rsidRDefault="009D342C" w:rsidP="00E973E8">
            <w:pPr>
              <w:jc w:val="both"/>
            </w:pPr>
            <w:r>
              <w:t>61-70</w:t>
            </w:r>
          </w:p>
        </w:tc>
        <w:tc>
          <w:tcPr>
            <w:tcW w:w="3081" w:type="dxa"/>
          </w:tcPr>
          <w:p w:rsidR="009D342C" w:rsidRDefault="009D342C" w:rsidP="00E973E8">
            <w:pPr>
              <w:jc w:val="both"/>
            </w:pPr>
            <w:r>
              <w:t>2</w:t>
            </w:r>
          </w:p>
        </w:tc>
        <w:tc>
          <w:tcPr>
            <w:tcW w:w="3081" w:type="dxa"/>
          </w:tcPr>
          <w:p w:rsidR="009D342C" w:rsidRDefault="009D342C" w:rsidP="00E973E8">
            <w:pPr>
              <w:jc w:val="both"/>
            </w:pPr>
            <w:r>
              <w:t>6.7%</w:t>
            </w:r>
          </w:p>
        </w:tc>
      </w:tr>
    </w:tbl>
    <w:p w:rsidR="009D342C" w:rsidRDefault="009D342C" w:rsidP="00E973E8">
      <w:pPr>
        <w:spacing w:line="240" w:lineRule="auto"/>
        <w:jc w:val="both"/>
      </w:pPr>
    </w:p>
    <w:p w:rsidR="00DE7FFC" w:rsidRDefault="00DE7FFC" w:rsidP="00E973E8">
      <w:pPr>
        <w:spacing w:line="240" w:lineRule="auto"/>
        <w:jc w:val="both"/>
        <w:rPr>
          <w:b/>
        </w:rPr>
      </w:pPr>
      <w:r>
        <w:rPr>
          <w:b/>
        </w:rPr>
        <w:t>Pre-operative visual status:</w:t>
      </w:r>
    </w:p>
    <w:p w:rsidR="00DE7FFC" w:rsidRPr="00DE7FFC" w:rsidRDefault="00DE7FFC" w:rsidP="00E973E8">
      <w:pPr>
        <w:spacing w:line="240" w:lineRule="auto"/>
        <w:jc w:val="both"/>
      </w:pPr>
      <w:r>
        <w:t xml:space="preserve">  The visual acuity was 6/60 or less in 23(76.67%) eyes. 30% cases had a visual acuity ranging from hand movement to perception of light only. In 46.67% cases visual acuity was 6/60 to finger counting at 2 meters distance while in 23.33% cases , it was 6/18 to 6/36.</w:t>
      </w:r>
      <w:bookmarkStart w:id="0" w:name="_GoBack"/>
      <w:bookmarkEnd w:id="0"/>
    </w:p>
    <w:sectPr w:rsidR="00DE7FFC" w:rsidRPr="00DE7FFC" w:rsidSect="00E973E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A3A" w:rsidRDefault="00212A3A" w:rsidP="009D342C">
      <w:pPr>
        <w:spacing w:after="0" w:line="240" w:lineRule="auto"/>
      </w:pPr>
      <w:r>
        <w:separator/>
      </w:r>
    </w:p>
  </w:endnote>
  <w:endnote w:type="continuationSeparator" w:id="1">
    <w:p w:rsidR="00212A3A" w:rsidRDefault="00212A3A" w:rsidP="009D3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A3A" w:rsidRDefault="00212A3A" w:rsidP="009D342C">
      <w:pPr>
        <w:spacing w:after="0" w:line="240" w:lineRule="auto"/>
      </w:pPr>
      <w:r>
        <w:separator/>
      </w:r>
    </w:p>
  </w:footnote>
  <w:footnote w:type="continuationSeparator" w:id="1">
    <w:p w:rsidR="00212A3A" w:rsidRDefault="00212A3A" w:rsidP="009D34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6833"/>
    <w:rsid w:val="00056833"/>
    <w:rsid w:val="000C2BA9"/>
    <w:rsid w:val="001A37D9"/>
    <w:rsid w:val="001C1387"/>
    <w:rsid w:val="00212A3A"/>
    <w:rsid w:val="00213A95"/>
    <w:rsid w:val="00325BCE"/>
    <w:rsid w:val="003C4DFB"/>
    <w:rsid w:val="003C5EEB"/>
    <w:rsid w:val="004409CF"/>
    <w:rsid w:val="00494052"/>
    <w:rsid w:val="004D5DFA"/>
    <w:rsid w:val="004E4D75"/>
    <w:rsid w:val="00542403"/>
    <w:rsid w:val="0054606C"/>
    <w:rsid w:val="00586E29"/>
    <w:rsid w:val="00620F50"/>
    <w:rsid w:val="0066418F"/>
    <w:rsid w:val="00686AA9"/>
    <w:rsid w:val="0070653B"/>
    <w:rsid w:val="007B5075"/>
    <w:rsid w:val="007F3F5A"/>
    <w:rsid w:val="00810678"/>
    <w:rsid w:val="0084585D"/>
    <w:rsid w:val="008B23D3"/>
    <w:rsid w:val="008D3639"/>
    <w:rsid w:val="00920DB4"/>
    <w:rsid w:val="009D342C"/>
    <w:rsid w:val="00A350D0"/>
    <w:rsid w:val="00A569C0"/>
    <w:rsid w:val="00AA6EEB"/>
    <w:rsid w:val="00AF024A"/>
    <w:rsid w:val="00B9252E"/>
    <w:rsid w:val="00B94461"/>
    <w:rsid w:val="00BA2EF1"/>
    <w:rsid w:val="00BF0C55"/>
    <w:rsid w:val="00C06BD3"/>
    <w:rsid w:val="00C60530"/>
    <w:rsid w:val="00C65E66"/>
    <w:rsid w:val="00C703CD"/>
    <w:rsid w:val="00C73F9F"/>
    <w:rsid w:val="00D23E68"/>
    <w:rsid w:val="00D24ADC"/>
    <w:rsid w:val="00D455E6"/>
    <w:rsid w:val="00D9316A"/>
    <w:rsid w:val="00DE7FFC"/>
    <w:rsid w:val="00E64DF0"/>
    <w:rsid w:val="00E973E8"/>
    <w:rsid w:val="00EB0C39"/>
    <w:rsid w:val="00EF7FAC"/>
    <w:rsid w:val="00F1469E"/>
    <w:rsid w:val="00F50C3A"/>
    <w:rsid w:val="00FB2021"/>
    <w:rsid w:val="00FB28B1"/>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42C"/>
  </w:style>
  <w:style w:type="paragraph" w:styleId="Footer">
    <w:name w:val="footer"/>
    <w:basedOn w:val="Normal"/>
    <w:link w:val="FooterChar"/>
    <w:uiPriority w:val="99"/>
    <w:unhideWhenUsed/>
    <w:rsid w:val="009D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42C"/>
  </w:style>
  <w:style w:type="paragraph" w:styleId="Footer">
    <w:name w:val="footer"/>
    <w:basedOn w:val="Normal"/>
    <w:link w:val="FooterChar"/>
    <w:uiPriority w:val="99"/>
    <w:unhideWhenUsed/>
    <w:rsid w:val="009D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4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15821</TotalTime>
  <Pages>4</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User</cp:lastModifiedBy>
  <cp:revision>4</cp:revision>
  <dcterms:created xsi:type="dcterms:W3CDTF">2019-05-20T06:38:00Z</dcterms:created>
  <dcterms:modified xsi:type="dcterms:W3CDTF">2019-05-20T06:52:00Z</dcterms:modified>
</cp:coreProperties>
</file>