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F4" w:rsidRPr="00D00CC8" w:rsidRDefault="00E2442E" w:rsidP="004441F4">
      <w:pPr>
        <w:shd w:val="clear" w:color="auto" w:fill="FFFFFF"/>
        <w:spacing w:line="348" w:lineRule="atLeast"/>
        <w:rPr>
          <w:rFonts w:ascii="Times New Roman" w:hAnsi="Times New Roman" w:cs="Times New Roman"/>
          <w:sz w:val="20"/>
          <w:szCs w:val="20"/>
        </w:rPr>
      </w:pPr>
      <w:r w:rsidRPr="00D00CC8">
        <w:rPr>
          <w:rFonts w:ascii="Times New Roman" w:hAnsi="Times New Roman" w:cs="Times New Roman"/>
          <w:b/>
          <w:sz w:val="28"/>
          <w:szCs w:val="28"/>
        </w:rPr>
        <w:t>INTRODUCTION</w:t>
      </w:r>
      <w:r>
        <w:rPr>
          <w:sz w:val="28"/>
          <w:szCs w:val="28"/>
        </w:rPr>
        <w:br/>
      </w:r>
      <w:r w:rsidR="001F7E20" w:rsidRPr="00D00CC8">
        <w:rPr>
          <w:rFonts w:ascii="Times New Roman" w:hAnsi="Times New Roman" w:cs="Times New Roman"/>
          <w:sz w:val="20"/>
          <w:szCs w:val="20"/>
        </w:rPr>
        <w:t>Hand–foot syndrome</w:t>
      </w:r>
      <w:r w:rsidR="00A769EC" w:rsidRPr="00D00CC8">
        <w:rPr>
          <w:rFonts w:ascii="Times New Roman" w:hAnsi="Times New Roman" w:cs="Times New Roman"/>
          <w:sz w:val="20"/>
          <w:szCs w:val="20"/>
        </w:rPr>
        <w:t>(HFS),</w:t>
      </w:r>
      <w:r w:rsidR="001F7E20" w:rsidRPr="00D00CC8">
        <w:rPr>
          <w:rFonts w:ascii="Times New Roman" w:hAnsi="Times New Roman" w:cs="Times New Roman"/>
          <w:sz w:val="20"/>
          <w:szCs w:val="20"/>
        </w:rPr>
        <w:t xml:space="preserve"> which is </w:t>
      </w:r>
      <w:r w:rsidR="00BC3592" w:rsidRPr="00D00CC8">
        <w:rPr>
          <w:rFonts w:ascii="Times New Roman" w:hAnsi="Times New Roman" w:cs="Times New Roman"/>
          <w:sz w:val="20"/>
          <w:szCs w:val="20"/>
        </w:rPr>
        <w:t xml:space="preserve">also known as </w:t>
      </w:r>
      <w:proofErr w:type="spellStart"/>
      <w:r w:rsidR="00BC3592" w:rsidRPr="00D00CC8">
        <w:rPr>
          <w:rFonts w:ascii="Times New Roman" w:hAnsi="Times New Roman" w:cs="Times New Roman"/>
          <w:sz w:val="20"/>
          <w:szCs w:val="20"/>
        </w:rPr>
        <w:t>palmoplantar</w:t>
      </w:r>
      <w:proofErr w:type="spellEnd"/>
      <w:r w:rsidR="00BC3592" w:rsidRPr="00D00CC8">
        <w:rPr>
          <w:rFonts w:ascii="Times New Roman" w:hAnsi="Times New Roman" w:cs="Times New Roman"/>
          <w:sz w:val="20"/>
          <w:szCs w:val="20"/>
        </w:rPr>
        <w:t xml:space="preserve"> </w:t>
      </w:r>
      <w:proofErr w:type="spellStart"/>
      <w:r w:rsidR="00BC3592" w:rsidRPr="00D00CC8">
        <w:rPr>
          <w:rFonts w:ascii="Times New Roman" w:hAnsi="Times New Roman" w:cs="Times New Roman"/>
          <w:sz w:val="20"/>
          <w:szCs w:val="20"/>
        </w:rPr>
        <w:t>ery</w:t>
      </w:r>
      <w:r w:rsidR="001F7E20" w:rsidRPr="00D00CC8">
        <w:rPr>
          <w:rFonts w:ascii="Times New Roman" w:hAnsi="Times New Roman" w:cs="Times New Roman"/>
          <w:sz w:val="20"/>
          <w:szCs w:val="20"/>
        </w:rPr>
        <w:t>throdysesthesia</w:t>
      </w:r>
      <w:proofErr w:type="spellEnd"/>
      <w:r w:rsidR="001F7E20" w:rsidRPr="00D00CC8">
        <w:rPr>
          <w:rFonts w:ascii="Times New Roman" w:hAnsi="Times New Roman" w:cs="Times New Roman"/>
          <w:sz w:val="20"/>
          <w:szCs w:val="20"/>
        </w:rPr>
        <w:t xml:space="preserve"> </w:t>
      </w:r>
      <w:r w:rsidR="00BC3592" w:rsidRPr="00D00CC8">
        <w:rPr>
          <w:rFonts w:ascii="Times New Roman" w:hAnsi="Times New Roman" w:cs="Times New Roman"/>
          <w:sz w:val="20"/>
          <w:szCs w:val="20"/>
        </w:rPr>
        <w:t xml:space="preserve"> is a localized dermatologic reactions associated with the initiation of therapy with certain chemotherapeutic agents and is the most frequently reported side effect of oral capecita</w:t>
      </w:r>
      <w:r w:rsidR="00A769EC" w:rsidRPr="00D00CC8">
        <w:rPr>
          <w:rFonts w:ascii="Times New Roman" w:hAnsi="Times New Roman" w:cs="Times New Roman"/>
          <w:sz w:val="20"/>
          <w:szCs w:val="20"/>
        </w:rPr>
        <w:t>bine</w:t>
      </w:r>
      <w:r w:rsidR="00BC3592" w:rsidRPr="00D00CC8">
        <w:rPr>
          <w:rFonts w:ascii="Times New Roman" w:hAnsi="Times New Roman" w:cs="Times New Roman"/>
          <w:sz w:val="20"/>
          <w:szCs w:val="20"/>
        </w:rPr>
        <w:t>.</w:t>
      </w:r>
      <w:r w:rsidR="00A769EC" w:rsidRPr="00D00CC8">
        <w:rPr>
          <w:rFonts w:ascii="Times New Roman" w:hAnsi="Times New Roman" w:cs="Times New Roman"/>
          <w:sz w:val="20"/>
          <w:szCs w:val="20"/>
          <w:vertAlign w:val="superscript"/>
        </w:rPr>
        <w:t>1</w:t>
      </w:r>
      <w:r w:rsidR="00BC3592" w:rsidRPr="00D00CC8">
        <w:rPr>
          <w:rFonts w:ascii="Times New Roman" w:hAnsi="Times New Roman" w:cs="Times New Roman"/>
          <w:sz w:val="20"/>
          <w:szCs w:val="20"/>
        </w:rPr>
        <w:t xml:space="preserve"> Hand-foot syndrome (HFS) has been previously reported as a side effect in 45-56% of pati</w:t>
      </w:r>
      <w:r w:rsidR="00A769EC" w:rsidRPr="00D00CC8">
        <w:rPr>
          <w:rFonts w:ascii="Times New Roman" w:hAnsi="Times New Roman" w:cs="Times New Roman"/>
          <w:sz w:val="20"/>
          <w:szCs w:val="20"/>
        </w:rPr>
        <w:t>ents treated with capecitabine.</w:t>
      </w:r>
      <w:r w:rsidR="00A769EC" w:rsidRPr="00D00CC8">
        <w:rPr>
          <w:rFonts w:ascii="Times New Roman" w:hAnsi="Times New Roman" w:cs="Times New Roman"/>
          <w:sz w:val="20"/>
          <w:szCs w:val="20"/>
          <w:vertAlign w:val="superscript"/>
        </w:rPr>
        <w:t>2</w:t>
      </w:r>
      <w:r w:rsidR="00E27B18" w:rsidRPr="00D00CC8">
        <w:rPr>
          <w:rFonts w:ascii="Times New Roman" w:hAnsi="Times New Roman" w:cs="Times New Roman"/>
          <w:sz w:val="20"/>
          <w:szCs w:val="20"/>
        </w:rPr>
        <w:br/>
      </w:r>
      <w:r w:rsidR="00BC3592" w:rsidRPr="00D00CC8">
        <w:rPr>
          <w:rFonts w:ascii="Times New Roman" w:hAnsi="Times New Roman" w:cs="Times New Roman"/>
          <w:sz w:val="20"/>
          <w:szCs w:val="20"/>
        </w:rPr>
        <w:t>Although the</w:t>
      </w:r>
      <w:r w:rsidR="00106B8E" w:rsidRPr="00D00CC8">
        <w:rPr>
          <w:rFonts w:ascii="Times New Roman" w:hAnsi="Times New Roman" w:cs="Times New Roman"/>
          <w:sz w:val="20"/>
          <w:szCs w:val="20"/>
        </w:rPr>
        <w:t xml:space="preserve"> exact</w:t>
      </w:r>
      <w:r w:rsidR="00BC3592" w:rsidRPr="00D00CC8">
        <w:rPr>
          <w:rFonts w:ascii="Times New Roman" w:hAnsi="Times New Roman" w:cs="Times New Roman"/>
          <w:sz w:val="20"/>
          <w:szCs w:val="20"/>
        </w:rPr>
        <w:t xml:space="preserve"> </w:t>
      </w:r>
      <w:r w:rsidR="00106B8E" w:rsidRPr="00D00CC8">
        <w:rPr>
          <w:rFonts w:ascii="Times New Roman" w:hAnsi="Times New Roman" w:cs="Times New Roman"/>
          <w:sz w:val="20"/>
          <w:szCs w:val="20"/>
        </w:rPr>
        <w:t>pathogenesis of HFS is not clear</w:t>
      </w:r>
      <w:r w:rsidR="00BC3592" w:rsidRPr="00D00CC8">
        <w:rPr>
          <w:rFonts w:ascii="Times New Roman" w:hAnsi="Times New Roman" w:cs="Times New Roman"/>
          <w:sz w:val="20"/>
          <w:szCs w:val="20"/>
        </w:rPr>
        <w:t xml:space="preserve">, it may be due to damaged deep capillaries in the soles of the feet and palms of the hands, leading to a COX inflammatory-type reaction, or related to enzymes involved in the metabolism of </w:t>
      </w:r>
      <w:proofErr w:type="spellStart"/>
      <w:r w:rsidR="00BC3592" w:rsidRPr="00D00CC8">
        <w:rPr>
          <w:rFonts w:ascii="Times New Roman" w:hAnsi="Times New Roman" w:cs="Times New Roman"/>
          <w:sz w:val="20"/>
          <w:szCs w:val="20"/>
        </w:rPr>
        <w:t>capecitabine</w:t>
      </w:r>
      <w:proofErr w:type="spellEnd"/>
      <w:r w:rsidR="00BC3592" w:rsidRPr="00D00CC8">
        <w:rPr>
          <w:rFonts w:ascii="Times New Roman" w:hAnsi="Times New Roman" w:cs="Times New Roman"/>
          <w:sz w:val="20"/>
          <w:szCs w:val="20"/>
        </w:rPr>
        <w:t xml:space="preserve">, namely, thymidine </w:t>
      </w:r>
      <w:proofErr w:type="spellStart"/>
      <w:r w:rsidR="00BC3592" w:rsidRPr="00D00CC8">
        <w:rPr>
          <w:rFonts w:ascii="Times New Roman" w:hAnsi="Times New Roman" w:cs="Times New Roman"/>
          <w:sz w:val="20"/>
          <w:szCs w:val="20"/>
        </w:rPr>
        <w:t>phosphorylase</w:t>
      </w:r>
      <w:proofErr w:type="spellEnd"/>
      <w:r w:rsidR="00BC3592" w:rsidRPr="00D00CC8">
        <w:rPr>
          <w:rFonts w:ascii="Times New Roman" w:hAnsi="Times New Roman" w:cs="Times New Roman"/>
          <w:sz w:val="20"/>
          <w:szCs w:val="20"/>
        </w:rPr>
        <w:t xml:space="preserve"> and </w:t>
      </w:r>
      <w:proofErr w:type="spellStart"/>
      <w:r w:rsidR="00BC3592" w:rsidRPr="00D00CC8">
        <w:rPr>
          <w:rFonts w:ascii="Times New Roman" w:hAnsi="Times New Roman" w:cs="Times New Roman"/>
          <w:sz w:val="20"/>
          <w:szCs w:val="20"/>
        </w:rPr>
        <w:t>dihydropyrimidine</w:t>
      </w:r>
      <w:proofErr w:type="spellEnd"/>
      <w:r w:rsidR="00BC3592" w:rsidRPr="00D00CC8">
        <w:rPr>
          <w:rFonts w:ascii="Times New Roman" w:hAnsi="Times New Roman" w:cs="Times New Roman"/>
          <w:sz w:val="20"/>
          <w:szCs w:val="20"/>
        </w:rPr>
        <w:t xml:space="preserve"> dehydrogenase.</w:t>
      </w:r>
      <w:r w:rsidR="000250FE" w:rsidRPr="00D00CC8">
        <w:rPr>
          <w:rFonts w:ascii="Times New Roman" w:hAnsi="Times New Roman" w:cs="Times New Roman"/>
          <w:sz w:val="20"/>
          <w:szCs w:val="20"/>
          <w:vertAlign w:val="superscript"/>
        </w:rPr>
        <w:t>3</w:t>
      </w:r>
      <w:r w:rsidR="00BC3592" w:rsidRPr="00D00CC8">
        <w:rPr>
          <w:rFonts w:ascii="Times New Roman" w:hAnsi="Times New Roman" w:cs="Times New Roman"/>
          <w:sz w:val="20"/>
          <w:szCs w:val="20"/>
        </w:rPr>
        <w:t xml:space="preserve"> </w:t>
      </w:r>
      <w:r w:rsidR="00566525" w:rsidRPr="00D00CC8">
        <w:rPr>
          <w:rFonts w:ascii="Times New Roman" w:hAnsi="Times New Roman" w:cs="Times New Roman"/>
          <w:sz w:val="20"/>
          <w:szCs w:val="20"/>
        </w:rPr>
        <w:t xml:space="preserve">The </w:t>
      </w:r>
      <w:r w:rsidR="00A033E6" w:rsidRPr="00D00CC8">
        <w:rPr>
          <w:rFonts w:ascii="Times New Roman" w:hAnsi="Times New Roman" w:cs="Times New Roman"/>
          <w:sz w:val="20"/>
          <w:szCs w:val="20"/>
        </w:rPr>
        <w:t xml:space="preserve">Pathological changes which </w:t>
      </w:r>
      <w:proofErr w:type="spellStart"/>
      <w:r w:rsidR="00A033E6" w:rsidRPr="00D00CC8">
        <w:rPr>
          <w:rFonts w:ascii="Times New Roman" w:hAnsi="Times New Roman" w:cs="Times New Roman"/>
          <w:sz w:val="20"/>
          <w:szCs w:val="20"/>
        </w:rPr>
        <w:t>occured</w:t>
      </w:r>
      <w:proofErr w:type="spellEnd"/>
      <w:r w:rsidR="00A033E6" w:rsidRPr="00D00CC8">
        <w:rPr>
          <w:rFonts w:ascii="Times New Roman" w:hAnsi="Times New Roman" w:cs="Times New Roman"/>
          <w:sz w:val="20"/>
          <w:szCs w:val="20"/>
        </w:rPr>
        <w:t xml:space="preserve">  include the </w:t>
      </w:r>
      <w:proofErr w:type="spellStart"/>
      <w:r w:rsidR="00A033E6" w:rsidRPr="00D00CC8">
        <w:rPr>
          <w:rFonts w:ascii="Times New Roman" w:hAnsi="Times New Roman" w:cs="Times New Roman"/>
          <w:sz w:val="20"/>
          <w:szCs w:val="20"/>
        </w:rPr>
        <w:t>vacuolar</w:t>
      </w:r>
      <w:proofErr w:type="spellEnd"/>
      <w:r w:rsidR="00A033E6" w:rsidRPr="00D00CC8">
        <w:rPr>
          <w:rFonts w:ascii="Times New Roman" w:hAnsi="Times New Roman" w:cs="Times New Roman"/>
          <w:sz w:val="20"/>
          <w:szCs w:val="20"/>
        </w:rPr>
        <w:t xml:space="preserve"> degeneration of  the basal  keratinocytes, dermal perivascular lymphocytic  inﬁltration,  apoptotic  keratinocytes  and  dermal  edema</w:t>
      </w:r>
      <w:r w:rsidR="000250FE" w:rsidRPr="00D00CC8">
        <w:rPr>
          <w:rFonts w:ascii="Times New Roman" w:hAnsi="Times New Roman" w:cs="Times New Roman"/>
          <w:sz w:val="20"/>
          <w:szCs w:val="20"/>
        </w:rPr>
        <w:t>.</w:t>
      </w:r>
      <w:r w:rsidR="000250FE" w:rsidRPr="00D00CC8">
        <w:rPr>
          <w:rFonts w:ascii="Times New Roman" w:hAnsi="Times New Roman" w:cs="Times New Roman"/>
          <w:sz w:val="20"/>
          <w:szCs w:val="20"/>
          <w:vertAlign w:val="superscript"/>
        </w:rPr>
        <w:t>4</w:t>
      </w:r>
      <w:r w:rsidR="00E27B18" w:rsidRPr="00D00CC8">
        <w:rPr>
          <w:rFonts w:ascii="Times New Roman" w:hAnsi="Times New Roman" w:cs="Times New Roman"/>
          <w:sz w:val="20"/>
          <w:szCs w:val="20"/>
        </w:rPr>
        <w:br/>
      </w:r>
      <w:r w:rsidR="00D815C6" w:rsidRPr="00D00CC8">
        <w:rPr>
          <w:rFonts w:ascii="Times New Roman" w:hAnsi="Times New Roman" w:cs="Times New Roman"/>
          <w:sz w:val="20"/>
          <w:szCs w:val="20"/>
        </w:rPr>
        <w:t>The clinical features</w:t>
      </w:r>
      <w:r w:rsidR="00D61888" w:rsidRPr="00D00CC8">
        <w:rPr>
          <w:rFonts w:ascii="Times New Roman" w:hAnsi="Times New Roman" w:cs="Times New Roman"/>
          <w:sz w:val="20"/>
          <w:szCs w:val="20"/>
        </w:rPr>
        <w:t xml:space="preserve"> of </w:t>
      </w:r>
      <w:r w:rsidR="00D815C6" w:rsidRPr="00D00CC8">
        <w:rPr>
          <w:rFonts w:ascii="Times New Roman" w:hAnsi="Times New Roman" w:cs="Times New Roman"/>
          <w:sz w:val="20"/>
          <w:szCs w:val="20"/>
        </w:rPr>
        <w:t>HFS is characterized</w:t>
      </w:r>
      <w:r w:rsidR="009E649D" w:rsidRPr="00D00CC8">
        <w:rPr>
          <w:rFonts w:ascii="Times New Roman" w:hAnsi="Times New Roman" w:cs="Times New Roman"/>
          <w:sz w:val="20"/>
          <w:szCs w:val="20"/>
        </w:rPr>
        <w:t xml:space="preserve"> by a </w:t>
      </w:r>
      <w:proofErr w:type="spellStart"/>
      <w:r w:rsidR="009E649D" w:rsidRPr="00D00CC8">
        <w:rPr>
          <w:rFonts w:ascii="Times New Roman" w:hAnsi="Times New Roman" w:cs="Times New Roman"/>
          <w:sz w:val="20"/>
          <w:szCs w:val="20"/>
        </w:rPr>
        <w:t>prodrome</w:t>
      </w:r>
      <w:proofErr w:type="spellEnd"/>
      <w:r w:rsidR="009E649D" w:rsidRPr="00D00CC8">
        <w:rPr>
          <w:rFonts w:ascii="Times New Roman" w:hAnsi="Times New Roman" w:cs="Times New Roman"/>
          <w:sz w:val="20"/>
          <w:szCs w:val="20"/>
        </w:rPr>
        <w:t xml:space="preserve"> of</w:t>
      </w:r>
      <w:r w:rsidR="00D815C6" w:rsidRPr="00D00CC8">
        <w:rPr>
          <w:rFonts w:ascii="Times New Roman" w:hAnsi="Times New Roman" w:cs="Times New Roman"/>
          <w:sz w:val="20"/>
          <w:szCs w:val="20"/>
        </w:rPr>
        <w:t xml:space="preserve"> </w:t>
      </w:r>
      <w:proofErr w:type="spellStart"/>
      <w:r w:rsidR="00D815C6" w:rsidRPr="00D00CC8">
        <w:rPr>
          <w:rFonts w:ascii="Times New Roman" w:hAnsi="Times New Roman" w:cs="Times New Roman"/>
          <w:sz w:val="20"/>
          <w:szCs w:val="20"/>
        </w:rPr>
        <w:t>dysesthesia</w:t>
      </w:r>
      <w:proofErr w:type="spellEnd"/>
      <w:r w:rsidR="00D815C6" w:rsidRPr="00D00CC8">
        <w:rPr>
          <w:rFonts w:ascii="Times New Roman" w:hAnsi="Times New Roman" w:cs="Times New Roman"/>
          <w:sz w:val="20"/>
          <w:szCs w:val="20"/>
        </w:rPr>
        <w:t>,</w:t>
      </w:r>
      <w:r w:rsidR="00D61888" w:rsidRPr="00D00CC8">
        <w:rPr>
          <w:rFonts w:ascii="Times New Roman" w:hAnsi="Times New Roman" w:cs="Times New Roman"/>
          <w:sz w:val="20"/>
          <w:szCs w:val="20"/>
        </w:rPr>
        <w:t xml:space="preserve"> painful </w:t>
      </w:r>
      <w:proofErr w:type="spellStart"/>
      <w:r w:rsidR="009E649D" w:rsidRPr="00D00CC8">
        <w:rPr>
          <w:rFonts w:ascii="Times New Roman" w:hAnsi="Times New Roman" w:cs="Times New Roman"/>
          <w:sz w:val="20"/>
          <w:szCs w:val="20"/>
        </w:rPr>
        <w:t>edema</w:t>
      </w:r>
      <w:proofErr w:type="spellEnd"/>
      <w:r w:rsidR="009E649D" w:rsidRPr="00D00CC8">
        <w:rPr>
          <w:rFonts w:ascii="Times New Roman" w:hAnsi="Times New Roman" w:cs="Times New Roman"/>
          <w:sz w:val="20"/>
          <w:szCs w:val="20"/>
        </w:rPr>
        <w:t xml:space="preserve"> and erythema of t</w:t>
      </w:r>
      <w:r w:rsidR="00D61888" w:rsidRPr="00D00CC8">
        <w:rPr>
          <w:rFonts w:ascii="Times New Roman" w:hAnsi="Times New Roman" w:cs="Times New Roman"/>
          <w:sz w:val="20"/>
          <w:szCs w:val="20"/>
        </w:rPr>
        <w:t>he palms, digits, and soles which</w:t>
      </w:r>
      <w:r w:rsidR="009E649D" w:rsidRPr="00D00CC8">
        <w:rPr>
          <w:rFonts w:ascii="Times New Roman" w:hAnsi="Times New Roman" w:cs="Times New Roman"/>
          <w:sz w:val="20"/>
          <w:szCs w:val="20"/>
        </w:rPr>
        <w:t xml:space="preserve"> may evolve into blisters and erosions.</w:t>
      </w:r>
      <w:r w:rsidR="00D61888" w:rsidRPr="00D00CC8">
        <w:rPr>
          <w:rFonts w:ascii="Times New Roman" w:hAnsi="Times New Roman" w:cs="Times New Roman"/>
          <w:sz w:val="20"/>
          <w:szCs w:val="20"/>
          <w:vertAlign w:val="superscript"/>
        </w:rPr>
        <w:t>1</w:t>
      </w:r>
      <w:r w:rsidR="0035109C" w:rsidRPr="00D00CC8">
        <w:rPr>
          <w:rFonts w:ascii="Times New Roman" w:hAnsi="Times New Roman" w:cs="Times New Roman"/>
          <w:sz w:val="20"/>
          <w:szCs w:val="20"/>
        </w:rPr>
        <w:t xml:space="preserve"> Although </w:t>
      </w:r>
      <w:r w:rsidRPr="00D00CC8">
        <w:rPr>
          <w:rFonts w:ascii="Times New Roman" w:hAnsi="Times New Roman" w:cs="Times New Roman"/>
          <w:sz w:val="20"/>
          <w:szCs w:val="20"/>
        </w:rPr>
        <w:t>not a life threatening toxicity, it can be quite serious, leading to a delay in or discontinuation of anticancer therapy and affecting normal daily activities and the quality of life.</w:t>
      </w:r>
      <w:r w:rsidR="001C0E5F" w:rsidRPr="00D00CC8">
        <w:rPr>
          <w:rFonts w:ascii="Times New Roman" w:hAnsi="Times New Roman" w:cs="Times New Roman"/>
          <w:sz w:val="20"/>
          <w:szCs w:val="20"/>
        </w:rPr>
        <w:t xml:space="preserve"> </w:t>
      </w:r>
      <w:r w:rsidR="001C0E5F" w:rsidRPr="00D00CC8">
        <w:rPr>
          <w:rFonts w:ascii="Times New Roman" w:hAnsi="Times New Roman" w:cs="Times New Roman"/>
          <w:color w:val="000000"/>
          <w:sz w:val="20"/>
          <w:szCs w:val="20"/>
          <w:shd w:val="clear" w:color="auto" w:fill="FFFFFF"/>
        </w:rPr>
        <w:t xml:space="preserve"> If not promptly managed, HFS can progress to an extremely painful and debilitating condition, causing significant discomfort and impairment of function, potentially leading to worsened quality of life in patients receiving capecitabine.</w:t>
      </w:r>
      <w:r w:rsidR="000250FE" w:rsidRPr="00D00CC8">
        <w:rPr>
          <w:rFonts w:ascii="Times New Roman" w:hAnsi="Times New Roman" w:cs="Times New Roman"/>
          <w:color w:val="000000"/>
          <w:sz w:val="20"/>
          <w:szCs w:val="20"/>
          <w:shd w:val="clear" w:color="auto" w:fill="FFFFFF"/>
          <w:vertAlign w:val="superscript"/>
        </w:rPr>
        <w:t>5</w:t>
      </w:r>
      <w:r w:rsidR="001C0E5F" w:rsidRPr="00D00CC8">
        <w:rPr>
          <w:rFonts w:ascii="Times New Roman" w:hAnsi="Times New Roman" w:cs="Times New Roman"/>
          <w:color w:val="000000"/>
          <w:sz w:val="20"/>
          <w:szCs w:val="20"/>
          <w:shd w:val="clear" w:color="auto" w:fill="FFFFFF"/>
        </w:rPr>
        <w:t xml:space="preserve"> </w:t>
      </w:r>
      <w:r w:rsidR="00E27B18" w:rsidRPr="00D00CC8">
        <w:rPr>
          <w:rFonts w:ascii="Times New Roman" w:hAnsi="Times New Roman" w:cs="Times New Roman"/>
          <w:color w:val="000000"/>
          <w:sz w:val="20"/>
          <w:szCs w:val="20"/>
          <w:shd w:val="clear" w:color="auto" w:fill="FFFFFF"/>
        </w:rPr>
        <w:br/>
      </w:r>
      <w:r w:rsidR="001C0E5F" w:rsidRPr="00D00CC8">
        <w:rPr>
          <w:rFonts w:ascii="Times New Roman" w:hAnsi="Times New Roman" w:cs="Times New Roman"/>
          <w:color w:val="000000"/>
          <w:sz w:val="20"/>
          <w:szCs w:val="20"/>
          <w:shd w:val="clear" w:color="auto" w:fill="FFFFFF"/>
        </w:rPr>
        <w:t xml:space="preserve">However, treatment </w:t>
      </w:r>
      <w:r w:rsidR="00063C19" w:rsidRPr="00D00CC8">
        <w:rPr>
          <w:rFonts w:ascii="Times New Roman" w:hAnsi="Times New Roman" w:cs="Times New Roman"/>
          <w:color w:val="000000"/>
          <w:sz w:val="20"/>
          <w:szCs w:val="20"/>
          <w:shd w:val="clear" w:color="auto" w:fill="FFFFFF"/>
        </w:rPr>
        <w:t xml:space="preserve">interruption and </w:t>
      </w:r>
      <w:r w:rsidR="001C0E5F" w:rsidRPr="00D00CC8">
        <w:rPr>
          <w:rFonts w:ascii="Times New Roman" w:hAnsi="Times New Roman" w:cs="Times New Roman"/>
          <w:color w:val="000000"/>
          <w:sz w:val="20"/>
          <w:szCs w:val="20"/>
          <w:shd w:val="clear" w:color="auto" w:fill="FFFFFF"/>
        </w:rPr>
        <w:t>or dose reduction usually leads to rapid reversal o</w:t>
      </w:r>
      <w:r w:rsidR="00063C19" w:rsidRPr="00D00CC8">
        <w:rPr>
          <w:rFonts w:ascii="Times New Roman" w:hAnsi="Times New Roman" w:cs="Times New Roman"/>
          <w:color w:val="000000"/>
          <w:sz w:val="20"/>
          <w:szCs w:val="20"/>
          <w:shd w:val="clear" w:color="auto" w:fill="FFFFFF"/>
        </w:rPr>
        <w:t xml:space="preserve">f the signs and symptoms of HFS along with </w:t>
      </w:r>
      <w:r w:rsidR="001C0E5F" w:rsidRPr="00D00CC8">
        <w:rPr>
          <w:rFonts w:ascii="Times New Roman" w:hAnsi="Times New Roman" w:cs="Times New Roman"/>
          <w:color w:val="000000"/>
          <w:sz w:val="20"/>
          <w:szCs w:val="20"/>
          <w:shd w:val="clear" w:color="auto" w:fill="FFFFFF"/>
        </w:rPr>
        <w:t>supportive treat</w:t>
      </w:r>
      <w:r w:rsidR="00063C19" w:rsidRPr="00D00CC8">
        <w:rPr>
          <w:rFonts w:ascii="Times New Roman" w:hAnsi="Times New Roman" w:cs="Times New Roman"/>
          <w:color w:val="000000"/>
          <w:sz w:val="20"/>
          <w:szCs w:val="20"/>
          <w:shd w:val="clear" w:color="auto" w:fill="FFFFFF"/>
        </w:rPr>
        <w:t>ments can help alleviate it</w:t>
      </w:r>
      <w:r w:rsidR="009E649D" w:rsidRPr="00D00CC8">
        <w:rPr>
          <w:rFonts w:ascii="Times New Roman" w:hAnsi="Times New Roman" w:cs="Times New Roman"/>
          <w:color w:val="000000"/>
          <w:sz w:val="20"/>
          <w:szCs w:val="20"/>
          <w:shd w:val="clear" w:color="auto" w:fill="FFFFFF"/>
        </w:rPr>
        <w:t>.</w:t>
      </w:r>
      <w:r w:rsidR="000250FE" w:rsidRPr="00D00CC8">
        <w:rPr>
          <w:rFonts w:ascii="Times New Roman" w:hAnsi="Times New Roman" w:cs="Times New Roman"/>
          <w:color w:val="000000"/>
          <w:sz w:val="20"/>
          <w:szCs w:val="20"/>
          <w:shd w:val="clear" w:color="auto" w:fill="FFFFFF"/>
          <w:vertAlign w:val="superscript"/>
        </w:rPr>
        <w:t>6</w:t>
      </w:r>
      <w:r w:rsidR="001C0E5F" w:rsidRPr="00D00CC8">
        <w:rPr>
          <w:rFonts w:ascii="Times New Roman" w:hAnsi="Times New Roman" w:cs="Times New Roman"/>
          <w:color w:val="000000"/>
          <w:sz w:val="20"/>
          <w:szCs w:val="20"/>
          <w:shd w:val="clear" w:color="auto" w:fill="FFFFFF"/>
        </w:rPr>
        <w:t xml:space="preserve"> </w:t>
      </w:r>
      <w:r w:rsidR="003C2A48" w:rsidRPr="00D00CC8">
        <w:rPr>
          <w:rFonts w:ascii="Times New Roman" w:hAnsi="Times New Roman" w:cs="Times New Roman"/>
          <w:color w:val="000000"/>
          <w:sz w:val="20"/>
          <w:szCs w:val="20"/>
          <w:shd w:val="clear" w:color="auto" w:fill="FFFFFF"/>
        </w:rPr>
        <w:br/>
      </w:r>
      <w:r w:rsidR="003C2A48" w:rsidRPr="00065320">
        <w:rPr>
          <w:b/>
          <w:sz w:val="28"/>
          <w:szCs w:val="28"/>
          <w:u w:val="single"/>
        </w:rPr>
        <w:br/>
      </w:r>
      <w:r w:rsidR="003C2A48" w:rsidRPr="00D00CC8">
        <w:rPr>
          <w:rFonts w:ascii="Times New Roman" w:hAnsi="Times New Roman" w:cs="Times New Roman"/>
          <w:b/>
          <w:sz w:val="28"/>
          <w:szCs w:val="28"/>
        </w:rPr>
        <w:t>AIMS AND OBJECTIVES</w:t>
      </w:r>
      <w:r w:rsidR="003C2A48" w:rsidRPr="00D00CC8">
        <w:rPr>
          <w:rFonts w:ascii="Times New Roman" w:hAnsi="Times New Roman" w:cs="Times New Roman"/>
          <w:sz w:val="28"/>
          <w:szCs w:val="28"/>
        </w:rPr>
        <w:br/>
      </w:r>
      <w:r w:rsidR="003C2A48" w:rsidRPr="00D00CC8">
        <w:rPr>
          <w:rFonts w:ascii="Times New Roman" w:hAnsi="Times New Roman" w:cs="Times New Roman"/>
          <w:sz w:val="20"/>
          <w:szCs w:val="20"/>
        </w:rPr>
        <w:t xml:space="preserve">1) To estimate the incidence of Hand Foot Syndrome among cancer patients receiving treatment with </w:t>
      </w:r>
      <w:proofErr w:type="spellStart"/>
      <w:r w:rsidR="003C2A48" w:rsidRPr="00D00CC8">
        <w:rPr>
          <w:rFonts w:ascii="Times New Roman" w:hAnsi="Times New Roman" w:cs="Times New Roman"/>
          <w:sz w:val="20"/>
          <w:szCs w:val="20"/>
        </w:rPr>
        <w:t>capecitabine</w:t>
      </w:r>
      <w:proofErr w:type="spellEnd"/>
      <w:r w:rsidR="003C2A48" w:rsidRPr="00D00CC8">
        <w:rPr>
          <w:rFonts w:ascii="Times New Roman" w:hAnsi="Times New Roman" w:cs="Times New Roman"/>
          <w:sz w:val="20"/>
          <w:szCs w:val="20"/>
        </w:rPr>
        <w:t xml:space="preserve"> containing chemotherapy at state cancer institute.</w:t>
      </w:r>
      <w:r w:rsidR="003C2A48" w:rsidRPr="00D00CC8">
        <w:rPr>
          <w:rFonts w:ascii="Times New Roman" w:hAnsi="Times New Roman" w:cs="Times New Roman"/>
          <w:sz w:val="20"/>
          <w:szCs w:val="20"/>
        </w:rPr>
        <w:br/>
        <w:t>2) To determine the severity of Hand Foot Syndrome.</w:t>
      </w:r>
      <w:r w:rsidR="003C2A48" w:rsidRPr="00D00CC8">
        <w:rPr>
          <w:sz w:val="20"/>
          <w:szCs w:val="20"/>
        </w:rPr>
        <w:br/>
      </w:r>
      <w:r w:rsidR="002D1757">
        <w:rPr>
          <w:sz w:val="28"/>
          <w:szCs w:val="28"/>
        </w:rPr>
        <w:br/>
      </w:r>
      <w:r w:rsidR="002D1757" w:rsidRPr="00D00CC8">
        <w:rPr>
          <w:rFonts w:ascii="Times New Roman" w:hAnsi="Times New Roman" w:cs="Times New Roman"/>
          <w:b/>
          <w:sz w:val="28"/>
          <w:szCs w:val="28"/>
        </w:rPr>
        <w:t>METHODS AND MATERIALS</w:t>
      </w:r>
      <w:r w:rsidR="002D1757">
        <w:rPr>
          <w:sz w:val="28"/>
          <w:szCs w:val="28"/>
        </w:rPr>
        <w:br/>
      </w:r>
      <w:proofErr w:type="gramStart"/>
      <w:r w:rsidR="004441F4" w:rsidRPr="00D00CC8">
        <w:rPr>
          <w:rFonts w:ascii="Times New Roman" w:hAnsi="Times New Roman" w:cs="Times New Roman"/>
          <w:sz w:val="20"/>
          <w:szCs w:val="20"/>
        </w:rPr>
        <w:t>The</w:t>
      </w:r>
      <w:proofErr w:type="gramEnd"/>
      <w:r w:rsidR="004441F4" w:rsidRPr="00D00CC8">
        <w:rPr>
          <w:rFonts w:ascii="Times New Roman" w:hAnsi="Times New Roman" w:cs="Times New Roman"/>
          <w:sz w:val="20"/>
          <w:szCs w:val="20"/>
        </w:rPr>
        <w:t xml:space="preserve"> study was a Hospital based retrospective study conducted at state cancer institute in Assam, for a period of six months from August 2019 to January 2</w:t>
      </w:r>
      <w:r w:rsidR="00D97317" w:rsidRPr="00D00CC8">
        <w:rPr>
          <w:rFonts w:ascii="Times New Roman" w:hAnsi="Times New Roman" w:cs="Times New Roman"/>
          <w:sz w:val="20"/>
          <w:szCs w:val="20"/>
        </w:rPr>
        <w:t>020.</w:t>
      </w:r>
      <w:r w:rsidR="004441F4" w:rsidRPr="00D00CC8">
        <w:rPr>
          <w:rFonts w:ascii="Times New Roman" w:hAnsi="Times New Roman" w:cs="Times New Roman"/>
          <w:sz w:val="20"/>
          <w:szCs w:val="20"/>
        </w:rPr>
        <w:t>A total of Fifty one cancer patients were included</w:t>
      </w:r>
      <w:r w:rsidR="00956C2A" w:rsidRPr="00D00CC8">
        <w:rPr>
          <w:rFonts w:ascii="Times New Roman" w:hAnsi="Times New Roman" w:cs="Times New Roman"/>
          <w:sz w:val="20"/>
          <w:szCs w:val="20"/>
        </w:rPr>
        <w:t>, out of which</w:t>
      </w:r>
      <w:r w:rsidR="0017377E" w:rsidRPr="00D00CC8">
        <w:rPr>
          <w:rFonts w:ascii="Times New Roman" w:hAnsi="Times New Roman" w:cs="Times New Roman"/>
          <w:sz w:val="20"/>
          <w:szCs w:val="20"/>
        </w:rPr>
        <w:t xml:space="preserve"> thirty three had Hand foot syndrome.</w:t>
      </w:r>
    </w:p>
    <w:p w:rsidR="00FC0538" w:rsidRPr="00C84CC0" w:rsidRDefault="004441F4" w:rsidP="008D07E2">
      <w:pPr>
        <w:shd w:val="clear" w:color="auto" w:fill="FFFFFF"/>
        <w:spacing w:line="348" w:lineRule="atLeast"/>
        <w:rPr>
          <w:rFonts w:ascii="Times New Roman" w:hAnsi="Times New Roman" w:cs="Times New Roman"/>
          <w:sz w:val="28"/>
          <w:szCs w:val="28"/>
        </w:rPr>
      </w:pPr>
      <w:r w:rsidRPr="00C84CC0">
        <w:rPr>
          <w:rFonts w:ascii="Times New Roman" w:hAnsi="Times New Roman" w:cs="Times New Roman"/>
          <w:sz w:val="28"/>
          <w:szCs w:val="28"/>
        </w:rPr>
        <w:t xml:space="preserve"> </w:t>
      </w:r>
      <w:r w:rsidR="008D07E2" w:rsidRPr="00D00CC8">
        <w:rPr>
          <w:rFonts w:ascii="Times New Roman" w:hAnsi="Times New Roman" w:cs="Times New Roman"/>
          <w:b/>
          <w:sz w:val="20"/>
          <w:szCs w:val="20"/>
        </w:rPr>
        <w:t>Inclusion criteria</w:t>
      </w:r>
      <w:proofErr w:type="gramStart"/>
      <w:r w:rsidR="008D07E2" w:rsidRPr="00D00CC8">
        <w:rPr>
          <w:rFonts w:ascii="Times New Roman" w:hAnsi="Times New Roman" w:cs="Times New Roman"/>
          <w:b/>
          <w:sz w:val="20"/>
          <w:szCs w:val="20"/>
        </w:rPr>
        <w:t>:</w:t>
      </w:r>
      <w:proofErr w:type="gramEnd"/>
      <w:r w:rsidR="008D07E2" w:rsidRPr="00C84CC0">
        <w:rPr>
          <w:rFonts w:ascii="Times New Roman" w:hAnsi="Times New Roman" w:cs="Times New Roman"/>
          <w:sz w:val="28"/>
          <w:szCs w:val="28"/>
        </w:rPr>
        <w:br/>
      </w:r>
      <w:r w:rsidR="008D07E2" w:rsidRPr="00D00CC8">
        <w:rPr>
          <w:rFonts w:ascii="Times New Roman" w:hAnsi="Times New Roman" w:cs="Times New Roman"/>
          <w:sz w:val="20"/>
          <w:szCs w:val="20"/>
        </w:rPr>
        <w:t>1) A</w:t>
      </w:r>
      <w:r w:rsidR="00502966" w:rsidRPr="00D00CC8">
        <w:rPr>
          <w:rFonts w:ascii="Times New Roman" w:hAnsi="Times New Roman" w:cs="Times New Roman"/>
          <w:sz w:val="20"/>
          <w:szCs w:val="20"/>
        </w:rPr>
        <w:t xml:space="preserve">bove </w:t>
      </w:r>
      <w:r w:rsidR="00FC0538" w:rsidRPr="00D00CC8">
        <w:rPr>
          <w:rFonts w:ascii="Times New Roman" w:hAnsi="Times New Roman" w:cs="Times New Roman"/>
          <w:sz w:val="20"/>
          <w:szCs w:val="20"/>
        </w:rPr>
        <w:t>18 years</w:t>
      </w:r>
      <w:r w:rsidR="002D1757" w:rsidRPr="00D00CC8">
        <w:rPr>
          <w:rFonts w:ascii="Times New Roman" w:hAnsi="Times New Roman" w:cs="Times New Roman"/>
          <w:sz w:val="20"/>
          <w:szCs w:val="20"/>
        </w:rPr>
        <w:t xml:space="preserve"> age group.</w:t>
      </w:r>
      <w:r w:rsidR="002D1757" w:rsidRPr="00D00CC8">
        <w:rPr>
          <w:rFonts w:ascii="Times New Roman" w:hAnsi="Times New Roman" w:cs="Times New Roman"/>
          <w:sz w:val="20"/>
          <w:szCs w:val="20"/>
        </w:rPr>
        <w:br/>
        <w:t>2)</w:t>
      </w:r>
      <w:r w:rsidR="00502966" w:rsidRPr="00D00CC8">
        <w:rPr>
          <w:rFonts w:ascii="Times New Roman" w:hAnsi="Times New Roman" w:cs="Times New Roman"/>
          <w:sz w:val="20"/>
          <w:szCs w:val="20"/>
        </w:rPr>
        <w:t xml:space="preserve"> </w:t>
      </w:r>
      <w:r w:rsidR="002D1757" w:rsidRPr="00D00CC8">
        <w:rPr>
          <w:rFonts w:ascii="Times New Roman" w:hAnsi="Times New Roman" w:cs="Times New Roman"/>
          <w:sz w:val="20"/>
          <w:szCs w:val="20"/>
        </w:rPr>
        <w:t xml:space="preserve">Patients who were on treatment with </w:t>
      </w:r>
      <w:proofErr w:type="spellStart"/>
      <w:r w:rsidR="002D1757" w:rsidRPr="00D00CC8">
        <w:rPr>
          <w:rFonts w:ascii="Times New Roman" w:hAnsi="Times New Roman" w:cs="Times New Roman"/>
          <w:sz w:val="20"/>
          <w:szCs w:val="20"/>
        </w:rPr>
        <w:t>capecitabine</w:t>
      </w:r>
      <w:proofErr w:type="spellEnd"/>
      <w:r w:rsidR="002D1757" w:rsidRPr="00D00CC8">
        <w:rPr>
          <w:rFonts w:ascii="Times New Roman" w:hAnsi="Times New Roman" w:cs="Times New Roman"/>
          <w:sz w:val="20"/>
          <w:szCs w:val="20"/>
        </w:rPr>
        <w:t xml:space="preserve"> containing chemotherapy</w:t>
      </w:r>
      <w:r w:rsidR="002D1757" w:rsidRPr="00C84CC0">
        <w:rPr>
          <w:rFonts w:ascii="Times New Roman" w:hAnsi="Times New Roman" w:cs="Times New Roman"/>
          <w:sz w:val="28"/>
          <w:szCs w:val="28"/>
        </w:rPr>
        <w:t>.</w:t>
      </w:r>
      <w:r w:rsidR="008D07E2" w:rsidRPr="00C84CC0">
        <w:rPr>
          <w:rFonts w:ascii="Times New Roman" w:hAnsi="Times New Roman" w:cs="Times New Roman"/>
          <w:sz w:val="28"/>
          <w:szCs w:val="28"/>
        </w:rPr>
        <w:br/>
      </w:r>
      <w:r w:rsidR="002D1757" w:rsidRPr="00D00CC8">
        <w:rPr>
          <w:rFonts w:ascii="Times New Roman" w:hAnsi="Times New Roman" w:cs="Times New Roman"/>
          <w:b/>
          <w:sz w:val="20"/>
          <w:szCs w:val="20"/>
        </w:rPr>
        <w:t>Exclusion criteria</w:t>
      </w:r>
      <w:proofErr w:type="gramStart"/>
      <w:r w:rsidR="002D1757" w:rsidRPr="00D00CC8">
        <w:rPr>
          <w:rFonts w:ascii="Times New Roman" w:hAnsi="Times New Roman" w:cs="Times New Roman"/>
          <w:b/>
          <w:sz w:val="20"/>
          <w:szCs w:val="20"/>
        </w:rPr>
        <w:t>:</w:t>
      </w:r>
      <w:proofErr w:type="gramEnd"/>
      <w:r w:rsidR="00D00CC8">
        <w:rPr>
          <w:rFonts w:ascii="Times New Roman" w:hAnsi="Times New Roman" w:cs="Times New Roman"/>
          <w:sz w:val="28"/>
          <w:szCs w:val="28"/>
        </w:rPr>
        <w:br/>
      </w:r>
      <w:r w:rsidR="00D00CC8" w:rsidRPr="00D00CC8">
        <w:rPr>
          <w:rFonts w:ascii="Times New Roman" w:hAnsi="Times New Roman" w:cs="Times New Roman"/>
          <w:sz w:val="20"/>
          <w:szCs w:val="20"/>
        </w:rPr>
        <w:t>1) L</w:t>
      </w:r>
      <w:r w:rsidR="00852BC3" w:rsidRPr="00D00CC8">
        <w:rPr>
          <w:rFonts w:ascii="Times New Roman" w:hAnsi="Times New Roman" w:cs="Times New Roman"/>
          <w:sz w:val="20"/>
          <w:szCs w:val="20"/>
        </w:rPr>
        <w:t xml:space="preserve">ess than </w:t>
      </w:r>
      <w:r w:rsidR="00FC0538" w:rsidRPr="00D00CC8">
        <w:rPr>
          <w:rFonts w:ascii="Times New Roman" w:hAnsi="Times New Roman" w:cs="Times New Roman"/>
          <w:sz w:val="20"/>
          <w:szCs w:val="20"/>
        </w:rPr>
        <w:t>18 years</w:t>
      </w:r>
      <w:r w:rsidR="00D00CC8" w:rsidRPr="00D00CC8">
        <w:rPr>
          <w:rFonts w:ascii="Times New Roman" w:hAnsi="Times New Roman" w:cs="Times New Roman"/>
          <w:sz w:val="20"/>
          <w:szCs w:val="20"/>
        </w:rPr>
        <w:t xml:space="preserve"> age group.</w:t>
      </w:r>
      <w:r w:rsidR="008D07E2" w:rsidRPr="00D00CC8">
        <w:rPr>
          <w:rFonts w:ascii="Times New Roman" w:hAnsi="Times New Roman" w:cs="Times New Roman"/>
          <w:sz w:val="20"/>
          <w:szCs w:val="20"/>
        </w:rPr>
        <w:br/>
      </w:r>
      <w:r w:rsidR="00502966" w:rsidRPr="00D00CC8">
        <w:rPr>
          <w:rFonts w:ascii="Times New Roman" w:hAnsi="Times New Roman" w:cs="Times New Roman"/>
          <w:sz w:val="20"/>
          <w:szCs w:val="20"/>
        </w:rPr>
        <w:t>2) Preg</w:t>
      </w:r>
      <w:r w:rsidR="008D07E2" w:rsidRPr="00D00CC8">
        <w:rPr>
          <w:rFonts w:ascii="Times New Roman" w:hAnsi="Times New Roman" w:cs="Times New Roman"/>
          <w:sz w:val="20"/>
          <w:szCs w:val="20"/>
        </w:rPr>
        <w:t>nancy.</w:t>
      </w:r>
      <w:r w:rsidR="008D07E2" w:rsidRPr="00D00CC8">
        <w:rPr>
          <w:rFonts w:ascii="Times New Roman" w:hAnsi="Times New Roman" w:cs="Times New Roman"/>
          <w:sz w:val="20"/>
          <w:szCs w:val="20"/>
        </w:rPr>
        <w:br/>
      </w:r>
      <w:r w:rsidR="00502966" w:rsidRPr="00D00CC8">
        <w:rPr>
          <w:rFonts w:ascii="Times New Roman" w:hAnsi="Times New Roman" w:cs="Times New Roman"/>
          <w:sz w:val="20"/>
          <w:szCs w:val="20"/>
        </w:rPr>
        <w:t>3</w:t>
      </w:r>
      <w:r w:rsidR="002D1757" w:rsidRPr="00D00CC8">
        <w:rPr>
          <w:rFonts w:ascii="Times New Roman" w:hAnsi="Times New Roman" w:cs="Times New Roman"/>
          <w:sz w:val="20"/>
          <w:szCs w:val="20"/>
        </w:rPr>
        <w:t>) Lactating mother.</w:t>
      </w:r>
    </w:p>
    <w:p w:rsidR="009A538B" w:rsidRDefault="00866E49" w:rsidP="00D84F56">
      <w:pPr>
        <w:shd w:val="clear" w:color="auto" w:fill="FFFFFF"/>
        <w:spacing w:line="348" w:lineRule="atLeast"/>
        <w:rPr>
          <w:sz w:val="28"/>
          <w:szCs w:val="28"/>
        </w:rPr>
      </w:pPr>
      <w:r w:rsidRPr="00543594">
        <w:rPr>
          <w:rFonts w:ascii="Times New Roman" w:hAnsi="Times New Roman" w:cs="Times New Roman"/>
          <w:b/>
          <w:sz w:val="28"/>
          <w:szCs w:val="28"/>
        </w:rPr>
        <w:t>RESULTS AND OBSERVATIONS</w:t>
      </w:r>
      <w:r w:rsidR="00A23617">
        <w:rPr>
          <w:b/>
          <w:sz w:val="28"/>
          <w:szCs w:val="28"/>
        </w:rPr>
        <w:br/>
      </w:r>
      <w:r w:rsidR="00A44089" w:rsidRPr="00543594">
        <w:rPr>
          <w:rFonts w:ascii="Times New Roman" w:hAnsi="Times New Roman" w:cs="Times New Roman"/>
          <w:sz w:val="20"/>
          <w:szCs w:val="20"/>
        </w:rPr>
        <w:t>In this study, out of 33 cases of HFS, 13 were males (39.4% cases) and 20 were females (60.6%)</w:t>
      </w:r>
      <w:r w:rsidR="00A23617" w:rsidRPr="00543594">
        <w:rPr>
          <w:rFonts w:ascii="Times New Roman" w:hAnsi="Times New Roman" w:cs="Times New Roman"/>
          <w:sz w:val="20"/>
          <w:szCs w:val="20"/>
        </w:rPr>
        <w:t xml:space="preserve"> </w:t>
      </w:r>
      <w:r w:rsidR="00A44089" w:rsidRPr="00543594">
        <w:rPr>
          <w:rFonts w:ascii="Times New Roman" w:hAnsi="Times New Roman" w:cs="Times New Roman"/>
          <w:sz w:val="20"/>
          <w:szCs w:val="20"/>
        </w:rPr>
        <w:t xml:space="preserve"> wit</w:t>
      </w:r>
      <w:r w:rsidR="00D94E4A" w:rsidRPr="00543594">
        <w:rPr>
          <w:rFonts w:ascii="Times New Roman" w:hAnsi="Times New Roman" w:cs="Times New Roman"/>
          <w:sz w:val="20"/>
          <w:szCs w:val="20"/>
        </w:rPr>
        <w:t xml:space="preserve">h male female ratio was 1:1.5. </w:t>
      </w:r>
      <w:r w:rsidR="008A3DC7" w:rsidRPr="00543594">
        <w:rPr>
          <w:rFonts w:ascii="Times New Roman" w:hAnsi="Times New Roman" w:cs="Times New Roman"/>
          <w:sz w:val="20"/>
          <w:szCs w:val="20"/>
        </w:rPr>
        <w:t xml:space="preserve">As per NCI </w:t>
      </w:r>
      <w:r w:rsidR="00BB36FC" w:rsidRPr="00543594">
        <w:rPr>
          <w:rFonts w:ascii="Times New Roman" w:hAnsi="Times New Roman" w:cs="Times New Roman"/>
          <w:sz w:val="20"/>
          <w:szCs w:val="20"/>
        </w:rPr>
        <w:t xml:space="preserve">CTCAE </w:t>
      </w:r>
      <w:proofErr w:type="gramStart"/>
      <w:r w:rsidR="008A3DC7" w:rsidRPr="00543594">
        <w:rPr>
          <w:rFonts w:ascii="Times New Roman" w:hAnsi="Times New Roman" w:cs="Times New Roman"/>
          <w:sz w:val="20"/>
          <w:szCs w:val="20"/>
        </w:rPr>
        <w:t>grading  60.6</w:t>
      </w:r>
      <w:proofErr w:type="gramEnd"/>
      <w:r w:rsidR="008A3DC7" w:rsidRPr="00543594">
        <w:rPr>
          <w:rFonts w:ascii="Times New Roman" w:hAnsi="Times New Roman" w:cs="Times New Roman"/>
          <w:sz w:val="20"/>
          <w:szCs w:val="20"/>
        </w:rPr>
        <w:t xml:space="preserve">% </w:t>
      </w:r>
      <w:r w:rsidR="00D94E4A" w:rsidRPr="00543594">
        <w:rPr>
          <w:rFonts w:ascii="Times New Roman" w:hAnsi="Times New Roman" w:cs="Times New Roman"/>
          <w:sz w:val="20"/>
          <w:szCs w:val="20"/>
        </w:rPr>
        <w:t>cases</w:t>
      </w:r>
      <w:r w:rsidR="008A3DC7" w:rsidRPr="00543594">
        <w:rPr>
          <w:rFonts w:ascii="Times New Roman" w:hAnsi="Times New Roman" w:cs="Times New Roman"/>
          <w:sz w:val="20"/>
          <w:szCs w:val="20"/>
        </w:rPr>
        <w:t xml:space="preserve"> had grade 1</w:t>
      </w:r>
      <w:r w:rsidR="00D94E4A" w:rsidRPr="00543594">
        <w:rPr>
          <w:rFonts w:ascii="Times New Roman" w:hAnsi="Times New Roman" w:cs="Times New Roman"/>
          <w:sz w:val="20"/>
          <w:szCs w:val="20"/>
        </w:rPr>
        <w:t xml:space="preserve"> HFS</w:t>
      </w:r>
      <w:r w:rsidR="008A3DC7" w:rsidRPr="00543594">
        <w:rPr>
          <w:rFonts w:ascii="Times New Roman" w:hAnsi="Times New Roman" w:cs="Times New Roman"/>
          <w:sz w:val="20"/>
          <w:szCs w:val="20"/>
        </w:rPr>
        <w:t>, 36.4%</w:t>
      </w:r>
      <w:r w:rsidR="00D94E4A" w:rsidRPr="00543594">
        <w:rPr>
          <w:rFonts w:ascii="Times New Roman" w:hAnsi="Times New Roman" w:cs="Times New Roman"/>
          <w:sz w:val="20"/>
          <w:szCs w:val="20"/>
        </w:rPr>
        <w:t xml:space="preserve"> cases</w:t>
      </w:r>
      <w:r w:rsidR="008A3DC7" w:rsidRPr="00543594">
        <w:rPr>
          <w:rFonts w:ascii="Times New Roman" w:hAnsi="Times New Roman" w:cs="Times New Roman"/>
          <w:sz w:val="20"/>
          <w:szCs w:val="20"/>
        </w:rPr>
        <w:t xml:space="preserve"> had grade 2</w:t>
      </w:r>
      <w:r w:rsidR="00D94E4A" w:rsidRPr="00543594">
        <w:rPr>
          <w:rFonts w:ascii="Times New Roman" w:hAnsi="Times New Roman" w:cs="Times New Roman"/>
          <w:sz w:val="20"/>
          <w:szCs w:val="20"/>
        </w:rPr>
        <w:t xml:space="preserve"> </w:t>
      </w:r>
      <w:r w:rsidR="00D94E4A" w:rsidRPr="00543594">
        <w:rPr>
          <w:rFonts w:ascii="Times New Roman" w:hAnsi="Times New Roman" w:cs="Times New Roman"/>
          <w:sz w:val="20"/>
          <w:szCs w:val="20"/>
        </w:rPr>
        <w:lastRenderedPageBreak/>
        <w:t>HFS</w:t>
      </w:r>
      <w:r w:rsidR="008A3DC7" w:rsidRPr="00543594">
        <w:rPr>
          <w:rFonts w:ascii="Times New Roman" w:hAnsi="Times New Roman" w:cs="Times New Roman"/>
          <w:sz w:val="20"/>
          <w:szCs w:val="20"/>
        </w:rPr>
        <w:t xml:space="preserve"> and 3% </w:t>
      </w:r>
      <w:r w:rsidR="00D94E4A" w:rsidRPr="00543594">
        <w:rPr>
          <w:rFonts w:ascii="Times New Roman" w:hAnsi="Times New Roman" w:cs="Times New Roman"/>
          <w:sz w:val="20"/>
          <w:szCs w:val="20"/>
        </w:rPr>
        <w:t xml:space="preserve"> cases </w:t>
      </w:r>
      <w:r w:rsidR="008A3DC7" w:rsidRPr="00543594">
        <w:rPr>
          <w:rFonts w:ascii="Times New Roman" w:hAnsi="Times New Roman" w:cs="Times New Roman"/>
          <w:sz w:val="20"/>
          <w:szCs w:val="20"/>
        </w:rPr>
        <w:t>had grade 3</w:t>
      </w:r>
      <w:r w:rsidR="00D94E4A" w:rsidRPr="00543594">
        <w:rPr>
          <w:rFonts w:ascii="Times New Roman" w:hAnsi="Times New Roman" w:cs="Times New Roman"/>
          <w:sz w:val="20"/>
          <w:szCs w:val="20"/>
        </w:rPr>
        <w:t xml:space="preserve"> HFS</w:t>
      </w:r>
      <w:r w:rsidR="008A3DC7" w:rsidRPr="00543594">
        <w:rPr>
          <w:rFonts w:ascii="Times New Roman" w:hAnsi="Times New Roman" w:cs="Times New Roman"/>
          <w:sz w:val="20"/>
          <w:szCs w:val="20"/>
        </w:rPr>
        <w:t>. First episode of HFS occurred in 12.10% cases after cycle 1, 60.60% cases after cycle 2, 27.30%</w:t>
      </w:r>
      <w:r w:rsidR="004C14EE" w:rsidRPr="00543594">
        <w:rPr>
          <w:rFonts w:ascii="Times New Roman" w:hAnsi="Times New Roman" w:cs="Times New Roman"/>
          <w:sz w:val="20"/>
          <w:szCs w:val="20"/>
        </w:rPr>
        <w:t xml:space="preserve"> cases after cycle 3 a</w:t>
      </w:r>
      <w:r w:rsidR="00D94E4A" w:rsidRPr="00543594">
        <w:rPr>
          <w:rFonts w:ascii="Times New Roman" w:hAnsi="Times New Roman" w:cs="Times New Roman"/>
          <w:sz w:val="20"/>
          <w:szCs w:val="20"/>
        </w:rPr>
        <w:t xml:space="preserve">nd none occurred after cycle 4. </w:t>
      </w:r>
      <w:r w:rsidR="004C14EE" w:rsidRPr="00543594">
        <w:rPr>
          <w:rFonts w:ascii="Times New Roman" w:hAnsi="Times New Roman" w:cs="Times New Roman"/>
          <w:sz w:val="20"/>
          <w:szCs w:val="20"/>
        </w:rPr>
        <w:t xml:space="preserve">Dose adjustment was done among 33 cases of HFS, of which 12 cases had </w:t>
      </w:r>
      <w:proofErr w:type="spellStart"/>
      <w:r w:rsidR="004C14EE" w:rsidRPr="00543594">
        <w:rPr>
          <w:rFonts w:ascii="Times New Roman" w:hAnsi="Times New Roman" w:cs="Times New Roman"/>
          <w:sz w:val="20"/>
          <w:szCs w:val="20"/>
        </w:rPr>
        <w:t>recieved</w:t>
      </w:r>
      <w:proofErr w:type="spellEnd"/>
      <w:r w:rsidR="004C14EE" w:rsidRPr="00543594">
        <w:rPr>
          <w:rFonts w:ascii="Times New Roman" w:hAnsi="Times New Roman" w:cs="Times New Roman"/>
          <w:sz w:val="20"/>
          <w:szCs w:val="20"/>
        </w:rPr>
        <w:t xml:space="preserve"> 75% of total dose, 5 cases had received 50% of total dose and other 2 cases were discontinued.</w:t>
      </w:r>
      <w:r w:rsidR="00D94E4A" w:rsidRPr="00543594">
        <w:rPr>
          <w:rFonts w:ascii="Times New Roman" w:hAnsi="Times New Roman" w:cs="Times New Roman"/>
          <w:sz w:val="20"/>
          <w:szCs w:val="20"/>
        </w:rPr>
        <w:t xml:space="preserve"> </w:t>
      </w:r>
      <w:proofErr w:type="spellStart"/>
      <w:proofErr w:type="gramStart"/>
      <w:r w:rsidR="00D94E4A" w:rsidRPr="00543594">
        <w:rPr>
          <w:rFonts w:ascii="Times New Roman" w:hAnsi="Times New Roman" w:cs="Times New Roman"/>
          <w:sz w:val="20"/>
          <w:szCs w:val="20"/>
        </w:rPr>
        <w:t>C</w:t>
      </w:r>
      <w:r w:rsidR="009C374D" w:rsidRPr="00543594">
        <w:rPr>
          <w:rFonts w:ascii="Times New Roman" w:hAnsi="Times New Roman" w:cs="Times New Roman"/>
          <w:sz w:val="20"/>
          <w:szCs w:val="20"/>
        </w:rPr>
        <w:t>apecitabine</w:t>
      </w:r>
      <w:proofErr w:type="spellEnd"/>
      <w:r w:rsidR="009C374D" w:rsidRPr="00543594">
        <w:rPr>
          <w:rFonts w:ascii="Times New Roman" w:hAnsi="Times New Roman" w:cs="Times New Roman"/>
          <w:sz w:val="20"/>
          <w:szCs w:val="20"/>
        </w:rPr>
        <w:t xml:space="preserve"> </w:t>
      </w:r>
      <w:r w:rsidR="00D94E4A" w:rsidRPr="00543594">
        <w:rPr>
          <w:rFonts w:ascii="Times New Roman" w:hAnsi="Times New Roman" w:cs="Times New Roman"/>
          <w:sz w:val="20"/>
          <w:szCs w:val="20"/>
        </w:rPr>
        <w:t xml:space="preserve"> induced</w:t>
      </w:r>
      <w:proofErr w:type="gramEnd"/>
      <w:r w:rsidR="00D94E4A" w:rsidRPr="00543594">
        <w:rPr>
          <w:rFonts w:ascii="Times New Roman" w:hAnsi="Times New Roman" w:cs="Times New Roman"/>
          <w:sz w:val="20"/>
          <w:szCs w:val="20"/>
        </w:rPr>
        <w:t xml:space="preserve"> HFS</w:t>
      </w:r>
      <w:r w:rsidR="009C374D" w:rsidRPr="00543594">
        <w:rPr>
          <w:rFonts w:ascii="Times New Roman" w:hAnsi="Times New Roman" w:cs="Times New Roman"/>
          <w:sz w:val="20"/>
          <w:szCs w:val="20"/>
        </w:rPr>
        <w:t xml:space="preserve"> include primary diseases like CA stomach, CA</w:t>
      </w:r>
      <w:r w:rsidR="00D94E4A" w:rsidRPr="00543594">
        <w:rPr>
          <w:rFonts w:ascii="Times New Roman" w:hAnsi="Times New Roman" w:cs="Times New Roman"/>
          <w:sz w:val="20"/>
          <w:szCs w:val="20"/>
        </w:rPr>
        <w:t xml:space="preserve"> colon, CA breast, CA rectum etc</w:t>
      </w:r>
      <w:r w:rsidR="009C374D" w:rsidRPr="00543594">
        <w:rPr>
          <w:rFonts w:ascii="Times New Roman" w:hAnsi="Times New Roman" w:cs="Times New Roman"/>
          <w:sz w:val="20"/>
          <w:szCs w:val="20"/>
        </w:rPr>
        <w:t xml:space="preserve">. About 19 cases (57.60%) received </w:t>
      </w:r>
      <w:proofErr w:type="spellStart"/>
      <w:r w:rsidR="009C374D" w:rsidRPr="00543594">
        <w:rPr>
          <w:rFonts w:ascii="Times New Roman" w:hAnsi="Times New Roman" w:cs="Times New Roman"/>
          <w:sz w:val="20"/>
          <w:szCs w:val="20"/>
        </w:rPr>
        <w:t>capecitabine</w:t>
      </w:r>
      <w:proofErr w:type="spellEnd"/>
      <w:r w:rsidR="009C374D" w:rsidRPr="00543594">
        <w:rPr>
          <w:rFonts w:ascii="Times New Roman" w:hAnsi="Times New Roman" w:cs="Times New Roman"/>
          <w:sz w:val="20"/>
          <w:szCs w:val="20"/>
        </w:rPr>
        <w:t xml:space="preserve"> as </w:t>
      </w:r>
      <w:proofErr w:type="spellStart"/>
      <w:r w:rsidR="009C374D" w:rsidRPr="00543594">
        <w:rPr>
          <w:rFonts w:ascii="Times New Roman" w:hAnsi="Times New Roman" w:cs="Times New Roman"/>
          <w:sz w:val="20"/>
          <w:szCs w:val="20"/>
        </w:rPr>
        <w:t>monotherapy</w:t>
      </w:r>
      <w:proofErr w:type="spellEnd"/>
      <w:r w:rsidR="009C374D" w:rsidRPr="00543594">
        <w:rPr>
          <w:rFonts w:ascii="Times New Roman" w:hAnsi="Times New Roman" w:cs="Times New Roman"/>
          <w:sz w:val="20"/>
          <w:szCs w:val="20"/>
        </w:rPr>
        <w:t xml:space="preserve"> and 14 cases (42.4%) as combination therapy.</w:t>
      </w:r>
      <w:r w:rsidR="002500E5" w:rsidRPr="00543594">
        <w:rPr>
          <w:rFonts w:ascii="Times New Roman" w:hAnsi="Times New Roman" w:cs="Times New Roman"/>
          <w:sz w:val="20"/>
          <w:szCs w:val="20"/>
        </w:rPr>
        <w:t xml:space="preserve"> Number of 12 cases (36.4%) was on adjuvant setting and 21 cases (63.6%) </w:t>
      </w:r>
      <w:proofErr w:type="gramStart"/>
      <w:r w:rsidR="002500E5" w:rsidRPr="00543594">
        <w:rPr>
          <w:rFonts w:ascii="Times New Roman" w:hAnsi="Times New Roman" w:cs="Times New Roman"/>
          <w:sz w:val="20"/>
          <w:szCs w:val="20"/>
        </w:rPr>
        <w:t>was</w:t>
      </w:r>
      <w:proofErr w:type="gramEnd"/>
      <w:r w:rsidR="002500E5" w:rsidRPr="00543594">
        <w:rPr>
          <w:rFonts w:ascii="Times New Roman" w:hAnsi="Times New Roman" w:cs="Times New Roman"/>
          <w:sz w:val="20"/>
          <w:szCs w:val="20"/>
        </w:rPr>
        <w:t xml:space="preserve"> on palliative setting.</w:t>
      </w:r>
      <w:r w:rsidR="00732B6C" w:rsidRPr="00543594">
        <w:rPr>
          <w:rFonts w:ascii="Times New Roman" w:hAnsi="Times New Roman" w:cs="Times New Roman"/>
          <w:sz w:val="20"/>
          <w:szCs w:val="20"/>
        </w:rPr>
        <w:br/>
      </w:r>
      <w:r w:rsidR="001A3AE0">
        <w:rPr>
          <w:sz w:val="28"/>
          <w:szCs w:val="28"/>
        </w:rPr>
        <w:t xml:space="preserve">                             </w:t>
      </w:r>
      <w:r w:rsidR="00F77A7A">
        <w:rPr>
          <w:noProof/>
          <w:sz w:val="28"/>
          <w:szCs w:val="28"/>
          <w:u w:val="single"/>
          <w:lang w:eastAsia="en-IN"/>
        </w:rPr>
        <w:drawing>
          <wp:inline distT="0" distB="0" distL="0" distR="0">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32B6C">
        <w:rPr>
          <w:rFonts w:ascii="Times New Roman" w:hAnsi="Times New Roman" w:cs="Times New Roman"/>
          <w:sz w:val="28"/>
          <w:szCs w:val="28"/>
        </w:rPr>
        <w:br/>
      </w:r>
      <w:r w:rsidR="00732B6C">
        <w:rPr>
          <w:sz w:val="28"/>
          <w:szCs w:val="28"/>
        </w:rPr>
        <w:t xml:space="preserve">                                    </w:t>
      </w:r>
      <w:r w:rsidR="00C4154B">
        <w:rPr>
          <w:sz w:val="28"/>
          <w:szCs w:val="28"/>
        </w:rPr>
        <w:t xml:space="preserve">             </w:t>
      </w:r>
      <w:r w:rsidR="00732B6C">
        <w:rPr>
          <w:sz w:val="28"/>
          <w:szCs w:val="28"/>
        </w:rPr>
        <w:t xml:space="preserve">  </w:t>
      </w:r>
      <w:r w:rsidR="00C4154B" w:rsidRPr="00C4154B">
        <w:rPr>
          <w:rFonts w:ascii="Times New Roman" w:hAnsi="Times New Roman" w:cs="Times New Roman"/>
          <w:sz w:val="20"/>
          <w:szCs w:val="20"/>
        </w:rPr>
        <w:t>Figure 1: Age Distribution</w:t>
      </w:r>
      <w:r w:rsidR="004F2DB1">
        <w:rPr>
          <w:sz w:val="28"/>
          <w:szCs w:val="28"/>
          <w:u w:val="single"/>
        </w:rPr>
        <w:br/>
      </w:r>
      <w:r w:rsidR="004F2DB1">
        <w:rPr>
          <w:sz w:val="28"/>
          <w:szCs w:val="28"/>
          <w:u w:val="single"/>
        </w:rPr>
        <w:br/>
      </w:r>
      <w:r w:rsidR="001A3AE0" w:rsidRPr="008413D2">
        <w:rPr>
          <w:rFonts w:ascii="Times New Roman" w:hAnsi="Times New Roman" w:cs="Times New Roman"/>
          <w:sz w:val="28"/>
          <w:szCs w:val="28"/>
        </w:rPr>
        <w:t xml:space="preserve">                               </w:t>
      </w:r>
      <w:r w:rsidR="00CC26E5">
        <w:rPr>
          <w:rFonts w:ascii="Times New Roman" w:hAnsi="Times New Roman" w:cs="Times New Roman"/>
          <w:sz w:val="28"/>
          <w:szCs w:val="28"/>
        </w:rPr>
        <w:t xml:space="preserve">                             </w:t>
      </w:r>
      <w:r w:rsidR="00054F80">
        <w:rPr>
          <w:sz w:val="28"/>
          <w:szCs w:val="28"/>
        </w:rPr>
        <w:t xml:space="preserve">                                   </w:t>
      </w:r>
      <w:r w:rsidR="00CC26E5">
        <w:rPr>
          <w:sz w:val="28"/>
          <w:szCs w:val="28"/>
        </w:rPr>
        <w:t xml:space="preserve">  </w:t>
      </w:r>
      <w:r w:rsidR="00596A69">
        <w:rPr>
          <w:sz w:val="28"/>
          <w:szCs w:val="28"/>
        </w:rPr>
        <w:t xml:space="preserve">                               </w:t>
      </w:r>
      <w:r w:rsidR="00CC26E5">
        <w:rPr>
          <w:sz w:val="28"/>
          <w:szCs w:val="28"/>
        </w:rPr>
        <w:t xml:space="preserve">                        </w:t>
      </w:r>
      <w:r w:rsidR="00596A69">
        <w:rPr>
          <w:noProof/>
          <w:sz w:val="28"/>
          <w:szCs w:val="28"/>
          <w:lang w:eastAsia="en-IN"/>
        </w:rPr>
        <w:lastRenderedPageBreak/>
        <w:drawing>
          <wp:inline distT="0" distB="0" distL="0" distR="0">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96A69">
        <w:rPr>
          <w:sz w:val="28"/>
          <w:szCs w:val="28"/>
        </w:rPr>
        <w:br/>
      </w:r>
      <w:r w:rsidR="00413092" w:rsidRPr="00805A0A">
        <w:rPr>
          <w:rFonts w:ascii="Times New Roman" w:hAnsi="Times New Roman" w:cs="Times New Roman"/>
          <w:sz w:val="20"/>
          <w:szCs w:val="20"/>
        </w:rPr>
        <w:t xml:space="preserve">                               </w:t>
      </w:r>
      <w:r w:rsidR="00C4154B" w:rsidRPr="00805A0A">
        <w:rPr>
          <w:rFonts w:ascii="Times New Roman" w:hAnsi="Times New Roman" w:cs="Times New Roman"/>
          <w:sz w:val="20"/>
          <w:szCs w:val="20"/>
        </w:rPr>
        <w:t xml:space="preserve">    </w:t>
      </w:r>
      <w:r w:rsidR="00805A0A">
        <w:rPr>
          <w:rFonts w:ascii="Times New Roman" w:hAnsi="Times New Roman" w:cs="Times New Roman"/>
          <w:sz w:val="20"/>
          <w:szCs w:val="20"/>
        </w:rPr>
        <w:t xml:space="preserve">                     </w:t>
      </w:r>
      <w:r w:rsidR="00C4154B" w:rsidRPr="00805A0A">
        <w:rPr>
          <w:rFonts w:ascii="Times New Roman" w:hAnsi="Times New Roman" w:cs="Times New Roman"/>
          <w:sz w:val="20"/>
          <w:szCs w:val="20"/>
        </w:rPr>
        <w:t xml:space="preserve"> </w:t>
      </w:r>
      <w:r w:rsidR="00596A69" w:rsidRPr="00805A0A">
        <w:rPr>
          <w:rFonts w:ascii="Times New Roman" w:hAnsi="Times New Roman" w:cs="Times New Roman"/>
          <w:sz w:val="20"/>
          <w:szCs w:val="20"/>
        </w:rPr>
        <w:t xml:space="preserve"> </w:t>
      </w:r>
      <w:r w:rsidR="00A9798B" w:rsidRPr="00805A0A">
        <w:rPr>
          <w:rFonts w:ascii="Times New Roman" w:hAnsi="Times New Roman" w:cs="Times New Roman"/>
          <w:sz w:val="20"/>
          <w:szCs w:val="20"/>
        </w:rPr>
        <w:t>Figure 2:Gender distribution</w:t>
      </w:r>
      <w:r w:rsidR="00A9798B" w:rsidRPr="00805A0A">
        <w:rPr>
          <w:sz w:val="28"/>
          <w:szCs w:val="28"/>
        </w:rPr>
        <w:br/>
      </w:r>
      <w:r w:rsidR="00CC26E5">
        <w:rPr>
          <w:sz w:val="28"/>
          <w:szCs w:val="28"/>
        </w:rPr>
        <w:t xml:space="preserve"> </w:t>
      </w:r>
      <w:r w:rsidR="0070687C">
        <w:rPr>
          <w:sz w:val="28"/>
          <w:szCs w:val="28"/>
        </w:rPr>
        <w:br/>
      </w:r>
      <w:r w:rsidR="00894647" w:rsidRPr="00D46834">
        <w:rPr>
          <w:noProof/>
          <w:color w:val="C00000"/>
          <w:sz w:val="28"/>
          <w:szCs w:val="28"/>
          <w:lang w:eastAsia="en-IN"/>
        </w:rPr>
        <w:drawing>
          <wp:inline distT="0" distB="0" distL="0" distR="0" wp14:anchorId="3AAD467A" wp14:editId="24759076">
            <wp:extent cx="548640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0687C">
        <w:rPr>
          <w:sz w:val="28"/>
          <w:szCs w:val="28"/>
        </w:rPr>
        <w:br/>
      </w:r>
      <w:r w:rsidR="00A504E0">
        <w:rPr>
          <w:sz w:val="28"/>
          <w:szCs w:val="28"/>
        </w:rPr>
        <w:t xml:space="preserve">                                     </w:t>
      </w:r>
      <w:r w:rsidR="00805A0A">
        <w:rPr>
          <w:sz w:val="28"/>
          <w:szCs w:val="28"/>
        </w:rPr>
        <w:t xml:space="preserve">   </w:t>
      </w:r>
      <w:r w:rsidR="00054F80">
        <w:rPr>
          <w:sz w:val="28"/>
          <w:szCs w:val="28"/>
        </w:rPr>
        <w:t xml:space="preserve"> </w:t>
      </w:r>
      <w:r w:rsidR="00054F80" w:rsidRPr="00805A0A">
        <w:rPr>
          <w:rFonts w:ascii="Times New Roman" w:hAnsi="Times New Roman" w:cs="Times New Roman"/>
          <w:sz w:val="20"/>
          <w:szCs w:val="20"/>
        </w:rPr>
        <w:t xml:space="preserve">Figure 3: </w:t>
      </w:r>
      <w:r w:rsidR="004F2DB1" w:rsidRPr="00805A0A">
        <w:rPr>
          <w:rFonts w:ascii="Times New Roman" w:hAnsi="Times New Roman" w:cs="Times New Roman"/>
          <w:sz w:val="20"/>
          <w:szCs w:val="20"/>
        </w:rPr>
        <w:t xml:space="preserve">Severity of </w:t>
      </w:r>
      <w:r w:rsidR="00BF0697" w:rsidRPr="00805A0A">
        <w:rPr>
          <w:rFonts w:ascii="Times New Roman" w:hAnsi="Times New Roman" w:cs="Times New Roman"/>
          <w:sz w:val="20"/>
          <w:szCs w:val="20"/>
        </w:rPr>
        <w:t xml:space="preserve"> </w:t>
      </w:r>
      <w:r w:rsidR="004F2DB1" w:rsidRPr="00805A0A">
        <w:rPr>
          <w:rFonts w:ascii="Times New Roman" w:hAnsi="Times New Roman" w:cs="Times New Roman"/>
          <w:sz w:val="20"/>
          <w:szCs w:val="20"/>
        </w:rPr>
        <w:t>HFS</w:t>
      </w:r>
      <w:r w:rsidR="004F2DB1" w:rsidRPr="00CC26E5">
        <w:rPr>
          <w:rFonts w:ascii="Times New Roman" w:hAnsi="Times New Roman" w:cs="Times New Roman"/>
          <w:sz w:val="28"/>
          <w:szCs w:val="28"/>
        </w:rPr>
        <w:br/>
      </w:r>
      <w:r w:rsidR="00A9671F">
        <w:rPr>
          <w:sz w:val="28"/>
          <w:szCs w:val="28"/>
        </w:rPr>
        <w:br/>
      </w:r>
      <w:r w:rsidR="00A9671F">
        <w:rPr>
          <w:sz w:val="28"/>
          <w:szCs w:val="28"/>
        </w:rPr>
        <w:br/>
      </w:r>
      <w:r w:rsidR="00054F80">
        <w:rPr>
          <w:sz w:val="28"/>
          <w:szCs w:val="28"/>
        </w:rPr>
        <w:t xml:space="preserve">                                </w:t>
      </w:r>
      <w:r w:rsidR="00BF0697">
        <w:rPr>
          <w:sz w:val="28"/>
          <w:szCs w:val="28"/>
        </w:rPr>
        <w:br/>
      </w:r>
      <w:r w:rsidR="00BF0697">
        <w:rPr>
          <w:sz w:val="28"/>
          <w:szCs w:val="28"/>
        </w:rPr>
        <w:br/>
      </w:r>
      <w:r w:rsidR="00BF0697">
        <w:rPr>
          <w:sz w:val="28"/>
          <w:szCs w:val="28"/>
        </w:rPr>
        <w:br/>
      </w:r>
      <w:r w:rsidR="00BF0697">
        <w:rPr>
          <w:sz w:val="28"/>
          <w:szCs w:val="28"/>
        </w:rPr>
        <w:br/>
      </w:r>
      <w:r w:rsidR="00BF0697" w:rsidRPr="00BF0697">
        <w:rPr>
          <w:rFonts w:ascii="Times New Roman" w:hAnsi="Times New Roman" w:cs="Times New Roman"/>
          <w:sz w:val="28"/>
          <w:szCs w:val="28"/>
        </w:rPr>
        <w:t xml:space="preserve">                                    </w:t>
      </w:r>
      <w:r w:rsidR="00054F80" w:rsidRPr="00BF0697">
        <w:rPr>
          <w:rFonts w:ascii="Times New Roman" w:hAnsi="Times New Roman" w:cs="Times New Roman"/>
          <w:sz w:val="28"/>
          <w:szCs w:val="28"/>
        </w:rPr>
        <w:t xml:space="preserve"> </w:t>
      </w:r>
      <w:r w:rsidR="00E2442E" w:rsidRPr="00671D4C">
        <w:rPr>
          <w:rFonts w:ascii="Calibri" w:hAnsi="Calibri" w:cs="Calibri"/>
          <w:sz w:val="28"/>
          <w:szCs w:val="28"/>
        </w:rPr>
        <w:br/>
      </w:r>
      <w:r w:rsidR="00894647">
        <w:rPr>
          <w:noProof/>
          <w:lang w:eastAsia="en-IN"/>
        </w:rPr>
        <w:lastRenderedPageBreak/>
        <w:drawing>
          <wp:inline distT="0" distB="0" distL="0" distR="0">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71D4C">
        <w:br/>
      </w:r>
      <w:r w:rsidR="00894647">
        <w:rPr>
          <w:sz w:val="28"/>
          <w:szCs w:val="28"/>
        </w:rPr>
        <w:t xml:space="preserve">                                    </w:t>
      </w:r>
      <w:r w:rsidR="00805A0A">
        <w:rPr>
          <w:sz w:val="28"/>
          <w:szCs w:val="28"/>
        </w:rPr>
        <w:t xml:space="preserve">   </w:t>
      </w:r>
      <w:r w:rsidR="00894647">
        <w:rPr>
          <w:sz w:val="28"/>
          <w:szCs w:val="28"/>
        </w:rPr>
        <w:t xml:space="preserve"> </w:t>
      </w:r>
      <w:r w:rsidR="00EC1C30" w:rsidRPr="00805A0A">
        <w:rPr>
          <w:rFonts w:ascii="Times New Roman" w:hAnsi="Times New Roman" w:cs="Times New Roman"/>
          <w:sz w:val="20"/>
          <w:szCs w:val="20"/>
        </w:rPr>
        <w:t>Figure 4: First episode of HF</w:t>
      </w:r>
      <w:r w:rsidR="00805A0A" w:rsidRPr="00805A0A">
        <w:rPr>
          <w:rFonts w:ascii="Times New Roman" w:hAnsi="Times New Roman" w:cs="Times New Roman"/>
          <w:sz w:val="20"/>
          <w:szCs w:val="20"/>
        </w:rPr>
        <w:t>S</w:t>
      </w:r>
      <w:r w:rsidR="00966A88">
        <w:rPr>
          <w:sz w:val="28"/>
          <w:szCs w:val="28"/>
        </w:rPr>
        <w:br/>
      </w:r>
      <w:r w:rsidR="009A538B" w:rsidRPr="00BF0697">
        <w:rPr>
          <w:rFonts w:ascii="Times New Roman" w:hAnsi="Times New Roman" w:cs="Times New Roman"/>
          <w:sz w:val="28"/>
          <w:szCs w:val="28"/>
        </w:rPr>
        <w:t xml:space="preserve">                                    </w:t>
      </w:r>
      <w:r w:rsidR="00BF0697">
        <w:rPr>
          <w:rFonts w:ascii="Times New Roman" w:hAnsi="Times New Roman" w:cs="Times New Roman"/>
          <w:sz w:val="28"/>
          <w:szCs w:val="28"/>
        </w:rPr>
        <w:br/>
      </w:r>
      <w:r w:rsidR="00EC1C30">
        <w:rPr>
          <w:rFonts w:ascii="Times New Roman" w:hAnsi="Times New Roman" w:cs="Times New Roman"/>
          <w:noProof/>
          <w:sz w:val="28"/>
          <w:szCs w:val="28"/>
          <w:lang w:eastAsia="en-IN"/>
        </w:rPr>
        <w:drawing>
          <wp:inline distT="0" distB="0" distL="0" distR="0">
            <wp:extent cx="5486400" cy="32004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F0697">
        <w:rPr>
          <w:rFonts w:ascii="Times New Roman" w:hAnsi="Times New Roman" w:cs="Times New Roman"/>
          <w:sz w:val="28"/>
          <w:szCs w:val="28"/>
        </w:rPr>
        <w:br/>
      </w:r>
      <w:r w:rsidR="00BF0697" w:rsidRPr="00805A0A">
        <w:rPr>
          <w:rFonts w:ascii="Times New Roman" w:hAnsi="Times New Roman" w:cs="Times New Roman"/>
          <w:sz w:val="20"/>
          <w:szCs w:val="20"/>
        </w:rPr>
        <w:t xml:space="preserve">                                  </w:t>
      </w:r>
      <w:r w:rsidR="00805A0A">
        <w:rPr>
          <w:rFonts w:ascii="Times New Roman" w:hAnsi="Times New Roman" w:cs="Times New Roman"/>
          <w:sz w:val="20"/>
          <w:szCs w:val="20"/>
        </w:rPr>
        <w:t xml:space="preserve">                       </w:t>
      </w:r>
      <w:r w:rsidR="009A538B" w:rsidRPr="00805A0A">
        <w:rPr>
          <w:rFonts w:ascii="Times New Roman" w:hAnsi="Times New Roman" w:cs="Times New Roman"/>
          <w:sz w:val="20"/>
          <w:szCs w:val="20"/>
        </w:rPr>
        <w:t xml:space="preserve"> Figure 5: </w:t>
      </w:r>
      <w:r w:rsidR="00805A0A">
        <w:rPr>
          <w:rFonts w:ascii="Times New Roman" w:hAnsi="Times New Roman" w:cs="Times New Roman"/>
          <w:sz w:val="20"/>
          <w:szCs w:val="20"/>
        </w:rPr>
        <w:t>Dose A</w:t>
      </w:r>
      <w:r w:rsidR="00966A88" w:rsidRPr="00805A0A">
        <w:rPr>
          <w:rFonts w:ascii="Times New Roman" w:hAnsi="Times New Roman" w:cs="Times New Roman"/>
          <w:sz w:val="20"/>
          <w:szCs w:val="20"/>
        </w:rPr>
        <w:t>djustment</w:t>
      </w:r>
      <w:r w:rsidR="00BF0697">
        <w:rPr>
          <w:rFonts w:ascii="Times New Roman" w:hAnsi="Times New Roman" w:cs="Times New Roman"/>
          <w:sz w:val="28"/>
          <w:szCs w:val="28"/>
        </w:rPr>
        <w:br/>
      </w:r>
      <w:r w:rsidR="00966A88" w:rsidRPr="00BF0697">
        <w:rPr>
          <w:rFonts w:ascii="Times New Roman" w:hAnsi="Times New Roman" w:cs="Times New Roman"/>
          <w:sz w:val="28"/>
          <w:szCs w:val="28"/>
        </w:rPr>
        <w:br/>
      </w:r>
      <w:r w:rsidR="00F54BEA">
        <w:rPr>
          <w:sz w:val="28"/>
          <w:szCs w:val="28"/>
        </w:rPr>
        <w:br/>
      </w:r>
      <w:r w:rsidR="00F54BEA">
        <w:rPr>
          <w:sz w:val="28"/>
          <w:szCs w:val="28"/>
        </w:rPr>
        <w:br/>
      </w:r>
      <w:r w:rsidR="009A538B">
        <w:rPr>
          <w:sz w:val="28"/>
          <w:szCs w:val="28"/>
        </w:rPr>
        <w:t xml:space="preserve">                                   </w:t>
      </w:r>
      <w:r w:rsidR="00BF0697">
        <w:rPr>
          <w:sz w:val="28"/>
          <w:szCs w:val="28"/>
        </w:rPr>
        <w:br/>
      </w:r>
      <w:r w:rsidR="00BF0697">
        <w:rPr>
          <w:sz w:val="28"/>
          <w:szCs w:val="28"/>
        </w:rPr>
        <w:br/>
      </w:r>
      <w:r w:rsidR="00BF0697">
        <w:rPr>
          <w:sz w:val="28"/>
          <w:szCs w:val="28"/>
        </w:rPr>
        <w:br/>
      </w:r>
      <w:r w:rsidR="004C2F67">
        <w:rPr>
          <w:sz w:val="28"/>
          <w:szCs w:val="28"/>
        </w:rPr>
        <w:br/>
      </w:r>
      <w:r w:rsidR="004C2F67">
        <w:rPr>
          <w:noProof/>
          <w:sz w:val="28"/>
          <w:szCs w:val="28"/>
          <w:lang w:eastAsia="en-IN"/>
        </w:rPr>
        <w:lastRenderedPageBreak/>
        <w:drawing>
          <wp:inline distT="0" distB="0" distL="0" distR="0">
            <wp:extent cx="5486400" cy="32004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F0697">
        <w:rPr>
          <w:sz w:val="28"/>
          <w:szCs w:val="28"/>
        </w:rPr>
        <w:t xml:space="preserve">                                   </w:t>
      </w:r>
      <w:r w:rsidR="00326907">
        <w:rPr>
          <w:sz w:val="28"/>
          <w:szCs w:val="28"/>
        </w:rPr>
        <w:br/>
        <w:t xml:space="preserve">                                    </w:t>
      </w:r>
      <w:r w:rsidR="00805A0A">
        <w:rPr>
          <w:sz w:val="28"/>
          <w:szCs w:val="28"/>
        </w:rPr>
        <w:t xml:space="preserve">            </w:t>
      </w:r>
      <w:r w:rsidR="00BF0697">
        <w:rPr>
          <w:sz w:val="28"/>
          <w:szCs w:val="28"/>
        </w:rPr>
        <w:t xml:space="preserve"> </w:t>
      </w:r>
      <w:r w:rsidR="009A538B" w:rsidRPr="00805A0A">
        <w:rPr>
          <w:rFonts w:ascii="Times New Roman" w:hAnsi="Times New Roman" w:cs="Times New Roman"/>
          <w:sz w:val="20"/>
          <w:szCs w:val="20"/>
        </w:rPr>
        <w:t xml:space="preserve">Figure 6: </w:t>
      </w:r>
      <w:r w:rsidR="00F54BEA" w:rsidRPr="00805A0A">
        <w:rPr>
          <w:rFonts w:ascii="Times New Roman" w:hAnsi="Times New Roman" w:cs="Times New Roman"/>
          <w:sz w:val="20"/>
          <w:szCs w:val="20"/>
        </w:rPr>
        <w:t>Primary Diseases</w:t>
      </w:r>
      <w:r w:rsidR="00147BB4">
        <w:rPr>
          <w:rFonts w:ascii="Times New Roman" w:hAnsi="Times New Roman" w:cs="Times New Roman"/>
          <w:sz w:val="28"/>
          <w:szCs w:val="28"/>
        </w:rPr>
        <w:br/>
      </w:r>
      <w:r w:rsidR="00F54BEA" w:rsidRPr="00BF0697">
        <w:rPr>
          <w:noProof/>
          <w:sz w:val="28"/>
          <w:szCs w:val="28"/>
          <w:lang w:eastAsia="en-IN"/>
        </w:rPr>
        <w:br/>
      </w:r>
      <w:r w:rsidR="00326907">
        <w:rPr>
          <w:noProof/>
          <w:lang w:eastAsia="en-IN"/>
        </w:rPr>
        <w:drawing>
          <wp:inline distT="0" distB="0" distL="0" distR="0">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F0697">
        <w:rPr>
          <w:sz w:val="28"/>
          <w:szCs w:val="28"/>
        </w:rPr>
        <w:t xml:space="preserve"> </w:t>
      </w:r>
      <w:r w:rsidR="002913D8">
        <w:rPr>
          <w:sz w:val="28"/>
          <w:szCs w:val="28"/>
        </w:rPr>
        <w:br/>
        <w:t xml:space="preserve">                 </w:t>
      </w:r>
      <w:r w:rsidR="002913D8">
        <w:rPr>
          <w:rFonts w:ascii="Times New Roman" w:hAnsi="Times New Roman" w:cs="Times New Roman"/>
          <w:sz w:val="28"/>
          <w:szCs w:val="28"/>
        </w:rPr>
        <w:t xml:space="preserve">                 </w:t>
      </w:r>
      <w:r w:rsidR="00805A0A">
        <w:rPr>
          <w:rFonts w:ascii="Times New Roman" w:hAnsi="Times New Roman" w:cs="Times New Roman"/>
          <w:sz w:val="28"/>
          <w:szCs w:val="28"/>
        </w:rPr>
        <w:t xml:space="preserve">       </w:t>
      </w:r>
      <w:r w:rsidR="002913D8">
        <w:rPr>
          <w:rFonts w:ascii="Times New Roman" w:hAnsi="Times New Roman" w:cs="Times New Roman"/>
          <w:sz w:val="28"/>
          <w:szCs w:val="28"/>
        </w:rPr>
        <w:t xml:space="preserve"> </w:t>
      </w:r>
      <w:r w:rsidR="002913D8" w:rsidRPr="00805A0A">
        <w:rPr>
          <w:rFonts w:ascii="Times New Roman" w:hAnsi="Times New Roman" w:cs="Times New Roman"/>
          <w:sz w:val="20"/>
          <w:szCs w:val="20"/>
        </w:rPr>
        <w:t>F</w:t>
      </w:r>
      <w:r w:rsidR="009A538B" w:rsidRPr="00805A0A">
        <w:rPr>
          <w:rFonts w:ascii="Times New Roman" w:hAnsi="Times New Roman" w:cs="Times New Roman"/>
          <w:sz w:val="20"/>
          <w:szCs w:val="20"/>
        </w:rPr>
        <w:t xml:space="preserve">igure 7: </w:t>
      </w:r>
      <w:proofErr w:type="spellStart"/>
      <w:r w:rsidR="00F54BEA" w:rsidRPr="00805A0A">
        <w:rPr>
          <w:rFonts w:ascii="Times New Roman" w:hAnsi="Times New Roman" w:cs="Times New Roman"/>
          <w:sz w:val="20"/>
          <w:szCs w:val="20"/>
        </w:rPr>
        <w:t>Capecitabine</w:t>
      </w:r>
      <w:proofErr w:type="spellEnd"/>
      <w:r w:rsidR="00F54BEA" w:rsidRPr="00805A0A">
        <w:rPr>
          <w:rFonts w:ascii="Times New Roman" w:hAnsi="Times New Roman" w:cs="Times New Roman"/>
          <w:sz w:val="20"/>
          <w:szCs w:val="20"/>
        </w:rPr>
        <w:t xml:space="preserve"> therapy</w:t>
      </w:r>
      <w:r w:rsidR="00F54BEA" w:rsidRPr="0067123A">
        <w:rPr>
          <w:rFonts w:ascii="Times New Roman" w:hAnsi="Times New Roman" w:cs="Times New Roman"/>
        </w:rPr>
        <w:br/>
      </w:r>
    </w:p>
    <w:p w:rsidR="00CF1557" w:rsidRDefault="009A538B" w:rsidP="00D84F56">
      <w:pPr>
        <w:shd w:val="clear" w:color="auto" w:fill="FFFFFF"/>
        <w:spacing w:line="348" w:lineRule="atLeast"/>
        <w:rPr>
          <w:sz w:val="28"/>
          <w:szCs w:val="28"/>
        </w:rPr>
      </w:pPr>
      <w:r>
        <w:rPr>
          <w:sz w:val="28"/>
          <w:szCs w:val="28"/>
        </w:rPr>
        <w:lastRenderedPageBreak/>
        <w:t xml:space="preserve">     </w:t>
      </w:r>
      <w:r w:rsidR="009E1AEB">
        <w:rPr>
          <w:noProof/>
          <w:sz w:val="28"/>
          <w:szCs w:val="28"/>
          <w:lang w:eastAsia="en-IN"/>
        </w:rPr>
        <w:drawing>
          <wp:inline distT="0" distB="0" distL="0" distR="0">
            <wp:extent cx="5486400" cy="32004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sz w:val="28"/>
          <w:szCs w:val="28"/>
        </w:rPr>
        <w:t xml:space="preserve">                           </w:t>
      </w:r>
      <w:r w:rsidR="000D0E3F">
        <w:rPr>
          <w:sz w:val="28"/>
          <w:szCs w:val="28"/>
        </w:rPr>
        <w:br/>
        <w:t xml:space="preserve">                                  </w:t>
      </w:r>
      <w:r>
        <w:rPr>
          <w:sz w:val="28"/>
          <w:szCs w:val="28"/>
        </w:rPr>
        <w:t xml:space="preserve"> </w:t>
      </w:r>
      <w:r w:rsidR="00805A0A">
        <w:rPr>
          <w:sz w:val="28"/>
          <w:szCs w:val="28"/>
        </w:rPr>
        <w:t xml:space="preserve">          </w:t>
      </w:r>
      <w:r w:rsidRPr="00805A0A">
        <w:rPr>
          <w:rFonts w:ascii="Times New Roman" w:hAnsi="Times New Roman" w:cs="Times New Roman"/>
          <w:sz w:val="20"/>
          <w:szCs w:val="20"/>
        </w:rPr>
        <w:t>Figure 8: Chemotherapy setting</w:t>
      </w:r>
      <w:r w:rsidR="0024144C" w:rsidRPr="00805A0A">
        <w:rPr>
          <w:rFonts w:ascii="Times New Roman" w:hAnsi="Times New Roman" w:cs="Times New Roman"/>
          <w:sz w:val="20"/>
          <w:szCs w:val="20"/>
        </w:rPr>
        <w:t>s</w:t>
      </w:r>
      <w:r>
        <w:br/>
      </w:r>
    </w:p>
    <w:p w:rsidR="00F70498" w:rsidRPr="00906BDC" w:rsidRDefault="00CF1557" w:rsidP="00D84F56">
      <w:pPr>
        <w:shd w:val="clear" w:color="auto" w:fill="FFFFFF"/>
        <w:spacing w:line="348" w:lineRule="atLeast"/>
        <w:rPr>
          <w:rFonts w:ascii="Times New Roman" w:hAnsi="Times New Roman" w:cs="Times New Roman"/>
          <w:sz w:val="20"/>
          <w:szCs w:val="20"/>
        </w:rPr>
      </w:pPr>
      <w:r w:rsidRPr="00805A0A">
        <w:rPr>
          <w:rFonts w:ascii="Times New Roman" w:hAnsi="Times New Roman" w:cs="Times New Roman"/>
          <w:b/>
          <w:sz w:val="28"/>
          <w:szCs w:val="28"/>
        </w:rPr>
        <w:t>Discussion</w:t>
      </w:r>
      <w:r w:rsidRPr="00D57CEF">
        <w:rPr>
          <w:rFonts w:ascii="Times New Roman" w:hAnsi="Times New Roman" w:cs="Times New Roman"/>
          <w:b/>
          <w:sz w:val="28"/>
          <w:szCs w:val="28"/>
          <w:u w:val="single"/>
        </w:rPr>
        <w:br/>
      </w:r>
      <w:r w:rsidRPr="00805A0A">
        <w:rPr>
          <w:rFonts w:ascii="Times New Roman" w:hAnsi="Times New Roman" w:cs="Times New Roman"/>
          <w:sz w:val="20"/>
          <w:szCs w:val="20"/>
        </w:rPr>
        <w:t>In this study, the overall incidence of HFS was found to be 64.7%</w:t>
      </w:r>
      <w:proofErr w:type="gramStart"/>
      <w:r w:rsidRPr="00805A0A">
        <w:rPr>
          <w:rFonts w:ascii="Times New Roman" w:hAnsi="Times New Roman" w:cs="Times New Roman"/>
          <w:sz w:val="20"/>
          <w:szCs w:val="20"/>
        </w:rPr>
        <w:t>,</w:t>
      </w:r>
      <w:proofErr w:type="gramEnd"/>
      <w:r w:rsidRPr="00805A0A">
        <w:rPr>
          <w:rFonts w:ascii="Times New Roman" w:hAnsi="Times New Roman" w:cs="Times New Roman"/>
          <w:sz w:val="20"/>
          <w:szCs w:val="20"/>
        </w:rPr>
        <w:t xml:space="preserve"> with a slight predominance among females with male female ratio was 1:1.5 (13 males and 20 females).</w:t>
      </w:r>
      <w:r w:rsidR="00D863B8" w:rsidRPr="00805A0A">
        <w:rPr>
          <w:rFonts w:ascii="Times New Roman" w:hAnsi="Times New Roman" w:cs="Times New Roman"/>
          <w:sz w:val="20"/>
          <w:szCs w:val="20"/>
        </w:rPr>
        <w:t xml:space="preserve"> </w:t>
      </w:r>
      <w:r w:rsidR="00F94C96" w:rsidRPr="00805A0A">
        <w:rPr>
          <w:rFonts w:ascii="Times New Roman" w:hAnsi="Times New Roman" w:cs="Times New Roman"/>
          <w:sz w:val="20"/>
          <w:szCs w:val="20"/>
        </w:rPr>
        <w:br/>
      </w:r>
      <w:r w:rsidR="00B91277" w:rsidRPr="00805A0A">
        <w:rPr>
          <w:rFonts w:ascii="Times New Roman" w:hAnsi="Times New Roman" w:cs="Times New Roman"/>
          <w:sz w:val="20"/>
          <w:szCs w:val="20"/>
        </w:rPr>
        <w:t>In this</w:t>
      </w:r>
      <w:r w:rsidR="00BE777C" w:rsidRPr="00805A0A">
        <w:rPr>
          <w:rFonts w:ascii="Times New Roman" w:hAnsi="Times New Roman" w:cs="Times New Roman"/>
          <w:sz w:val="20"/>
          <w:szCs w:val="20"/>
        </w:rPr>
        <w:t xml:space="preserve"> study, </w:t>
      </w:r>
      <w:r w:rsidR="00B15CCD" w:rsidRPr="00805A0A">
        <w:rPr>
          <w:rFonts w:ascii="Times New Roman" w:hAnsi="Times New Roman" w:cs="Times New Roman"/>
          <w:sz w:val="20"/>
          <w:szCs w:val="20"/>
        </w:rPr>
        <w:t xml:space="preserve">60.6% cases experienced grade 1 HFS. A study done </w:t>
      </w:r>
      <w:r w:rsidR="00B36B6D" w:rsidRPr="00805A0A">
        <w:rPr>
          <w:rFonts w:ascii="Times New Roman" w:hAnsi="Times New Roman" w:cs="Times New Roman"/>
          <w:sz w:val="20"/>
          <w:szCs w:val="20"/>
        </w:rPr>
        <w:t>by M</w:t>
      </w:r>
      <w:r w:rsidR="00B15CCD" w:rsidRPr="00805A0A">
        <w:rPr>
          <w:rFonts w:ascii="Times New Roman" w:hAnsi="Times New Roman" w:cs="Times New Roman"/>
          <w:sz w:val="20"/>
          <w:szCs w:val="20"/>
        </w:rPr>
        <w:t xml:space="preserve">atsuoka </w:t>
      </w:r>
      <w:r w:rsidR="005C1AE3" w:rsidRPr="00805A0A">
        <w:rPr>
          <w:rFonts w:ascii="Times New Roman" w:hAnsi="Times New Roman" w:cs="Times New Roman"/>
          <w:sz w:val="20"/>
          <w:szCs w:val="20"/>
        </w:rPr>
        <w:t xml:space="preserve">Hiroshi </w:t>
      </w:r>
      <w:r w:rsidR="00B15CCD" w:rsidRPr="00805A0A">
        <w:rPr>
          <w:rFonts w:ascii="Times New Roman" w:hAnsi="Times New Roman" w:cs="Times New Roman"/>
          <w:sz w:val="20"/>
          <w:szCs w:val="20"/>
        </w:rPr>
        <w:t>et al had 66.7% cases of grade 1 HFS, 10% cases of grade 2 and none had grade 3 HFS.</w:t>
      </w:r>
      <w:r w:rsidR="00BE777C" w:rsidRPr="00805A0A">
        <w:rPr>
          <w:rFonts w:ascii="Times New Roman" w:hAnsi="Times New Roman" w:cs="Times New Roman"/>
          <w:sz w:val="20"/>
          <w:szCs w:val="20"/>
          <w:vertAlign w:val="superscript"/>
        </w:rPr>
        <w:t>7</w:t>
      </w:r>
      <w:r w:rsidR="00B15CCD" w:rsidRPr="00805A0A">
        <w:rPr>
          <w:rFonts w:ascii="Times New Roman" w:hAnsi="Times New Roman" w:cs="Times New Roman"/>
          <w:sz w:val="20"/>
          <w:szCs w:val="20"/>
        </w:rPr>
        <w:t xml:space="preserve"> </w:t>
      </w:r>
      <w:r w:rsidR="00BE777C" w:rsidRPr="00805A0A">
        <w:rPr>
          <w:rFonts w:ascii="Times New Roman" w:hAnsi="Times New Roman" w:cs="Times New Roman"/>
          <w:sz w:val="20"/>
          <w:szCs w:val="20"/>
        </w:rPr>
        <w:t xml:space="preserve">The </w:t>
      </w:r>
      <w:r w:rsidR="00B15CCD" w:rsidRPr="00805A0A">
        <w:rPr>
          <w:rFonts w:ascii="Times New Roman" w:hAnsi="Times New Roman" w:cs="Times New Roman"/>
          <w:sz w:val="20"/>
          <w:szCs w:val="20"/>
        </w:rPr>
        <w:t xml:space="preserve">Study of </w:t>
      </w:r>
      <w:r w:rsidR="00B36B6D" w:rsidRPr="00805A0A">
        <w:rPr>
          <w:rFonts w:ascii="Times New Roman" w:hAnsi="Times New Roman" w:cs="Times New Roman"/>
          <w:sz w:val="20"/>
          <w:szCs w:val="20"/>
        </w:rPr>
        <w:t>A</w:t>
      </w:r>
      <w:r w:rsidR="00B15CCD" w:rsidRPr="00805A0A">
        <w:rPr>
          <w:rFonts w:ascii="Times New Roman" w:hAnsi="Times New Roman" w:cs="Times New Roman"/>
          <w:sz w:val="20"/>
          <w:szCs w:val="20"/>
        </w:rPr>
        <w:t>zuma</w:t>
      </w:r>
      <w:r w:rsidR="005C1AE3" w:rsidRPr="00805A0A">
        <w:rPr>
          <w:rFonts w:ascii="Times New Roman" w:hAnsi="Times New Roman" w:cs="Times New Roman"/>
          <w:sz w:val="20"/>
          <w:szCs w:val="20"/>
        </w:rPr>
        <w:t xml:space="preserve"> </w:t>
      </w:r>
      <w:proofErr w:type="spellStart"/>
      <w:r w:rsidR="005C1AE3" w:rsidRPr="00805A0A">
        <w:rPr>
          <w:rFonts w:ascii="Times New Roman" w:hAnsi="Times New Roman" w:cs="Times New Roman"/>
          <w:sz w:val="20"/>
          <w:szCs w:val="20"/>
        </w:rPr>
        <w:t>Yuichiro</w:t>
      </w:r>
      <w:proofErr w:type="spellEnd"/>
      <w:r w:rsidR="00B15CCD" w:rsidRPr="00805A0A">
        <w:rPr>
          <w:rFonts w:ascii="Times New Roman" w:hAnsi="Times New Roman" w:cs="Times New Roman"/>
          <w:sz w:val="20"/>
          <w:szCs w:val="20"/>
        </w:rPr>
        <w:t xml:space="preserve"> et al showed 37.8% cases of grade 1 HFS, 31.6% cas</w:t>
      </w:r>
      <w:r w:rsidR="00BE777C" w:rsidRPr="00805A0A">
        <w:rPr>
          <w:rFonts w:ascii="Times New Roman" w:hAnsi="Times New Roman" w:cs="Times New Roman"/>
          <w:sz w:val="20"/>
          <w:szCs w:val="20"/>
        </w:rPr>
        <w:t>es of grade 2 and 3.1% cases of</w:t>
      </w:r>
      <w:r w:rsidR="00B15CCD" w:rsidRPr="00805A0A">
        <w:rPr>
          <w:rFonts w:ascii="Times New Roman" w:hAnsi="Times New Roman" w:cs="Times New Roman"/>
          <w:sz w:val="20"/>
          <w:szCs w:val="20"/>
        </w:rPr>
        <w:t xml:space="preserve"> grade 3.</w:t>
      </w:r>
      <w:r w:rsidR="0007742B" w:rsidRPr="00805A0A">
        <w:rPr>
          <w:rFonts w:ascii="Times New Roman" w:hAnsi="Times New Roman" w:cs="Times New Roman"/>
          <w:sz w:val="20"/>
          <w:szCs w:val="20"/>
          <w:vertAlign w:val="superscript"/>
        </w:rPr>
        <w:t>8</w:t>
      </w:r>
      <w:r w:rsidR="0007742B" w:rsidRPr="00805A0A">
        <w:rPr>
          <w:rFonts w:ascii="Times New Roman" w:hAnsi="Times New Roman" w:cs="Times New Roman"/>
          <w:sz w:val="20"/>
          <w:szCs w:val="20"/>
        </w:rPr>
        <w:t xml:space="preserve"> </w:t>
      </w:r>
      <w:r w:rsidR="00E973D7" w:rsidRPr="00805A0A">
        <w:rPr>
          <w:rFonts w:ascii="Times New Roman" w:hAnsi="Times New Roman" w:cs="Times New Roman"/>
          <w:sz w:val="20"/>
          <w:szCs w:val="20"/>
        </w:rPr>
        <w:t xml:space="preserve">A </w:t>
      </w:r>
      <w:r w:rsidR="00F94C96" w:rsidRPr="00805A0A">
        <w:rPr>
          <w:rFonts w:ascii="Times New Roman" w:hAnsi="Times New Roman" w:cs="Times New Roman"/>
          <w:sz w:val="20"/>
          <w:szCs w:val="20"/>
        </w:rPr>
        <w:t>Study done by Yap</w:t>
      </w:r>
      <w:r w:rsidR="005C1AE3" w:rsidRPr="00805A0A">
        <w:rPr>
          <w:rFonts w:ascii="Times New Roman" w:hAnsi="Times New Roman" w:cs="Times New Roman"/>
          <w:sz w:val="20"/>
          <w:szCs w:val="20"/>
        </w:rPr>
        <w:t xml:space="preserve"> Yoon </w:t>
      </w:r>
      <w:proofErr w:type="spellStart"/>
      <w:r w:rsidR="005C1AE3" w:rsidRPr="00805A0A">
        <w:rPr>
          <w:rFonts w:ascii="Times New Roman" w:hAnsi="Times New Roman" w:cs="Times New Roman"/>
          <w:sz w:val="20"/>
          <w:szCs w:val="20"/>
        </w:rPr>
        <w:t>Sim</w:t>
      </w:r>
      <w:proofErr w:type="spellEnd"/>
      <w:r w:rsidR="00F94C96" w:rsidRPr="00805A0A">
        <w:rPr>
          <w:rFonts w:ascii="Times New Roman" w:hAnsi="Times New Roman" w:cs="Times New Roman"/>
          <w:sz w:val="20"/>
          <w:szCs w:val="20"/>
        </w:rPr>
        <w:t xml:space="preserve"> et al found </w:t>
      </w:r>
      <w:r w:rsidR="00E973D7" w:rsidRPr="00805A0A">
        <w:rPr>
          <w:rFonts w:ascii="Times New Roman" w:hAnsi="Times New Roman" w:cs="Times New Roman"/>
          <w:sz w:val="20"/>
          <w:szCs w:val="20"/>
        </w:rPr>
        <w:t>28.6% of grade 1 HFS, 31.42% of grade 2 and 2.9% of</w:t>
      </w:r>
      <w:r w:rsidR="00F94C96" w:rsidRPr="00805A0A">
        <w:rPr>
          <w:rFonts w:ascii="Times New Roman" w:hAnsi="Times New Roman" w:cs="Times New Roman"/>
          <w:sz w:val="20"/>
          <w:szCs w:val="20"/>
        </w:rPr>
        <w:t xml:space="preserve"> grade 3 HFS.</w:t>
      </w:r>
      <w:r w:rsidR="00E973D7" w:rsidRPr="00805A0A">
        <w:rPr>
          <w:rFonts w:ascii="Times New Roman" w:hAnsi="Times New Roman" w:cs="Times New Roman"/>
          <w:sz w:val="20"/>
          <w:szCs w:val="20"/>
          <w:vertAlign w:val="superscript"/>
        </w:rPr>
        <w:t>6</w:t>
      </w:r>
      <w:r w:rsidR="00F94C96" w:rsidRPr="00805A0A">
        <w:rPr>
          <w:rFonts w:ascii="Times New Roman" w:hAnsi="Times New Roman" w:cs="Times New Roman"/>
          <w:sz w:val="20"/>
          <w:szCs w:val="20"/>
        </w:rPr>
        <w:t xml:space="preserve"> </w:t>
      </w:r>
      <w:r w:rsidR="003F75A7" w:rsidRPr="00805A0A">
        <w:rPr>
          <w:rFonts w:ascii="Times New Roman" w:hAnsi="Times New Roman" w:cs="Times New Roman"/>
          <w:sz w:val="20"/>
          <w:szCs w:val="20"/>
        </w:rPr>
        <w:t>Son</w:t>
      </w:r>
      <w:r w:rsidR="00D64F14" w:rsidRPr="00805A0A">
        <w:rPr>
          <w:rFonts w:ascii="Times New Roman" w:hAnsi="Times New Roman" w:cs="Times New Roman"/>
          <w:sz w:val="20"/>
          <w:szCs w:val="20"/>
        </w:rPr>
        <w:t xml:space="preserve"> Hyun </w:t>
      </w:r>
      <w:proofErr w:type="spellStart"/>
      <w:r w:rsidR="00D64F14" w:rsidRPr="00805A0A">
        <w:rPr>
          <w:rFonts w:ascii="Times New Roman" w:hAnsi="Times New Roman" w:cs="Times New Roman"/>
          <w:sz w:val="20"/>
          <w:szCs w:val="20"/>
        </w:rPr>
        <w:t>Sook</w:t>
      </w:r>
      <w:proofErr w:type="spellEnd"/>
      <w:r w:rsidR="003F75A7" w:rsidRPr="00805A0A">
        <w:rPr>
          <w:rFonts w:ascii="Times New Roman" w:hAnsi="Times New Roman" w:cs="Times New Roman"/>
          <w:sz w:val="20"/>
          <w:szCs w:val="20"/>
        </w:rPr>
        <w:t xml:space="preserve"> et al study showed that 50.7% had grade 1, 33.8% had grade 2 and 15.5% had grade 3.</w:t>
      </w:r>
      <w:r w:rsidR="00E973D7" w:rsidRPr="00805A0A">
        <w:rPr>
          <w:rFonts w:ascii="Times New Roman" w:hAnsi="Times New Roman" w:cs="Times New Roman"/>
          <w:sz w:val="20"/>
          <w:szCs w:val="20"/>
          <w:vertAlign w:val="superscript"/>
        </w:rPr>
        <w:t>9</w:t>
      </w:r>
      <w:r w:rsidR="003F75A7" w:rsidRPr="00805A0A">
        <w:rPr>
          <w:rFonts w:ascii="Times New Roman" w:hAnsi="Times New Roman" w:cs="Times New Roman"/>
          <w:sz w:val="20"/>
          <w:szCs w:val="20"/>
        </w:rPr>
        <w:br/>
        <w:t xml:space="preserve">Among the 33 patients who had HFS, 20 patients (60.6%) had their first </w:t>
      </w:r>
      <w:r w:rsidR="005C1AE3" w:rsidRPr="00805A0A">
        <w:rPr>
          <w:rFonts w:ascii="Times New Roman" w:hAnsi="Times New Roman" w:cs="Times New Roman"/>
          <w:sz w:val="20"/>
          <w:szCs w:val="20"/>
        </w:rPr>
        <w:t xml:space="preserve"> </w:t>
      </w:r>
      <w:r w:rsidR="003F75A7" w:rsidRPr="00805A0A">
        <w:rPr>
          <w:rFonts w:ascii="Times New Roman" w:hAnsi="Times New Roman" w:cs="Times New Roman"/>
          <w:sz w:val="20"/>
          <w:szCs w:val="20"/>
        </w:rPr>
        <w:t xml:space="preserve">episode after cycle 2. </w:t>
      </w:r>
      <w:r w:rsidR="004F3604" w:rsidRPr="00805A0A">
        <w:rPr>
          <w:rFonts w:ascii="Times New Roman" w:hAnsi="Times New Roman" w:cs="Times New Roman"/>
          <w:sz w:val="20"/>
          <w:szCs w:val="20"/>
        </w:rPr>
        <w:t xml:space="preserve">The </w:t>
      </w:r>
      <w:r w:rsidR="003F75A7" w:rsidRPr="00805A0A">
        <w:rPr>
          <w:rFonts w:ascii="Times New Roman" w:hAnsi="Times New Roman" w:cs="Times New Roman"/>
          <w:sz w:val="20"/>
          <w:szCs w:val="20"/>
        </w:rPr>
        <w:t>Study done by Son</w:t>
      </w:r>
      <w:r w:rsidR="00B43BFC" w:rsidRPr="00805A0A">
        <w:rPr>
          <w:rFonts w:ascii="Times New Roman" w:hAnsi="Times New Roman" w:cs="Times New Roman"/>
          <w:sz w:val="20"/>
          <w:szCs w:val="20"/>
        </w:rPr>
        <w:t xml:space="preserve"> Hyun </w:t>
      </w:r>
      <w:proofErr w:type="spellStart"/>
      <w:r w:rsidR="00B43BFC" w:rsidRPr="00805A0A">
        <w:rPr>
          <w:rFonts w:ascii="Times New Roman" w:hAnsi="Times New Roman" w:cs="Times New Roman"/>
          <w:sz w:val="20"/>
          <w:szCs w:val="20"/>
        </w:rPr>
        <w:t>Sook</w:t>
      </w:r>
      <w:proofErr w:type="spellEnd"/>
      <w:r w:rsidR="003F75A7" w:rsidRPr="00805A0A">
        <w:rPr>
          <w:rFonts w:ascii="Times New Roman" w:hAnsi="Times New Roman" w:cs="Times New Roman"/>
          <w:sz w:val="20"/>
          <w:szCs w:val="20"/>
        </w:rPr>
        <w:t xml:space="preserve"> et al showed that </w:t>
      </w:r>
      <w:r w:rsidR="005C1AE3" w:rsidRPr="00805A0A">
        <w:rPr>
          <w:rFonts w:ascii="Times New Roman" w:hAnsi="Times New Roman" w:cs="Times New Roman"/>
          <w:sz w:val="20"/>
          <w:szCs w:val="20"/>
        </w:rPr>
        <w:t xml:space="preserve"> </w:t>
      </w:r>
      <w:r w:rsidR="003F75A7" w:rsidRPr="00805A0A">
        <w:rPr>
          <w:rFonts w:ascii="Times New Roman" w:hAnsi="Times New Roman" w:cs="Times New Roman"/>
          <w:sz w:val="20"/>
          <w:szCs w:val="20"/>
        </w:rPr>
        <w:t>26.1% had first episode of HFS after cycle 1 and</w:t>
      </w:r>
      <w:r w:rsidR="00BA3779" w:rsidRPr="00805A0A">
        <w:rPr>
          <w:rFonts w:ascii="Times New Roman" w:hAnsi="Times New Roman" w:cs="Times New Roman"/>
          <w:sz w:val="20"/>
          <w:szCs w:val="20"/>
        </w:rPr>
        <w:t xml:space="preserve"> 73.9% had after cycle 2</w:t>
      </w:r>
      <w:r w:rsidR="003F75A7" w:rsidRPr="00805A0A">
        <w:rPr>
          <w:rFonts w:ascii="Times New Roman" w:hAnsi="Times New Roman" w:cs="Times New Roman"/>
          <w:sz w:val="20"/>
          <w:szCs w:val="20"/>
        </w:rPr>
        <w:t>.</w:t>
      </w:r>
      <w:r w:rsidR="005B24CC" w:rsidRPr="00805A0A">
        <w:rPr>
          <w:rFonts w:ascii="Times New Roman" w:hAnsi="Times New Roman" w:cs="Times New Roman"/>
          <w:sz w:val="20"/>
          <w:szCs w:val="20"/>
          <w:vertAlign w:val="superscript"/>
        </w:rPr>
        <w:t>9</w:t>
      </w:r>
      <w:r w:rsidR="003F75A7" w:rsidRPr="00805A0A">
        <w:rPr>
          <w:rFonts w:ascii="Times New Roman" w:hAnsi="Times New Roman" w:cs="Times New Roman"/>
          <w:sz w:val="20"/>
          <w:szCs w:val="20"/>
        </w:rPr>
        <w:br/>
      </w:r>
      <w:r w:rsidR="00802E90" w:rsidRPr="00805A0A">
        <w:rPr>
          <w:rFonts w:ascii="Times New Roman" w:hAnsi="Times New Roman" w:cs="Times New Roman"/>
          <w:sz w:val="20"/>
          <w:szCs w:val="20"/>
        </w:rPr>
        <w:t>In this study,  12 cases (36.4%) of HFS was on adjuvant setting and 21 cases (63.6%)  of HFS was on palliative setting.</w:t>
      </w:r>
      <w:r w:rsidR="001C0DA5" w:rsidRPr="00805A0A">
        <w:rPr>
          <w:rFonts w:ascii="Times New Roman" w:hAnsi="Times New Roman" w:cs="Times New Roman"/>
          <w:sz w:val="20"/>
          <w:szCs w:val="20"/>
        </w:rPr>
        <w:t xml:space="preserve"> A</w:t>
      </w:r>
      <w:r w:rsidR="00802E90" w:rsidRPr="00805A0A">
        <w:rPr>
          <w:rFonts w:ascii="Times New Roman" w:hAnsi="Times New Roman" w:cs="Times New Roman"/>
          <w:sz w:val="20"/>
          <w:szCs w:val="20"/>
        </w:rPr>
        <w:t xml:space="preserve"> Study done by Yap</w:t>
      </w:r>
      <w:r w:rsidR="00B43BFC" w:rsidRPr="00805A0A">
        <w:rPr>
          <w:rFonts w:ascii="Times New Roman" w:hAnsi="Times New Roman" w:cs="Times New Roman"/>
          <w:sz w:val="20"/>
          <w:szCs w:val="20"/>
        </w:rPr>
        <w:t xml:space="preserve"> Yoon </w:t>
      </w:r>
      <w:proofErr w:type="spellStart"/>
      <w:r w:rsidR="00B43BFC" w:rsidRPr="00805A0A">
        <w:rPr>
          <w:rFonts w:ascii="Times New Roman" w:hAnsi="Times New Roman" w:cs="Times New Roman"/>
          <w:sz w:val="20"/>
          <w:szCs w:val="20"/>
        </w:rPr>
        <w:t>Sim</w:t>
      </w:r>
      <w:proofErr w:type="spellEnd"/>
      <w:r w:rsidR="00802E90" w:rsidRPr="00805A0A">
        <w:rPr>
          <w:rFonts w:ascii="Times New Roman" w:hAnsi="Times New Roman" w:cs="Times New Roman"/>
          <w:sz w:val="20"/>
          <w:szCs w:val="20"/>
        </w:rPr>
        <w:t xml:space="preserve"> et al found that those who had H</w:t>
      </w:r>
      <w:r w:rsidR="001C0DA5" w:rsidRPr="00805A0A">
        <w:rPr>
          <w:rFonts w:ascii="Times New Roman" w:hAnsi="Times New Roman" w:cs="Times New Roman"/>
          <w:sz w:val="20"/>
          <w:szCs w:val="20"/>
        </w:rPr>
        <w:t xml:space="preserve">FS had 21% cases were on </w:t>
      </w:r>
      <w:r w:rsidR="00802E90" w:rsidRPr="00805A0A">
        <w:rPr>
          <w:rFonts w:ascii="Times New Roman" w:hAnsi="Times New Roman" w:cs="Times New Roman"/>
          <w:sz w:val="20"/>
          <w:szCs w:val="20"/>
        </w:rPr>
        <w:t xml:space="preserve">adjuvant and 79% </w:t>
      </w:r>
      <w:r w:rsidR="001C0DA5" w:rsidRPr="00805A0A">
        <w:rPr>
          <w:rFonts w:ascii="Times New Roman" w:hAnsi="Times New Roman" w:cs="Times New Roman"/>
          <w:sz w:val="20"/>
          <w:szCs w:val="20"/>
        </w:rPr>
        <w:t xml:space="preserve">cases </w:t>
      </w:r>
      <w:r w:rsidR="00B43BFC" w:rsidRPr="00805A0A">
        <w:rPr>
          <w:rFonts w:ascii="Times New Roman" w:hAnsi="Times New Roman" w:cs="Times New Roman"/>
          <w:sz w:val="20"/>
          <w:szCs w:val="20"/>
        </w:rPr>
        <w:t xml:space="preserve"> </w:t>
      </w:r>
      <w:r w:rsidR="001C0DA5" w:rsidRPr="00805A0A">
        <w:rPr>
          <w:rFonts w:ascii="Times New Roman" w:hAnsi="Times New Roman" w:cs="Times New Roman"/>
          <w:sz w:val="20"/>
          <w:szCs w:val="20"/>
        </w:rPr>
        <w:t>were on</w:t>
      </w:r>
      <w:r w:rsidR="00802E90" w:rsidRPr="00805A0A">
        <w:rPr>
          <w:rFonts w:ascii="Times New Roman" w:hAnsi="Times New Roman" w:cs="Times New Roman"/>
          <w:sz w:val="20"/>
          <w:szCs w:val="20"/>
        </w:rPr>
        <w:t xml:space="preserve"> palliative .</w:t>
      </w:r>
      <w:r w:rsidR="003477C1" w:rsidRPr="00805A0A">
        <w:rPr>
          <w:rFonts w:ascii="Times New Roman" w:hAnsi="Times New Roman" w:cs="Times New Roman"/>
          <w:sz w:val="20"/>
          <w:szCs w:val="20"/>
          <w:vertAlign w:val="superscript"/>
        </w:rPr>
        <w:t>6</w:t>
      </w:r>
      <w:r w:rsidR="001C369D" w:rsidRPr="00805A0A">
        <w:rPr>
          <w:rFonts w:ascii="Times New Roman" w:hAnsi="Times New Roman" w:cs="Times New Roman"/>
          <w:sz w:val="20"/>
          <w:szCs w:val="20"/>
        </w:rPr>
        <w:t xml:space="preserve"> </w:t>
      </w:r>
      <w:r w:rsidR="001C369D" w:rsidRPr="00805A0A">
        <w:rPr>
          <w:rFonts w:ascii="Times New Roman" w:hAnsi="Times New Roman" w:cs="Times New Roman"/>
          <w:sz w:val="20"/>
          <w:szCs w:val="20"/>
        </w:rPr>
        <w:br/>
        <w:t xml:space="preserve">In present study, about 19 cases (57.60%) received </w:t>
      </w:r>
      <w:proofErr w:type="spellStart"/>
      <w:r w:rsidR="001C369D" w:rsidRPr="00805A0A">
        <w:rPr>
          <w:rFonts w:ascii="Times New Roman" w:hAnsi="Times New Roman" w:cs="Times New Roman"/>
          <w:sz w:val="20"/>
          <w:szCs w:val="20"/>
        </w:rPr>
        <w:t>capecitabine</w:t>
      </w:r>
      <w:proofErr w:type="spellEnd"/>
      <w:r w:rsidR="001C369D" w:rsidRPr="00805A0A">
        <w:rPr>
          <w:rFonts w:ascii="Times New Roman" w:hAnsi="Times New Roman" w:cs="Times New Roman"/>
          <w:sz w:val="20"/>
          <w:szCs w:val="20"/>
        </w:rPr>
        <w:t xml:space="preserve"> as </w:t>
      </w:r>
      <w:proofErr w:type="spellStart"/>
      <w:r w:rsidR="001C369D" w:rsidRPr="00805A0A">
        <w:rPr>
          <w:rFonts w:ascii="Times New Roman" w:hAnsi="Times New Roman" w:cs="Times New Roman"/>
          <w:sz w:val="20"/>
          <w:szCs w:val="20"/>
        </w:rPr>
        <w:t>monotherapy</w:t>
      </w:r>
      <w:proofErr w:type="spellEnd"/>
      <w:r w:rsidR="001C369D" w:rsidRPr="00805A0A">
        <w:rPr>
          <w:rFonts w:ascii="Times New Roman" w:hAnsi="Times New Roman" w:cs="Times New Roman"/>
          <w:sz w:val="20"/>
          <w:szCs w:val="20"/>
        </w:rPr>
        <w:t xml:space="preserve"> and 14 cases (42.4%) as combination therapy. A study done by Muller </w:t>
      </w:r>
      <w:proofErr w:type="spellStart"/>
      <w:r w:rsidR="00B43BFC" w:rsidRPr="00805A0A">
        <w:rPr>
          <w:rFonts w:ascii="Times New Roman" w:hAnsi="Times New Roman" w:cs="Times New Roman"/>
          <w:sz w:val="20"/>
          <w:szCs w:val="20"/>
        </w:rPr>
        <w:t>Volkmar</w:t>
      </w:r>
      <w:proofErr w:type="spellEnd"/>
      <w:r w:rsidR="00B43BFC" w:rsidRPr="00805A0A">
        <w:rPr>
          <w:rFonts w:ascii="Times New Roman" w:hAnsi="Times New Roman" w:cs="Times New Roman"/>
          <w:sz w:val="20"/>
          <w:szCs w:val="20"/>
        </w:rPr>
        <w:t xml:space="preserve"> </w:t>
      </w:r>
      <w:r w:rsidR="001C369D" w:rsidRPr="00805A0A">
        <w:rPr>
          <w:rFonts w:ascii="Times New Roman" w:hAnsi="Times New Roman" w:cs="Times New Roman"/>
          <w:sz w:val="20"/>
          <w:szCs w:val="20"/>
        </w:rPr>
        <w:t>et al showed that those who had HFS</w:t>
      </w:r>
      <w:r w:rsidR="00F44BE4" w:rsidRPr="00805A0A">
        <w:rPr>
          <w:rFonts w:ascii="Times New Roman" w:hAnsi="Times New Roman" w:cs="Times New Roman"/>
          <w:sz w:val="20"/>
          <w:szCs w:val="20"/>
        </w:rPr>
        <w:t xml:space="preserve"> received </w:t>
      </w:r>
      <w:proofErr w:type="spellStart"/>
      <w:r w:rsidR="00F44BE4" w:rsidRPr="00805A0A">
        <w:rPr>
          <w:rFonts w:ascii="Times New Roman" w:hAnsi="Times New Roman" w:cs="Times New Roman"/>
          <w:sz w:val="20"/>
          <w:szCs w:val="20"/>
        </w:rPr>
        <w:t>capecitabine</w:t>
      </w:r>
      <w:proofErr w:type="spellEnd"/>
      <w:r w:rsidR="00F44BE4" w:rsidRPr="00805A0A">
        <w:rPr>
          <w:rFonts w:ascii="Times New Roman" w:hAnsi="Times New Roman" w:cs="Times New Roman"/>
          <w:sz w:val="20"/>
          <w:szCs w:val="20"/>
        </w:rPr>
        <w:t xml:space="preserve"> as </w:t>
      </w:r>
      <w:proofErr w:type="spellStart"/>
      <w:r w:rsidR="00F44BE4" w:rsidRPr="00805A0A">
        <w:rPr>
          <w:rFonts w:ascii="Times New Roman" w:hAnsi="Times New Roman" w:cs="Times New Roman"/>
          <w:sz w:val="20"/>
          <w:szCs w:val="20"/>
        </w:rPr>
        <w:t>monotherapy</w:t>
      </w:r>
      <w:proofErr w:type="spellEnd"/>
      <w:r w:rsidR="00F44BE4" w:rsidRPr="00805A0A">
        <w:rPr>
          <w:rFonts w:ascii="Times New Roman" w:hAnsi="Times New Roman" w:cs="Times New Roman"/>
          <w:sz w:val="20"/>
          <w:szCs w:val="20"/>
        </w:rPr>
        <w:t xml:space="preserve"> in 38.8%</w:t>
      </w:r>
      <w:r w:rsidR="00D6275A" w:rsidRPr="00805A0A">
        <w:rPr>
          <w:rFonts w:ascii="Times New Roman" w:hAnsi="Times New Roman" w:cs="Times New Roman"/>
          <w:sz w:val="20"/>
          <w:szCs w:val="20"/>
        </w:rPr>
        <w:t>cases</w:t>
      </w:r>
      <w:r w:rsidR="00F44BE4" w:rsidRPr="00805A0A">
        <w:rPr>
          <w:rFonts w:ascii="Times New Roman" w:hAnsi="Times New Roman" w:cs="Times New Roman"/>
          <w:sz w:val="20"/>
          <w:szCs w:val="20"/>
        </w:rPr>
        <w:t xml:space="preserve"> and 61.2% cases received as combination </w:t>
      </w:r>
      <w:r w:rsidR="00256754" w:rsidRPr="00805A0A">
        <w:rPr>
          <w:rFonts w:ascii="Times New Roman" w:hAnsi="Times New Roman" w:cs="Times New Roman"/>
          <w:sz w:val="20"/>
          <w:szCs w:val="20"/>
        </w:rPr>
        <w:t xml:space="preserve"> </w:t>
      </w:r>
      <w:r w:rsidR="00F44BE4" w:rsidRPr="00805A0A">
        <w:rPr>
          <w:rFonts w:ascii="Times New Roman" w:hAnsi="Times New Roman" w:cs="Times New Roman"/>
          <w:sz w:val="20"/>
          <w:szCs w:val="20"/>
        </w:rPr>
        <w:t>therapy.</w:t>
      </w:r>
      <w:r w:rsidR="00354DA4" w:rsidRPr="00805A0A">
        <w:rPr>
          <w:rFonts w:ascii="Times New Roman" w:hAnsi="Times New Roman" w:cs="Times New Roman"/>
          <w:sz w:val="20"/>
          <w:szCs w:val="20"/>
          <w:vertAlign w:val="superscript"/>
        </w:rPr>
        <w:t>10</w:t>
      </w:r>
      <w:r w:rsidR="001C369D" w:rsidRPr="00256754">
        <w:rPr>
          <w:rFonts w:ascii="Times New Roman" w:hAnsi="Times New Roman" w:cs="Times New Roman"/>
          <w:sz w:val="28"/>
          <w:szCs w:val="28"/>
        </w:rPr>
        <w:br/>
      </w:r>
      <w:r w:rsidR="00315E86">
        <w:rPr>
          <w:rFonts w:ascii="Times New Roman" w:hAnsi="Times New Roman" w:cs="Times New Roman"/>
          <w:sz w:val="28"/>
          <w:szCs w:val="28"/>
        </w:rPr>
        <w:br/>
      </w:r>
      <w:r w:rsidR="00243C8A" w:rsidRPr="00805A0A">
        <w:rPr>
          <w:rFonts w:ascii="Times New Roman" w:hAnsi="Times New Roman" w:cs="Times New Roman"/>
          <w:b/>
          <w:sz w:val="28"/>
          <w:szCs w:val="28"/>
        </w:rPr>
        <w:t>Co</w:t>
      </w:r>
      <w:r w:rsidR="00B73E3B" w:rsidRPr="00805A0A">
        <w:rPr>
          <w:rFonts w:ascii="Times New Roman" w:hAnsi="Times New Roman" w:cs="Times New Roman"/>
          <w:b/>
          <w:sz w:val="28"/>
          <w:szCs w:val="28"/>
        </w:rPr>
        <w:t>nclusion</w:t>
      </w:r>
      <w:r w:rsidR="00B73E3B" w:rsidRPr="00805A0A">
        <w:rPr>
          <w:sz w:val="28"/>
          <w:szCs w:val="28"/>
        </w:rPr>
        <w:br/>
      </w:r>
      <w:r w:rsidR="0009122E" w:rsidRPr="00805A0A">
        <w:rPr>
          <w:rFonts w:ascii="Times New Roman" w:hAnsi="Times New Roman" w:cs="Times New Roman"/>
          <w:sz w:val="20"/>
          <w:szCs w:val="20"/>
        </w:rPr>
        <w:t xml:space="preserve">The incidence of HFS is common in patients treated with </w:t>
      </w:r>
      <w:proofErr w:type="spellStart"/>
      <w:r w:rsidR="0009122E" w:rsidRPr="00805A0A">
        <w:rPr>
          <w:rFonts w:ascii="Times New Roman" w:hAnsi="Times New Roman" w:cs="Times New Roman"/>
          <w:sz w:val="20"/>
          <w:szCs w:val="20"/>
        </w:rPr>
        <w:t>capecitabine</w:t>
      </w:r>
      <w:proofErr w:type="spellEnd"/>
      <w:r w:rsidR="0009122E" w:rsidRPr="00805A0A">
        <w:rPr>
          <w:rFonts w:ascii="Times New Roman" w:hAnsi="Times New Roman" w:cs="Times New Roman"/>
          <w:sz w:val="20"/>
          <w:szCs w:val="20"/>
        </w:rPr>
        <w:t xml:space="preserve"> and is usually starts within the </w:t>
      </w:r>
      <w:proofErr w:type="spellStart"/>
      <w:r w:rsidR="0009122E" w:rsidRPr="00805A0A">
        <w:rPr>
          <w:rFonts w:ascii="Times New Roman" w:hAnsi="Times New Roman" w:cs="Times New Roman"/>
          <w:sz w:val="20"/>
          <w:szCs w:val="20"/>
        </w:rPr>
        <w:t>the</w:t>
      </w:r>
      <w:proofErr w:type="spellEnd"/>
      <w:r w:rsidR="0009122E" w:rsidRPr="00805A0A">
        <w:rPr>
          <w:rFonts w:ascii="Times New Roman" w:hAnsi="Times New Roman" w:cs="Times New Roman"/>
          <w:sz w:val="20"/>
          <w:szCs w:val="20"/>
        </w:rPr>
        <w:t xml:space="preserve"> first two cycles of therapy. Although the incidence of a severe grade of HFS is low, it can have a significant influence on a </w:t>
      </w:r>
      <w:proofErr w:type="gramStart"/>
      <w:r w:rsidR="0009122E" w:rsidRPr="00805A0A">
        <w:rPr>
          <w:rFonts w:ascii="Times New Roman" w:hAnsi="Times New Roman" w:cs="Times New Roman"/>
          <w:sz w:val="20"/>
          <w:szCs w:val="20"/>
        </w:rPr>
        <w:t>patients</w:t>
      </w:r>
      <w:proofErr w:type="gramEnd"/>
      <w:r w:rsidR="0009122E" w:rsidRPr="00805A0A">
        <w:rPr>
          <w:rFonts w:ascii="Times New Roman" w:hAnsi="Times New Roman" w:cs="Times New Roman"/>
          <w:sz w:val="20"/>
          <w:szCs w:val="20"/>
        </w:rPr>
        <w:t xml:space="preserve"> quality of life and abilities. Prevention, early recognition, and implementation of various management strategies for HFS are important in optimizing patient quality of life and minimizing unfavourable </w:t>
      </w:r>
      <w:r w:rsidR="0009122E" w:rsidRPr="00805A0A">
        <w:rPr>
          <w:rFonts w:ascii="Times New Roman" w:hAnsi="Times New Roman" w:cs="Times New Roman"/>
          <w:sz w:val="20"/>
          <w:szCs w:val="20"/>
        </w:rPr>
        <w:lastRenderedPageBreak/>
        <w:t>outcomes.</w:t>
      </w:r>
      <w:r w:rsidR="0025646C" w:rsidRPr="00805A0A">
        <w:rPr>
          <w:rFonts w:ascii="Times New Roman" w:hAnsi="Times New Roman" w:cs="Times New Roman"/>
          <w:sz w:val="20"/>
          <w:szCs w:val="20"/>
        </w:rPr>
        <w:t xml:space="preserve"> </w:t>
      </w:r>
      <w:r w:rsidR="00775C2E" w:rsidRPr="00805A0A">
        <w:rPr>
          <w:rFonts w:ascii="Times New Roman" w:hAnsi="Times New Roman" w:cs="Times New Roman"/>
          <w:sz w:val="20"/>
          <w:szCs w:val="20"/>
        </w:rPr>
        <w:t xml:space="preserve">The </w:t>
      </w:r>
      <w:r w:rsidR="0025646C" w:rsidRPr="00805A0A">
        <w:rPr>
          <w:rFonts w:ascii="Times New Roman" w:hAnsi="Times New Roman" w:cs="Times New Roman"/>
          <w:sz w:val="20"/>
          <w:szCs w:val="20"/>
        </w:rPr>
        <w:t xml:space="preserve">study comprising of relatively a small sample size for a short period of time </w:t>
      </w:r>
      <w:r w:rsidR="00775C2E" w:rsidRPr="00805A0A">
        <w:rPr>
          <w:rFonts w:ascii="Times New Roman" w:hAnsi="Times New Roman" w:cs="Times New Roman"/>
          <w:sz w:val="20"/>
          <w:szCs w:val="20"/>
        </w:rPr>
        <w:t>.</w:t>
      </w:r>
      <w:r w:rsidR="0025646C" w:rsidRPr="00805A0A">
        <w:rPr>
          <w:rFonts w:ascii="Times New Roman" w:hAnsi="Times New Roman" w:cs="Times New Roman"/>
          <w:sz w:val="20"/>
          <w:szCs w:val="20"/>
        </w:rPr>
        <w:t>Hence, a larger prospective study with a large sample size for long duration is required to ar</w:t>
      </w:r>
      <w:r w:rsidR="00775C2E" w:rsidRPr="00805A0A">
        <w:rPr>
          <w:rFonts w:ascii="Times New Roman" w:hAnsi="Times New Roman" w:cs="Times New Roman"/>
          <w:sz w:val="20"/>
          <w:szCs w:val="20"/>
        </w:rPr>
        <w:t xml:space="preserve">rive at a definite conclusion. </w:t>
      </w:r>
      <w:r w:rsidR="0025646C" w:rsidRPr="00805A0A">
        <w:rPr>
          <w:rFonts w:ascii="Times New Roman" w:hAnsi="Times New Roman" w:cs="Times New Roman"/>
          <w:sz w:val="20"/>
          <w:szCs w:val="20"/>
        </w:rPr>
        <w:t xml:space="preserve">Whether the results of the present study can be reproduced in other multicentre studies has yet to be determined. </w:t>
      </w:r>
      <w:proofErr w:type="spellStart"/>
      <w:r w:rsidR="0025646C" w:rsidRPr="00805A0A">
        <w:rPr>
          <w:rFonts w:ascii="Times New Roman" w:hAnsi="Times New Roman" w:cs="Times New Roman"/>
          <w:sz w:val="20"/>
          <w:szCs w:val="20"/>
        </w:rPr>
        <w:t>Futher</w:t>
      </w:r>
      <w:proofErr w:type="spellEnd"/>
      <w:r w:rsidR="0025646C" w:rsidRPr="00805A0A">
        <w:rPr>
          <w:rFonts w:ascii="Times New Roman" w:hAnsi="Times New Roman" w:cs="Times New Roman"/>
          <w:sz w:val="20"/>
          <w:szCs w:val="20"/>
        </w:rPr>
        <w:t xml:space="preserve"> studies are therefore necessary.</w:t>
      </w:r>
      <w:r w:rsidR="00243C8A" w:rsidRPr="00805A0A">
        <w:rPr>
          <w:rFonts w:ascii="Times New Roman" w:hAnsi="Times New Roman" w:cs="Times New Roman"/>
          <w:sz w:val="20"/>
          <w:szCs w:val="20"/>
        </w:rPr>
        <w:br/>
      </w:r>
      <w:r w:rsidR="00857D84">
        <w:rPr>
          <w:rFonts w:ascii="Times New Roman" w:hAnsi="Times New Roman" w:cs="Times New Roman"/>
          <w:b/>
          <w:sz w:val="28"/>
          <w:szCs w:val="28"/>
          <w:u w:val="single"/>
        </w:rPr>
        <w:br/>
      </w:r>
      <w:r w:rsidR="00243C8A" w:rsidRPr="00857D84">
        <w:rPr>
          <w:rFonts w:ascii="Times New Roman" w:hAnsi="Times New Roman" w:cs="Times New Roman"/>
          <w:b/>
          <w:sz w:val="28"/>
          <w:szCs w:val="28"/>
        </w:rPr>
        <w:t>Limitations</w:t>
      </w:r>
      <w:r w:rsidR="00243C8A" w:rsidRPr="00857D84">
        <w:rPr>
          <w:sz w:val="28"/>
          <w:szCs w:val="28"/>
        </w:rPr>
        <w:br/>
      </w:r>
      <w:r w:rsidR="00362CEF" w:rsidRPr="00857D84">
        <w:rPr>
          <w:rFonts w:ascii="Times New Roman" w:hAnsi="Times New Roman" w:cs="Times New Roman"/>
          <w:sz w:val="20"/>
          <w:szCs w:val="20"/>
        </w:rPr>
        <w:t xml:space="preserve">varying doses of </w:t>
      </w:r>
      <w:proofErr w:type="spellStart"/>
      <w:r w:rsidR="00362CEF" w:rsidRPr="00857D84">
        <w:rPr>
          <w:rFonts w:ascii="Times New Roman" w:hAnsi="Times New Roman" w:cs="Times New Roman"/>
          <w:sz w:val="20"/>
          <w:szCs w:val="20"/>
        </w:rPr>
        <w:t>capecitabine</w:t>
      </w:r>
      <w:proofErr w:type="spellEnd"/>
      <w:r w:rsidR="00362CEF" w:rsidRPr="00857D84">
        <w:rPr>
          <w:rFonts w:ascii="Times New Roman" w:hAnsi="Times New Roman" w:cs="Times New Roman"/>
          <w:sz w:val="20"/>
          <w:szCs w:val="20"/>
        </w:rPr>
        <w:t xml:space="preserve"> used in this study and relatively </w:t>
      </w:r>
      <w:r w:rsidR="00243C8A" w:rsidRPr="00857D84">
        <w:rPr>
          <w:rFonts w:ascii="Times New Roman" w:hAnsi="Times New Roman" w:cs="Times New Roman"/>
          <w:sz w:val="20"/>
          <w:szCs w:val="20"/>
        </w:rPr>
        <w:t>small sample size and short duration of study.</w:t>
      </w:r>
      <w:r w:rsidR="007152E8">
        <w:rPr>
          <w:sz w:val="28"/>
          <w:szCs w:val="28"/>
        </w:rPr>
        <w:br/>
      </w:r>
      <w:r w:rsidR="007152E8">
        <w:rPr>
          <w:sz w:val="28"/>
          <w:szCs w:val="28"/>
        </w:rPr>
        <w:br/>
      </w:r>
      <w:r w:rsidR="007152E8" w:rsidRPr="00E51936">
        <w:rPr>
          <w:rFonts w:ascii="Times New Roman" w:hAnsi="Times New Roman" w:cs="Times New Roman"/>
          <w:b/>
          <w:sz w:val="28"/>
          <w:szCs w:val="28"/>
        </w:rPr>
        <w:t>Acknowledgments</w:t>
      </w:r>
      <w:r w:rsidR="007152E8" w:rsidRPr="00E51936">
        <w:rPr>
          <w:rFonts w:ascii="Times New Roman" w:hAnsi="Times New Roman" w:cs="Times New Roman"/>
          <w:sz w:val="28"/>
          <w:szCs w:val="28"/>
        </w:rPr>
        <w:br/>
      </w:r>
      <w:proofErr w:type="gramStart"/>
      <w:r w:rsidR="007152E8" w:rsidRPr="00E51936">
        <w:rPr>
          <w:rFonts w:ascii="Times New Roman" w:hAnsi="Times New Roman" w:cs="Times New Roman"/>
          <w:sz w:val="20"/>
          <w:szCs w:val="20"/>
        </w:rPr>
        <w:t>A</w:t>
      </w:r>
      <w:proofErr w:type="gramEnd"/>
      <w:r w:rsidR="007152E8" w:rsidRPr="00E51936">
        <w:rPr>
          <w:rFonts w:ascii="Times New Roman" w:hAnsi="Times New Roman" w:cs="Times New Roman"/>
          <w:sz w:val="20"/>
          <w:szCs w:val="20"/>
        </w:rPr>
        <w:t xml:space="preserve"> sincere thanks to all the patients included in the study and all the health</w:t>
      </w:r>
      <w:r w:rsidR="00E51936">
        <w:rPr>
          <w:rFonts w:ascii="Times New Roman" w:hAnsi="Times New Roman" w:cs="Times New Roman"/>
          <w:sz w:val="20"/>
          <w:szCs w:val="20"/>
        </w:rPr>
        <w:t xml:space="preserve"> staff workers of state cancer i</w:t>
      </w:r>
      <w:r w:rsidR="007152E8" w:rsidRPr="00E51936">
        <w:rPr>
          <w:rFonts w:ascii="Times New Roman" w:hAnsi="Times New Roman" w:cs="Times New Roman"/>
          <w:sz w:val="20"/>
          <w:szCs w:val="20"/>
        </w:rPr>
        <w:t>nstitute GMC, for their great support.</w:t>
      </w:r>
      <w:r w:rsidR="00F05898">
        <w:rPr>
          <w:rFonts w:ascii="Times New Roman" w:hAnsi="Times New Roman" w:cs="Times New Roman"/>
          <w:sz w:val="20"/>
          <w:szCs w:val="20"/>
        </w:rPr>
        <w:br/>
      </w:r>
      <w:r w:rsidR="00F05898">
        <w:rPr>
          <w:rFonts w:ascii="Times New Roman" w:hAnsi="Times New Roman" w:cs="Times New Roman"/>
          <w:b/>
          <w:sz w:val="28"/>
          <w:szCs w:val="28"/>
        </w:rPr>
        <w:br/>
      </w:r>
      <w:r w:rsidR="00F05898" w:rsidRPr="00F05898">
        <w:rPr>
          <w:rFonts w:ascii="Times New Roman" w:hAnsi="Times New Roman" w:cs="Times New Roman"/>
          <w:b/>
          <w:sz w:val="28"/>
          <w:szCs w:val="28"/>
        </w:rPr>
        <w:t>Conflict of interest:</w:t>
      </w:r>
      <w:r w:rsidR="00F05898">
        <w:rPr>
          <w:rFonts w:ascii="Times New Roman" w:hAnsi="Times New Roman" w:cs="Times New Roman"/>
          <w:b/>
          <w:sz w:val="28"/>
          <w:szCs w:val="28"/>
        </w:rPr>
        <w:t xml:space="preserve"> </w:t>
      </w:r>
      <w:r w:rsidR="00F05898" w:rsidRPr="00F05898">
        <w:rPr>
          <w:rFonts w:ascii="Times New Roman" w:hAnsi="Times New Roman" w:cs="Times New Roman"/>
          <w:sz w:val="20"/>
          <w:szCs w:val="20"/>
        </w:rPr>
        <w:t>No conflict of interest associated with this work</w:t>
      </w:r>
      <w:r w:rsidR="00F05898">
        <w:rPr>
          <w:rFonts w:ascii="Times New Roman" w:hAnsi="Times New Roman" w:cs="Times New Roman"/>
          <w:sz w:val="20"/>
          <w:szCs w:val="20"/>
        </w:rPr>
        <w:t>.</w:t>
      </w:r>
      <w:bookmarkStart w:id="0" w:name="_GoBack"/>
      <w:bookmarkEnd w:id="0"/>
      <w:r w:rsidR="007152E8" w:rsidRPr="00F05898">
        <w:rPr>
          <w:sz w:val="20"/>
          <w:szCs w:val="20"/>
        </w:rPr>
        <w:br/>
      </w:r>
      <w:r w:rsidR="007152E8" w:rsidRPr="00F05898">
        <w:rPr>
          <w:rFonts w:ascii="Times New Roman" w:hAnsi="Times New Roman" w:cs="Times New Roman"/>
          <w:b/>
          <w:sz w:val="28"/>
          <w:szCs w:val="28"/>
        </w:rPr>
        <w:br/>
      </w:r>
      <w:r w:rsidR="007152E8" w:rsidRPr="00E51936">
        <w:rPr>
          <w:rFonts w:ascii="Times New Roman" w:hAnsi="Times New Roman" w:cs="Times New Roman"/>
          <w:b/>
          <w:sz w:val="28"/>
          <w:szCs w:val="28"/>
        </w:rPr>
        <w:t>Author Contributions</w:t>
      </w:r>
      <w:r w:rsidR="007152E8">
        <w:rPr>
          <w:b/>
          <w:sz w:val="28"/>
          <w:szCs w:val="28"/>
        </w:rPr>
        <w:br/>
      </w:r>
      <w:r w:rsidR="007152E8" w:rsidRPr="00E51936">
        <w:rPr>
          <w:rFonts w:ascii="Times New Roman" w:hAnsi="Times New Roman" w:cs="Times New Roman"/>
          <w:b/>
          <w:sz w:val="20"/>
          <w:szCs w:val="20"/>
        </w:rPr>
        <w:t>Conception/ Design:</w:t>
      </w:r>
      <w:r w:rsidR="00AE78FA" w:rsidRPr="00E51936">
        <w:rPr>
          <w:rFonts w:ascii="Times New Roman" w:hAnsi="Times New Roman" w:cs="Times New Roman"/>
          <w:sz w:val="20"/>
          <w:szCs w:val="20"/>
        </w:rPr>
        <w:t xml:space="preserve"> </w:t>
      </w:r>
      <w:proofErr w:type="spellStart"/>
      <w:r w:rsidR="00AE78FA" w:rsidRPr="00E51936">
        <w:rPr>
          <w:rFonts w:ascii="Times New Roman" w:hAnsi="Times New Roman" w:cs="Times New Roman"/>
          <w:sz w:val="20"/>
          <w:szCs w:val="20"/>
        </w:rPr>
        <w:t>Dr.</w:t>
      </w:r>
      <w:proofErr w:type="spellEnd"/>
      <w:r w:rsidR="00AE78FA" w:rsidRPr="00E51936">
        <w:rPr>
          <w:rFonts w:ascii="Times New Roman" w:hAnsi="Times New Roman" w:cs="Times New Roman"/>
          <w:sz w:val="20"/>
          <w:szCs w:val="20"/>
        </w:rPr>
        <w:t xml:space="preserve"> </w:t>
      </w:r>
      <w:proofErr w:type="spellStart"/>
      <w:r w:rsidR="00AE78FA" w:rsidRPr="00E51936">
        <w:rPr>
          <w:rFonts w:ascii="Times New Roman" w:hAnsi="Times New Roman" w:cs="Times New Roman"/>
          <w:sz w:val="20"/>
          <w:szCs w:val="20"/>
        </w:rPr>
        <w:t>Niharika</w:t>
      </w:r>
      <w:proofErr w:type="spellEnd"/>
      <w:r w:rsidR="00AE78FA" w:rsidRPr="00E51936">
        <w:rPr>
          <w:rFonts w:ascii="Times New Roman" w:hAnsi="Times New Roman" w:cs="Times New Roman"/>
          <w:sz w:val="20"/>
          <w:szCs w:val="20"/>
        </w:rPr>
        <w:t xml:space="preserve"> </w:t>
      </w:r>
      <w:proofErr w:type="spellStart"/>
      <w:r w:rsidR="00AE78FA" w:rsidRPr="00E51936">
        <w:rPr>
          <w:rFonts w:ascii="Times New Roman" w:hAnsi="Times New Roman" w:cs="Times New Roman"/>
          <w:sz w:val="20"/>
          <w:szCs w:val="20"/>
        </w:rPr>
        <w:t>Ku</w:t>
      </w:r>
      <w:r w:rsidR="00E51936">
        <w:rPr>
          <w:rFonts w:ascii="Times New Roman" w:hAnsi="Times New Roman" w:cs="Times New Roman"/>
          <w:sz w:val="20"/>
          <w:szCs w:val="20"/>
        </w:rPr>
        <w:t>tum</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Dr.Neelakshi</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Mahanta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r w:rsidR="00AE78FA" w:rsidRPr="00E51936">
        <w:rPr>
          <w:rFonts w:ascii="Times New Roman" w:hAnsi="Times New Roman" w:cs="Times New Roman"/>
          <w:sz w:val="20"/>
          <w:szCs w:val="20"/>
        </w:rPr>
        <w:t>Naba</w:t>
      </w:r>
      <w:proofErr w:type="spellEnd"/>
      <w:r w:rsidR="00AE78FA" w:rsidRPr="00E51936">
        <w:rPr>
          <w:rFonts w:ascii="Times New Roman" w:hAnsi="Times New Roman" w:cs="Times New Roman"/>
          <w:sz w:val="20"/>
          <w:szCs w:val="20"/>
        </w:rPr>
        <w:t xml:space="preserve"> </w:t>
      </w:r>
      <w:proofErr w:type="spellStart"/>
      <w:r w:rsidR="00E51936" w:rsidRPr="00E51936">
        <w:rPr>
          <w:rFonts w:ascii="Times New Roman" w:hAnsi="Times New Roman" w:cs="Times New Roman"/>
          <w:sz w:val="20"/>
          <w:szCs w:val="20"/>
        </w:rPr>
        <w:t>K.</w:t>
      </w:r>
      <w:r w:rsidR="00AE78FA" w:rsidRPr="00E51936">
        <w:rPr>
          <w:rFonts w:ascii="Times New Roman" w:hAnsi="Times New Roman" w:cs="Times New Roman"/>
          <w:sz w:val="20"/>
          <w:szCs w:val="20"/>
        </w:rPr>
        <w:t>Kalita</w:t>
      </w:r>
      <w:proofErr w:type="spellEnd"/>
      <w:r w:rsidR="007152E8" w:rsidRPr="00E51936">
        <w:rPr>
          <w:rFonts w:ascii="Times New Roman" w:hAnsi="Times New Roman" w:cs="Times New Roman"/>
          <w:sz w:val="20"/>
          <w:szCs w:val="20"/>
        </w:rPr>
        <w:br/>
      </w:r>
      <w:r w:rsidR="007152E8" w:rsidRPr="00E51936">
        <w:rPr>
          <w:rFonts w:ascii="Times New Roman" w:hAnsi="Times New Roman" w:cs="Times New Roman"/>
          <w:b/>
          <w:sz w:val="20"/>
          <w:szCs w:val="20"/>
        </w:rPr>
        <w:t>Provision of study material or patients</w:t>
      </w:r>
      <w:r w:rsidR="007152E8" w:rsidRPr="00E51936">
        <w:rPr>
          <w:rFonts w:ascii="Times New Roman" w:hAnsi="Times New Roman" w:cs="Times New Roman"/>
          <w:sz w:val="20"/>
          <w:szCs w:val="20"/>
        </w:rPr>
        <w:t>:</w:t>
      </w:r>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Niharika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Kutum</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r w:rsidR="00AE78FA" w:rsidRPr="00E51936">
        <w:rPr>
          <w:rFonts w:ascii="Times New Roman" w:hAnsi="Times New Roman" w:cs="Times New Roman"/>
          <w:sz w:val="20"/>
          <w:szCs w:val="20"/>
        </w:rPr>
        <w:t>Neelaksh</w:t>
      </w:r>
      <w:r w:rsidR="00E51936">
        <w:rPr>
          <w:rFonts w:ascii="Times New Roman" w:hAnsi="Times New Roman" w:cs="Times New Roman"/>
          <w:sz w:val="20"/>
          <w:szCs w:val="20"/>
        </w:rPr>
        <w:t>i</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Mahanta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Dr.Naba</w:t>
      </w:r>
      <w:proofErr w:type="spellEnd"/>
      <w:r w:rsidR="00E51936">
        <w:rPr>
          <w:rFonts w:ascii="Times New Roman" w:hAnsi="Times New Roman" w:cs="Times New Roman"/>
          <w:sz w:val="20"/>
          <w:szCs w:val="20"/>
        </w:rPr>
        <w:t xml:space="preserve"> K. </w:t>
      </w:r>
      <w:proofErr w:type="spellStart"/>
      <w:r w:rsidR="00E51936">
        <w:rPr>
          <w:rFonts w:ascii="Times New Roman" w:hAnsi="Times New Roman" w:cs="Times New Roman"/>
          <w:sz w:val="20"/>
          <w:szCs w:val="20"/>
        </w:rPr>
        <w:t>Kalita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r w:rsidR="00AE78FA" w:rsidRPr="00E51936">
        <w:rPr>
          <w:rFonts w:ascii="Times New Roman" w:hAnsi="Times New Roman" w:cs="Times New Roman"/>
          <w:sz w:val="20"/>
          <w:szCs w:val="20"/>
        </w:rPr>
        <w:t>Hit</w:t>
      </w:r>
      <w:r w:rsidR="00E51936">
        <w:rPr>
          <w:rFonts w:ascii="Times New Roman" w:hAnsi="Times New Roman" w:cs="Times New Roman"/>
          <w:sz w:val="20"/>
          <w:szCs w:val="20"/>
        </w:rPr>
        <w:t>esh</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Deka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Dr.Pooja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Lokkur</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r w:rsidR="00AE78FA" w:rsidRPr="00E51936">
        <w:rPr>
          <w:rFonts w:ascii="Times New Roman" w:hAnsi="Times New Roman" w:cs="Times New Roman"/>
          <w:sz w:val="20"/>
          <w:szCs w:val="20"/>
        </w:rPr>
        <w:t>Alfarid</w:t>
      </w:r>
      <w:proofErr w:type="spellEnd"/>
      <w:r w:rsidR="00E51936">
        <w:rPr>
          <w:rFonts w:ascii="Times New Roman" w:hAnsi="Times New Roman" w:cs="Times New Roman"/>
          <w:sz w:val="20"/>
          <w:szCs w:val="20"/>
        </w:rPr>
        <w:t xml:space="preserve"> S.</w:t>
      </w:r>
      <w:r w:rsidR="00AE78FA" w:rsidRPr="00E51936">
        <w:rPr>
          <w:rFonts w:ascii="Times New Roman" w:hAnsi="Times New Roman" w:cs="Times New Roman"/>
          <w:sz w:val="20"/>
          <w:szCs w:val="20"/>
        </w:rPr>
        <w:t xml:space="preserve"> Ali</w:t>
      </w:r>
      <w:r w:rsidR="007152E8" w:rsidRPr="00E51936">
        <w:rPr>
          <w:rFonts w:ascii="Times New Roman" w:hAnsi="Times New Roman" w:cs="Times New Roman"/>
          <w:sz w:val="20"/>
          <w:szCs w:val="20"/>
        </w:rPr>
        <w:br/>
      </w:r>
      <w:r w:rsidR="007152E8" w:rsidRPr="00E51936">
        <w:rPr>
          <w:rFonts w:ascii="Times New Roman" w:hAnsi="Times New Roman" w:cs="Times New Roman"/>
          <w:b/>
          <w:sz w:val="20"/>
          <w:szCs w:val="20"/>
        </w:rPr>
        <w:t>Collection and/or assembly of data:</w:t>
      </w:r>
      <w:r w:rsidR="00E51936">
        <w:rPr>
          <w:rFonts w:ascii="Times New Roman" w:hAnsi="Times New Roman" w:cs="Times New Roman"/>
          <w:b/>
          <w:sz w:val="20"/>
          <w:szCs w:val="20"/>
        </w:rPr>
        <w:t xml:space="preserve"> </w:t>
      </w:r>
      <w:proofErr w:type="spellStart"/>
      <w:r w:rsidR="00E51936">
        <w:rPr>
          <w:rFonts w:ascii="Times New Roman" w:hAnsi="Times New Roman" w:cs="Times New Roman"/>
          <w:sz w:val="20"/>
          <w:szCs w:val="20"/>
        </w:rPr>
        <w:t>Dr.</w:t>
      </w:r>
      <w:r w:rsidR="00AE78FA" w:rsidRPr="00E51936">
        <w:rPr>
          <w:rFonts w:ascii="Times New Roman" w:hAnsi="Times New Roman" w:cs="Times New Roman"/>
          <w:sz w:val="20"/>
          <w:szCs w:val="20"/>
        </w:rPr>
        <w:t>Nihar</w:t>
      </w:r>
      <w:r w:rsidR="00E51936">
        <w:rPr>
          <w:rFonts w:ascii="Times New Roman" w:hAnsi="Times New Roman" w:cs="Times New Roman"/>
          <w:sz w:val="20"/>
          <w:szCs w:val="20"/>
        </w:rPr>
        <w:t>ika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Kutum</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Dr.Alfarid</w:t>
      </w:r>
      <w:proofErr w:type="spellEnd"/>
      <w:r w:rsidR="00E51936">
        <w:rPr>
          <w:rFonts w:ascii="Times New Roman" w:hAnsi="Times New Roman" w:cs="Times New Roman"/>
          <w:sz w:val="20"/>
          <w:szCs w:val="20"/>
        </w:rPr>
        <w:t xml:space="preserve"> </w:t>
      </w:r>
      <w:r w:rsidR="00B065FA">
        <w:rPr>
          <w:rFonts w:ascii="Times New Roman" w:hAnsi="Times New Roman" w:cs="Times New Roman"/>
          <w:sz w:val="20"/>
          <w:szCs w:val="20"/>
        </w:rPr>
        <w:t xml:space="preserve">S. Ali, </w:t>
      </w:r>
      <w:proofErr w:type="spellStart"/>
      <w:r w:rsidR="00B065FA">
        <w:rPr>
          <w:rFonts w:ascii="Times New Roman" w:hAnsi="Times New Roman" w:cs="Times New Roman"/>
          <w:sz w:val="20"/>
          <w:szCs w:val="20"/>
        </w:rPr>
        <w:t>Dr.Hitesh</w:t>
      </w:r>
      <w:proofErr w:type="spellEnd"/>
      <w:r w:rsidR="00B065FA">
        <w:rPr>
          <w:rFonts w:ascii="Times New Roman" w:hAnsi="Times New Roman" w:cs="Times New Roman"/>
          <w:sz w:val="20"/>
          <w:szCs w:val="20"/>
        </w:rPr>
        <w:t xml:space="preserve"> </w:t>
      </w:r>
      <w:proofErr w:type="spellStart"/>
      <w:r w:rsidR="00B065FA">
        <w:rPr>
          <w:rFonts w:ascii="Times New Roman" w:hAnsi="Times New Roman" w:cs="Times New Roman"/>
          <w:sz w:val="20"/>
          <w:szCs w:val="20"/>
        </w:rPr>
        <w:t>Deka</w:t>
      </w:r>
      <w:proofErr w:type="spellEnd"/>
      <w:r w:rsidR="00B065FA">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r w:rsidR="00AE78FA" w:rsidRPr="00E51936">
        <w:rPr>
          <w:rFonts w:ascii="Times New Roman" w:hAnsi="Times New Roman" w:cs="Times New Roman"/>
          <w:sz w:val="20"/>
          <w:szCs w:val="20"/>
        </w:rPr>
        <w:t>Pooja</w:t>
      </w:r>
      <w:proofErr w:type="spellEnd"/>
      <w:r w:rsidR="00AE78FA" w:rsidRPr="00E51936">
        <w:rPr>
          <w:rFonts w:ascii="Times New Roman" w:hAnsi="Times New Roman" w:cs="Times New Roman"/>
          <w:sz w:val="20"/>
          <w:szCs w:val="20"/>
        </w:rPr>
        <w:t xml:space="preserve"> </w:t>
      </w:r>
      <w:proofErr w:type="spellStart"/>
      <w:r w:rsidR="00AE78FA" w:rsidRPr="00E51936">
        <w:rPr>
          <w:rFonts w:ascii="Times New Roman" w:hAnsi="Times New Roman" w:cs="Times New Roman"/>
          <w:sz w:val="20"/>
          <w:szCs w:val="20"/>
        </w:rPr>
        <w:t>Lookur</w:t>
      </w:r>
      <w:proofErr w:type="spellEnd"/>
      <w:r w:rsidR="00B065FA">
        <w:rPr>
          <w:rFonts w:ascii="Times New Roman" w:hAnsi="Times New Roman" w:cs="Times New Roman"/>
          <w:sz w:val="20"/>
          <w:szCs w:val="20"/>
        </w:rPr>
        <w:t>,</w:t>
      </w:r>
      <w:r w:rsidR="007152E8" w:rsidRPr="00E51936">
        <w:rPr>
          <w:rFonts w:ascii="Times New Roman" w:hAnsi="Times New Roman" w:cs="Times New Roman"/>
          <w:sz w:val="20"/>
          <w:szCs w:val="20"/>
        </w:rPr>
        <w:br/>
      </w:r>
      <w:r w:rsidR="007152E8" w:rsidRPr="00E51936">
        <w:rPr>
          <w:rFonts w:ascii="Times New Roman" w:hAnsi="Times New Roman" w:cs="Times New Roman"/>
          <w:b/>
          <w:sz w:val="20"/>
          <w:szCs w:val="20"/>
        </w:rPr>
        <w:t>Data analysis and interpretation:</w:t>
      </w:r>
      <w:r w:rsidR="00E51936">
        <w:rPr>
          <w:rFonts w:ascii="Times New Roman" w:hAnsi="Times New Roman" w:cs="Times New Roman"/>
          <w:b/>
          <w:sz w:val="20"/>
          <w:szCs w:val="20"/>
        </w:rPr>
        <w:t xml:space="preserve"> </w:t>
      </w:r>
      <w:proofErr w:type="spellStart"/>
      <w:r w:rsidR="00E51936">
        <w:rPr>
          <w:rFonts w:ascii="Times New Roman" w:hAnsi="Times New Roman" w:cs="Times New Roman"/>
          <w:sz w:val="20"/>
          <w:szCs w:val="20"/>
        </w:rPr>
        <w:t>Dr.Niharika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Kutum</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r w:rsidR="007152E8" w:rsidRPr="00E51936">
        <w:rPr>
          <w:rFonts w:ascii="Times New Roman" w:hAnsi="Times New Roman" w:cs="Times New Roman"/>
          <w:sz w:val="20"/>
          <w:szCs w:val="20"/>
        </w:rPr>
        <w:t>Naba</w:t>
      </w:r>
      <w:proofErr w:type="spellEnd"/>
      <w:r w:rsidR="007152E8" w:rsidRPr="00E51936">
        <w:rPr>
          <w:rFonts w:ascii="Times New Roman" w:hAnsi="Times New Roman" w:cs="Times New Roman"/>
          <w:sz w:val="20"/>
          <w:szCs w:val="20"/>
        </w:rPr>
        <w:t xml:space="preserve"> </w:t>
      </w:r>
      <w:r w:rsidR="00E51936">
        <w:rPr>
          <w:rFonts w:ascii="Times New Roman" w:hAnsi="Times New Roman" w:cs="Times New Roman"/>
          <w:sz w:val="20"/>
          <w:szCs w:val="20"/>
        </w:rPr>
        <w:t xml:space="preserve">K. </w:t>
      </w:r>
      <w:proofErr w:type="spellStart"/>
      <w:r w:rsidR="007152E8" w:rsidRPr="00E51936">
        <w:rPr>
          <w:rFonts w:ascii="Times New Roman" w:hAnsi="Times New Roman" w:cs="Times New Roman"/>
          <w:sz w:val="20"/>
          <w:szCs w:val="20"/>
        </w:rPr>
        <w:t>Kalita</w:t>
      </w:r>
      <w:proofErr w:type="spellEnd"/>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r w:rsidR="00AE78FA" w:rsidRPr="00E51936">
        <w:rPr>
          <w:rFonts w:ascii="Times New Roman" w:hAnsi="Times New Roman" w:cs="Times New Roman"/>
          <w:sz w:val="20"/>
          <w:szCs w:val="20"/>
        </w:rPr>
        <w:t>Neelakshi</w:t>
      </w:r>
      <w:proofErr w:type="spellEnd"/>
      <w:r w:rsidR="00AE78FA" w:rsidRPr="00E51936">
        <w:rPr>
          <w:rFonts w:ascii="Times New Roman" w:hAnsi="Times New Roman" w:cs="Times New Roman"/>
          <w:sz w:val="20"/>
          <w:szCs w:val="20"/>
        </w:rPr>
        <w:t xml:space="preserve"> </w:t>
      </w:r>
      <w:proofErr w:type="spellStart"/>
      <w:r w:rsidR="00AE78FA" w:rsidRPr="00E51936">
        <w:rPr>
          <w:rFonts w:ascii="Times New Roman" w:hAnsi="Times New Roman" w:cs="Times New Roman"/>
          <w:sz w:val="20"/>
          <w:szCs w:val="20"/>
        </w:rPr>
        <w:t>Mahanta</w:t>
      </w:r>
      <w:proofErr w:type="spellEnd"/>
      <w:r w:rsidR="007152E8" w:rsidRPr="00E51936">
        <w:rPr>
          <w:rFonts w:ascii="Times New Roman" w:hAnsi="Times New Roman" w:cs="Times New Roman"/>
          <w:sz w:val="20"/>
          <w:szCs w:val="20"/>
        </w:rPr>
        <w:br/>
      </w:r>
      <w:r w:rsidR="007152E8" w:rsidRPr="00E51936">
        <w:rPr>
          <w:rFonts w:ascii="Times New Roman" w:hAnsi="Times New Roman" w:cs="Times New Roman"/>
          <w:b/>
          <w:sz w:val="20"/>
          <w:szCs w:val="20"/>
        </w:rPr>
        <w:t>Manuscript writing:</w:t>
      </w:r>
      <w:r w:rsidR="00E51936">
        <w:rPr>
          <w:rFonts w:ascii="Times New Roman" w:hAnsi="Times New Roman" w:cs="Times New Roman"/>
          <w:b/>
          <w:sz w:val="20"/>
          <w:szCs w:val="20"/>
        </w:rPr>
        <w:t xml:space="preserve"> </w:t>
      </w:r>
      <w:proofErr w:type="spellStart"/>
      <w:r w:rsidR="00E51936">
        <w:rPr>
          <w:rFonts w:ascii="Times New Roman" w:hAnsi="Times New Roman" w:cs="Times New Roman"/>
          <w:sz w:val="20"/>
          <w:szCs w:val="20"/>
        </w:rPr>
        <w:t>Dr.</w:t>
      </w:r>
      <w:r w:rsidR="007152E8" w:rsidRPr="00E51936">
        <w:rPr>
          <w:rFonts w:ascii="Times New Roman" w:hAnsi="Times New Roman" w:cs="Times New Roman"/>
          <w:sz w:val="20"/>
          <w:szCs w:val="20"/>
        </w:rPr>
        <w:t>Niharika</w:t>
      </w:r>
      <w:proofErr w:type="spellEnd"/>
      <w:r w:rsidR="007152E8" w:rsidRPr="00E51936">
        <w:rPr>
          <w:rFonts w:ascii="Times New Roman" w:hAnsi="Times New Roman" w:cs="Times New Roman"/>
          <w:sz w:val="20"/>
          <w:szCs w:val="20"/>
        </w:rPr>
        <w:t xml:space="preserve"> </w:t>
      </w:r>
      <w:proofErr w:type="spellStart"/>
      <w:r w:rsidR="007152E8" w:rsidRPr="00E51936">
        <w:rPr>
          <w:rFonts w:ascii="Times New Roman" w:hAnsi="Times New Roman" w:cs="Times New Roman"/>
          <w:sz w:val="20"/>
          <w:szCs w:val="20"/>
        </w:rPr>
        <w:t>Kutum</w:t>
      </w:r>
      <w:proofErr w:type="spellEnd"/>
      <w:r w:rsidR="007152E8" w:rsidRPr="00E51936">
        <w:rPr>
          <w:rFonts w:ascii="Times New Roman" w:hAnsi="Times New Roman" w:cs="Times New Roman"/>
          <w:sz w:val="20"/>
          <w:szCs w:val="20"/>
        </w:rPr>
        <w:br/>
      </w:r>
      <w:r w:rsidR="007152E8" w:rsidRPr="00E51936">
        <w:rPr>
          <w:rFonts w:ascii="Times New Roman" w:hAnsi="Times New Roman" w:cs="Times New Roman"/>
          <w:b/>
          <w:sz w:val="20"/>
          <w:szCs w:val="20"/>
        </w:rPr>
        <w:t>Fi</w:t>
      </w:r>
      <w:r w:rsidR="00E51936" w:rsidRPr="00E51936">
        <w:rPr>
          <w:rFonts w:ascii="Times New Roman" w:hAnsi="Times New Roman" w:cs="Times New Roman"/>
          <w:b/>
          <w:sz w:val="20"/>
          <w:szCs w:val="20"/>
        </w:rPr>
        <w:t>nal approval of Manuscript:</w:t>
      </w:r>
      <w:r w:rsidR="00E51936">
        <w:rPr>
          <w:rFonts w:ascii="Times New Roman" w:hAnsi="Times New Roman" w:cs="Times New Roman"/>
          <w:sz w:val="20"/>
          <w:szCs w:val="20"/>
        </w:rPr>
        <w:t xml:space="preserve"> </w:t>
      </w:r>
      <w:proofErr w:type="spellStart"/>
      <w:r w:rsidR="00E51936">
        <w:rPr>
          <w:rFonts w:ascii="Times New Roman" w:hAnsi="Times New Roman" w:cs="Times New Roman"/>
          <w:sz w:val="20"/>
          <w:szCs w:val="20"/>
        </w:rPr>
        <w:t>Dr.</w:t>
      </w:r>
      <w:r w:rsidR="007152E8" w:rsidRPr="00E51936">
        <w:rPr>
          <w:rFonts w:ascii="Times New Roman" w:hAnsi="Times New Roman" w:cs="Times New Roman"/>
          <w:sz w:val="20"/>
          <w:szCs w:val="20"/>
        </w:rPr>
        <w:t>Neelakshi</w:t>
      </w:r>
      <w:proofErr w:type="spellEnd"/>
      <w:r w:rsidR="007152E8" w:rsidRPr="00E51936">
        <w:rPr>
          <w:rFonts w:ascii="Times New Roman" w:hAnsi="Times New Roman" w:cs="Times New Roman"/>
          <w:sz w:val="20"/>
          <w:szCs w:val="20"/>
        </w:rPr>
        <w:t xml:space="preserve"> </w:t>
      </w:r>
      <w:proofErr w:type="spellStart"/>
      <w:r w:rsidR="007152E8" w:rsidRPr="00E51936">
        <w:rPr>
          <w:rFonts w:ascii="Times New Roman" w:hAnsi="Times New Roman" w:cs="Times New Roman"/>
          <w:sz w:val="20"/>
          <w:szCs w:val="20"/>
        </w:rPr>
        <w:t>Mahanta</w:t>
      </w:r>
      <w:proofErr w:type="spellEnd"/>
      <w:r w:rsidR="007152E8" w:rsidRPr="00E51936">
        <w:rPr>
          <w:rFonts w:ascii="Times New Roman" w:hAnsi="Times New Roman" w:cs="Times New Roman"/>
          <w:sz w:val="20"/>
          <w:szCs w:val="20"/>
        </w:rPr>
        <w:br/>
      </w:r>
      <w:r w:rsidRPr="00E51936">
        <w:rPr>
          <w:rFonts w:ascii="Times New Roman" w:hAnsi="Times New Roman" w:cs="Times New Roman"/>
          <w:sz w:val="20"/>
          <w:szCs w:val="20"/>
        </w:rPr>
        <w:br/>
      </w:r>
      <w:r w:rsidR="00B73E3B" w:rsidRPr="00906BDC">
        <w:rPr>
          <w:rFonts w:ascii="Times New Roman" w:hAnsi="Times New Roman" w:cs="Times New Roman"/>
          <w:b/>
          <w:sz w:val="28"/>
          <w:szCs w:val="28"/>
        </w:rPr>
        <w:t>References</w:t>
      </w:r>
      <w:r w:rsidR="00B73E3B">
        <w:rPr>
          <w:sz w:val="28"/>
          <w:szCs w:val="28"/>
        </w:rPr>
        <w:br/>
      </w:r>
      <w:r w:rsidR="00706ED0" w:rsidRPr="00906BDC">
        <w:rPr>
          <w:rFonts w:ascii="Times New Roman" w:hAnsi="Times New Roman" w:cs="Times New Roman"/>
          <w:sz w:val="20"/>
          <w:szCs w:val="20"/>
        </w:rPr>
        <w:t xml:space="preserve">1) </w:t>
      </w:r>
      <w:proofErr w:type="spellStart"/>
      <w:r w:rsidR="00706ED0" w:rsidRPr="00906BDC">
        <w:rPr>
          <w:rFonts w:ascii="Times New Roman" w:hAnsi="Times New Roman" w:cs="Times New Roman"/>
          <w:sz w:val="20"/>
          <w:szCs w:val="20"/>
        </w:rPr>
        <w:t>Hoesly</w:t>
      </w:r>
      <w:proofErr w:type="spellEnd"/>
      <w:r w:rsidR="00706ED0" w:rsidRPr="00906BDC">
        <w:rPr>
          <w:rFonts w:ascii="Times New Roman" w:hAnsi="Times New Roman" w:cs="Times New Roman"/>
          <w:sz w:val="20"/>
          <w:szCs w:val="20"/>
        </w:rPr>
        <w:t xml:space="preserve"> FJ, Baker SG, </w:t>
      </w:r>
      <w:proofErr w:type="spellStart"/>
      <w:r w:rsidR="00706ED0" w:rsidRPr="00906BDC">
        <w:rPr>
          <w:rFonts w:ascii="Times New Roman" w:hAnsi="Times New Roman" w:cs="Times New Roman"/>
          <w:sz w:val="20"/>
          <w:szCs w:val="20"/>
        </w:rPr>
        <w:t>Gunawardane</w:t>
      </w:r>
      <w:proofErr w:type="spellEnd"/>
      <w:r w:rsidR="00706ED0" w:rsidRPr="00906BDC">
        <w:rPr>
          <w:rFonts w:ascii="Times New Roman" w:hAnsi="Times New Roman" w:cs="Times New Roman"/>
          <w:sz w:val="20"/>
          <w:szCs w:val="20"/>
        </w:rPr>
        <w:t xml:space="preserve"> ND, </w:t>
      </w:r>
      <w:proofErr w:type="spellStart"/>
      <w:r w:rsidR="00706ED0" w:rsidRPr="00906BDC">
        <w:rPr>
          <w:rFonts w:ascii="Times New Roman" w:hAnsi="Times New Roman" w:cs="Times New Roman"/>
          <w:sz w:val="20"/>
          <w:szCs w:val="20"/>
        </w:rPr>
        <w:t>Cotliar</w:t>
      </w:r>
      <w:proofErr w:type="spellEnd"/>
      <w:r w:rsidR="00706ED0" w:rsidRPr="00906BDC">
        <w:rPr>
          <w:rFonts w:ascii="Times New Roman" w:hAnsi="Times New Roman" w:cs="Times New Roman"/>
          <w:sz w:val="20"/>
          <w:szCs w:val="20"/>
        </w:rPr>
        <w:t xml:space="preserve"> JA. </w:t>
      </w:r>
      <w:proofErr w:type="spellStart"/>
      <w:r w:rsidR="00706ED0" w:rsidRPr="00906BDC">
        <w:rPr>
          <w:rFonts w:ascii="Times New Roman" w:hAnsi="Times New Roman" w:cs="Times New Roman"/>
          <w:sz w:val="20"/>
          <w:szCs w:val="20"/>
        </w:rPr>
        <w:t>Capecitabine</w:t>
      </w:r>
      <w:proofErr w:type="spellEnd"/>
      <w:r w:rsidR="00706ED0" w:rsidRPr="00906BDC">
        <w:rPr>
          <w:rFonts w:ascii="Times New Roman" w:hAnsi="Times New Roman" w:cs="Times New Roman"/>
          <w:sz w:val="20"/>
          <w:szCs w:val="20"/>
        </w:rPr>
        <w:t xml:space="preserve">-Induced Hand-Foot Syndrome Complicated by </w:t>
      </w:r>
      <w:proofErr w:type="spellStart"/>
      <w:r w:rsidR="00706ED0" w:rsidRPr="00906BDC">
        <w:rPr>
          <w:rFonts w:ascii="Times New Roman" w:hAnsi="Times New Roman" w:cs="Times New Roman"/>
          <w:sz w:val="20"/>
          <w:szCs w:val="20"/>
        </w:rPr>
        <w:t>Pseudomonal</w:t>
      </w:r>
      <w:proofErr w:type="spellEnd"/>
      <w:r w:rsidR="00706ED0" w:rsidRPr="00906BDC">
        <w:rPr>
          <w:rFonts w:ascii="Times New Roman" w:hAnsi="Times New Roman" w:cs="Times New Roman"/>
          <w:sz w:val="20"/>
          <w:szCs w:val="20"/>
        </w:rPr>
        <w:t xml:space="preserve"> </w:t>
      </w:r>
      <w:proofErr w:type="spellStart"/>
      <w:r w:rsidR="00706ED0" w:rsidRPr="00906BDC">
        <w:rPr>
          <w:rFonts w:ascii="Times New Roman" w:hAnsi="Times New Roman" w:cs="Times New Roman"/>
          <w:sz w:val="20"/>
          <w:szCs w:val="20"/>
        </w:rPr>
        <w:t>Superinfection</w:t>
      </w:r>
      <w:proofErr w:type="spellEnd"/>
      <w:r w:rsidR="00706ED0" w:rsidRPr="00906BDC">
        <w:rPr>
          <w:rFonts w:ascii="Times New Roman" w:hAnsi="Times New Roman" w:cs="Times New Roman"/>
          <w:sz w:val="20"/>
          <w:szCs w:val="20"/>
        </w:rPr>
        <w:t xml:space="preserve"> Resulting in Bacterial Sepsis and Death: Case Report and Review of the Literature. </w:t>
      </w:r>
      <w:proofErr w:type="gramStart"/>
      <w:r w:rsidR="00706ED0" w:rsidRPr="00906BDC">
        <w:rPr>
          <w:rFonts w:ascii="Times New Roman" w:hAnsi="Times New Roman" w:cs="Times New Roman"/>
          <w:sz w:val="20"/>
          <w:szCs w:val="20"/>
        </w:rPr>
        <w:t xml:space="preserve">Arch </w:t>
      </w:r>
      <w:proofErr w:type="spellStart"/>
      <w:r w:rsidR="00706ED0" w:rsidRPr="00906BDC">
        <w:rPr>
          <w:rFonts w:ascii="Times New Roman" w:hAnsi="Times New Roman" w:cs="Times New Roman"/>
          <w:sz w:val="20"/>
          <w:szCs w:val="20"/>
        </w:rPr>
        <w:t>Der</w:t>
      </w:r>
      <w:r w:rsidR="008D04BE" w:rsidRPr="00906BDC">
        <w:rPr>
          <w:rFonts w:ascii="Times New Roman" w:hAnsi="Times New Roman" w:cs="Times New Roman"/>
          <w:sz w:val="20"/>
          <w:szCs w:val="20"/>
        </w:rPr>
        <w:t>matol</w:t>
      </w:r>
      <w:proofErr w:type="spellEnd"/>
      <w:r w:rsidR="008D04BE" w:rsidRPr="00906BDC">
        <w:rPr>
          <w:rFonts w:ascii="Times New Roman" w:hAnsi="Times New Roman" w:cs="Times New Roman"/>
          <w:sz w:val="20"/>
          <w:szCs w:val="20"/>
        </w:rPr>
        <w:t>.</w:t>
      </w:r>
      <w:proofErr w:type="gramEnd"/>
      <w:r w:rsidR="008D04BE" w:rsidRPr="00906BDC">
        <w:rPr>
          <w:rFonts w:ascii="Times New Roman" w:hAnsi="Times New Roman" w:cs="Times New Roman"/>
          <w:sz w:val="20"/>
          <w:szCs w:val="20"/>
        </w:rPr>
        <w:t xml:space="preserve"> 2011</w:t>
      </w:r>
      <w:proofErr w:type="gramStart"/>
      <w:r w:rsidR="008D04BE" w:rsidRPr="00906BDC">
        <w:rPr>
          <w:rFonts w:ascii="Times New Roman" w:hAnsi="Times New Roman" w:cs="Times New Roman"/>
          <w:sz w:val="20"/>
          <w:szCs w:val="20"/>
        </w:rPr>
        <w:t>;147</w:t>
      </w:r>
      <w:proofErr w:type="gramEnd"/>
      <w:r w:rsidR="008D04BE" w:rsidRPr="00906BDC">
        <w:rPr>
          <w:rFonts w:ascii="Times New Roman" w:hAnsi="Times New Roman" w:cs="Times New Roman"/>
          <w:sz w:val="20"/>
          <w:szCs w:val="20"/>
        </w:rPr>
        <w:t xml:space="preserve">(12):1418–1423. </w:t>
      </w:r>
      <w:r w:rsidR="00671D4C" w:rsidRPr="00906BDC">
        <w:rPr>
          <w:rFonts w:ascii="Times New Roman" w:hAnsi="Times New Roman" w:cs="Times New Roman"/>
          <w:sz w:val="20"/>
          <w:szCs w:val="20"/>
        </w:rPr>
        <w:br/>
      </w:r>
      <w:r w:rsidR="00291ABB" w:rsidRPr="00906BDC">
        <w:rPr>
          <w:rFonts w:ascii="Times New Roman" w:hAnsi="Times New Roman" w:cs="Times New Roman"/>
          <w:sz w:val="20"/>
          <w:szCs w:val="20"/>
        </w:rPr>
        <w:br/>
      </w:r>
      <w:proofErr w:type="gramStart"/>
      <w:r w:rsidR="007C29A9" w:rsidRPr="00906BDC">
        <w:rPr>
          <w:rFonts w:ascii="Times New Roman" w:hAnsi="Times New Roman" w:cs="Times New Roman"/>
          <w:sz w:val="20"/>
          <w:szCs w:val="20"/>
        </w:rPr>
        <w:t>2)</w:t>
      </w:r>
      <w:proofErr w:type="spellStart"/>
      <w:r w:rsidR="007C29A9" w:rsidRPr="00906BDC">
        <w:rPr>
          <w:rFonts w:ascii="Times New Roman" w:hAnsi="Times New Roman" w:cs="Times New Roman"/>
          <w:sz w:val="20"/>
          <w:szCs w:val="20"/>
        </w:rPr>
        <w:t>Samer</w:t>
      </w:r>
      <w:proofErr w:type="spellEnd"/>
      <w:proofErr w:type="gramEnd"/>
      <w:r w:rsidR="007C29A9" w:rsidRPr="00906BDC">
        <w:rPr>
          <w:rFonts w:ascii="Times New Roman" w:hAnsi="Times New Roman" w:cs="Times New Roman"/>
          <w:sz w:val="20"/>
          <w:szCs w:val="20"/>
        </w:rPr>
        <w:t xml:space="preserve"> </w:t>
      </w:r>
      <w:proofErr w:type="spellStart"/>
      <w:r w:rsidR="007C29A9" w:rsidRPr="00906BDC">
        <w:rPr>
          <w:rFonts w:ascii="Times New Roman" w:hAnsi="Times New Roman" w:cs="Times New Roman"/>
          <w:sz w:val="20"/>
          <w:szCs w:val="20"/>
        </w:rPr>
        <w:t>Abushullaih</w:t>
      </w:r>
      <w:proofErr w:type="spellEnd"/>
      <w:r w:rsidR="007C29A9" w:rsidRPr="00906BDC">
        <w:rPr>
          <w:rFonts w:ascii="Times New Roman" w:hAnsi="Times New Roman" w:cs="Times New Roman"/>
          <w:sz w:val="20"/>
          <w:szCs w:val="20"/>
        </w:rPr>
        <w:t xml:space="preserve">, </w:t>
      </w:r>
      <w:proofErr w:type="spellStart"/>
      <w:r w:rsidR="007C29A9" w:rsidRPr="00906BDC">
        <w:rPr>
          <w:rFonts w:ascii="Times New Roman" w:hAnsi="Times New Roman" w:cs="Times New Roman"/>
          <w:sz w:val="20"/>
          <w:szCs w:val="20"/>
        </w:rPr>
        <w:t>Everardo</w:t>
      </w:r>
      <w:proofErr w:type="spellEnd"/>
      <w:r w:rsidR="007C29A9" w:rsidRPr="00906BDC">
        <w:rPr>
          <w:rFonts w:ascii="Times New Roman" w:hAnsi="Times New Roman" w:cs="Times New Roman"/>
          <w:sz w:val="20"/>
          <w:szCs w:val="20"/>
        </w:rPr>
        <w:t xml:space="preserve"> D. </w:t>
      </w:r>
      <w:proofErr w:type="spellStart"/>
      <w:r w:rsidR="007C29A9" w:rsidRPr="00906BDC">
        <w:rPr>
          <w:rFonts w:ascii="Times New Roman" w:hAnsi="Times New Roman" w:cs="Times New Roman"/>
          <w:sz w:val="20"/>
          <w:szCs w:val="20"/>
        </w:rPr>
        <w:t>Saad</w:t>
      </w:r>
      <w:proofErr w:type="spellEnd"/>
      <w:r w:rsidR="007C29A9" w:rsidRPr="00906BDC">
        <w:rPr>
          <w:rFonts w:ascii="Times New Roman" w:hAnsi="Times New Roman" w:cs="Times New Roman"/>
          <w:sz w:val="20"/>
          <w:szCs w:val="20"/>
        </w:rPr>
        <w:t xml:space="preserve">, Mark </w:t>
      </w:r>
      <w:proofErr w:type="spellStart"/>
      <w:r w:rsidR="007C29A9" w:rsidRPr="00906BDC">
        <w:rPr>
          <w:rFonts w:ascii="Times New Roman" w:hAnsi="Times New Roman" w:cs="Times New Roman"/>
          <w:sz w:val="20"/>
          <w:szCs w:val="20"/>
        </w:rPr>
        <w:t>Munsell</w:t>
      </w:r>
      <w:proofErr w:type="spellEnd"/>
      <w:r w:rsidR="007C29A9" w:rsidRPr="00906BDC">
        <w:rPr>
          <w:rFonts w:ascii="Times New Roman" w:hAnsi="Times New Roman" w:cs="Times New Roman"/>
          <w:sz w:val="20"/>
          <w:szCs w:val="20"/>
        </w:rPr>
        <w:t xml:space="preserve"> &amp; Paulo M. Hoff (2002) Incidence and Severity of Hand–Foot Syndrome in Colorectal Cancer Patients Treated with </w:t>
      </w:r>
      <w:proofErr w:type="spellStart"/>
      <w:r w:rsidR="007C29A9" w:rsidRPr="00906BDC">
        <w:rPr>
          <w:rFonts w:ascii="Times New Roman" w:hAnsi="Times New Roman" w:cs="Times New Roman"/>
          <w:sz w:val="20"/>
          <w:szCs w:val="20"/>
        </w:rPr>
        <w:t>Capecitabine</w:t>
      </w:r>
      <w:proofErr w:type="spellEnd"/>
      <w:r w:rsidR="007C29A9" w:rsidRPr="00906BDC">
        <w:rPr>
          <w:rFonts w:ascii="Times New Roman" w:hAnsi="Times New Roman" w:cs="Times New Roman"/>
          <w:sz w:val="20"/>
          <w:szCs w:val="20"/>
        </w:rPr>
        <w:t xml:space="preserve">: A Single-Institution Experience, Cancer Investigation, 20:1, </w:t>
      </w:r>
      <w:r w:rsidR="008D04BE" w:rsidRPr="00906BDC">
        <w:rPr>
          <w:rFonts w:ascii="Times New Roman" w:hAnsi="Times New Roman" w:cs="Times New Roman"/>
          <w:sz w:val="20"/>
          <w:szCs w:val="20"/>
        </w:rPr>
        <w:t xml:space="preserve">3-10. </w:t>
      </w:r>
      <w:r w:rsidR="00F70498" w:rsidRPr="00906BDC">
        <w:rPr>
          <w:rFonts w:ascii="Times New Roman" w:hAnsi="Times New Roman" w:cs="Times New Roman"/>
          <w:sz w:val="20"/>
          <w:szCs w:val="20"/>
        </w:rPr>
        <w:br/>
      </w:r>
      <w:r w:rsidR="00291ABB" w:rsidRPr="00906BDC">
        <w:rPr>
          <w:rFonts w:ascii="Times New Roman" w:hAnsi="Times New Roman" w:cs="Times New Roman"/>
          <w:sz w:val="20"/>
          <w:szCs w:val="20"/>
        </w:rPr>
        <w:br/>
      </w:r>
      <w:proofErr w:type="gramStart"/>
      <w:r w:rsidR="00F70498" w:rsidRPr="00906BDC">
        <w:rPr>
          <w:rFonts w:ascii="Times New Roman" w:hAnsi="Times New Roman" w:cs="Times New Roman"/>
          <w:sz w:val="20"/>
          <w:szCs w:val="20"/>
        </w:rPr>
        <w:t>3)Muhammad</w:t>
      </w:r>
      <w:proofErr w:type="gramEnd"/>
      <w:r w:rsidR="00F70498" w:rsidRPr="00906BDC">
        <w:rPr>
          <w:rFonts w:ascii="Times New Roman" w:hAnsi="Times New Roman" w:cs="Times New Roman"/>
          <w:sz w:val="20"/>
          <w:szCs w:val="20"/>
        </w:rPr>
        <w:t xml:space="preserve"> </w:t>
      </w:r>
      <w:proofErr w:type="spellStart"/>
      <w:r w:rsidR="00F70498" w:rsidRPr="00906BDC">
        <w:rPr>
          <w:rFonts w:ascii="Times New Roman" w:hAnsi="Times New Roman" w:cs="Times New Roman"/>
          <w:sz w:val="20"/>
          <w:szCs w:val="20"/>
        </w:rPr>
        <w:t>Wasif</w:t>
      </w:r>
      <w:proofErr w:type="spellEnd"/>
      <w:r w:rsidR="00F70498" w:rsidRPr="00906BDC">
        <w:rPr>
          <w:rFonts w:ascii="Times New Roman" w:hAnsi="Times New Roman" w:cs="Times New Roman"/>
          <w:sz w:val="20"/>
          <w:szCs w:val="20"/>
        </w:rPr>
        <w:t xml:space="preserve"> </w:t>
      </w:r>
      <w:proofErr w:type="spellStart"/>
      <w:r w:rsidR="00F70498" w:rsidRPr="00906BDC">
        <w:rPr>
          <w:rFonts w:ascii="Times New Roman" w:hAnsi="Times New Roman" w:cs="Times New Roman"/>
          <w:sz w:val="20"/>
          <w:szCs w:val="20"/>
        </w:rPr>
        <w:t>Saif</w:t>
      </w:r>
      <w:proofErr w:type="spellEnd"/>
      <w:r w:rsidR="00F70498" w:rsidRPr="00906BDC">
        <w:rPr>
          <w:rFonts w:ascii="Times New Roman" w:hAnsi="Times New Roman" w:cs="Times New Roman"/>
          <w:sz w:val="20"/>
          <w:szCs w:val="20"/>
        </w:rPr>
        <w:t xml:space="preserve"> </w:t>
      </w:r>
      <w:proofErr w:type="spellStart"/>
      <w:r w:rsidR="00F70498" w:rsidRPr="00906BDC">
        <w:rPr>
          <w:rFonts w:ascii="Times New Roman" w:hAnsi="Times New Roman" w:cs="Times New Roman"/>
          <w:sz w:val="20"/>
          <w:szCs w:val="20"/>
        </w:rPr>
        <w:t>Capecitabine</w:t>
      </w:r>
      <w:proofErr w:type="spellEnd"/>
      <w:r w:rsidR="00F70498" w:rsidRPr="00906BDC">
        <w:rPr>
          <w:rFonts w:ascii="Times New Roman" w:hAnsi="Times New Roman" w:cs="Times New Roman"/>
          <w:sz w:val="20"/>
          <w:szCs w:val="20"/>
        </w:rPr>
        <w:t xml:space="preserve"> and hand–foot syndrome, Expert Opinion </w:t>
      </w:r>
      <w:r w:rsidR="008D04BE" w:rsidRPr="00906BDC">
        <w:rPr>
          <w:rFonts w:ascii="Times New Roman" w:hAnsi="Times New Roman" w:cs="Times New Roman"/>
          <w:sz w:val="20"/>
          <w:szCs w:val="20"/>
        </w:rPr>
        <w:t>on Drug Safety,</w:t>
      </w:r>
      <w:r w:rsidR="00B2768B" w:rsidRPr="00906BDC">
        <w:rPr>
          <w:rFonts w:ascii="Times New Roman" w:hAnsi="Times New Roman" w:cs="Times New Roman"/>
          <w:sz w:val="20"/>
          <w:szCs w:val="20"/>
        </w:rPr>
        <w:t xml:space="preserve"> (2011) volume</w:t>
      </w:r>
      <w:r w:rsidR="008D04BE" w:rsidRPr="00906BDC">
        <w:rPr>
          <w:rFonts w:ascii="Times New Roman" w:hAnsi="Times New Roman" w:cs="Times New Roman"/>
          <w:sz w:val="20"/>
          <w:szCs w:val="20"/>
        </w:rPr>
        <w:t xml:space="preserve"> 10:2, 159-169. </w:t>
      </w:r>
      <w:r w:rsidR="00645246" w:rsidRPr="00906BDC">
        <w:rPr>
          <w:rFonts w:ascii="Times New Roman" w:hAnsi="Times New Roman" w:cs="Times New Roman"/>
          <w:sz w:val="20"/>
          <w:szCs w:val="20"/>
        </w:rPr>
        <w:br/>
      </w:r>
      <w:r w:rsidR="00291ABB" w:rsidRPr="00906BDC">
        <w:rPr>
          <w:rFonts w:ascii="Times New Roman" w:hAnsi="Times New Roman" w:cs="Times New Roman"/>
          <w:sz w:val="20"/>
          <w:szCs w:val="20"/>
        </w:rPr>
        <w:br/>
      </w:r>
      <w:proofErr w:type="gramStart"/>
      <w:r w:rsidR="00645246" w:rsidRPr="00906BDC">
        <w:rPr>
          <w:rFonts w:ascii="Times New Roman" w:hAnsi="Times New Roman" w:cs="Times New Roman"/>
          <w:sz w:val="20"/>
          <w:szCs w:val="20"/>
        </w:rPr>
        <w:t>4)Lee</w:t>
      </w:r>
      <w:proofErr w:type="gramEnd"/>
      <w:r w:rsidR="00645246" w:rsidRPr="00906BDC">
        <w:rPr>
          <w:rFonts w:ascii="Times New Roman" w:hAnsi="Times New Roman" w:cs="Times New Roman"/>
          <w:sz w:val="20"/>
          <w:szCs w:val="20"/>
        </w:rPr>
        <w:t xml:space="preserve"> SD, Kim HJ, Hwang SJ, Kim YJ, Nam SH, Kim BS. Hand-foot syndrome with scleroderma-like change induced by the oral </w:t>
      </w:r>
      <w:proofErr w:type="spellStart"/>
      <w:r w:rsidR="00645246" w:rsidRPr="00906BDC">
        <w:rPr>
          <w:rFonts w:ascii="Times New Roman" w:hAnsi="Times New Roman" w:cs="Times New Roman"/>
          <w:sz w:val="20"/>
          <w:szCs w:val="20"/>
        </w:rPr>
        <w:t>capecitabine</w:t>
      </w:r>
      <w:proofErr w:type="spellEnd"/>
      <w:r w:rsidR="00645246" w:rsidRPr="00906BDC">
        <w:rPr>
          <w:rFonts w:ascii="Times New Roman" w:hAnsi="Times New Roman" w:cs="Times New Roman"/>
          <w:sz w:val="20"/>
          <w:szCs w:val="20"/>
        </w:rPr>
        <w:t>: a case report. Korean J Intern Med. 2007</w:t>
      </w:r>
      <w:proofErr w:type="gramStart"/>
      <w:r w:rsidR="00645246" w:rsidRPr="00906BDC">
        <w:rPr>
          <w:rFonts w:ascii="Times New Roman" w:hAnsi="Times New Roman" w:cs="Times New Roman"/>
          <w:sz w:val="20"/>
          <w:szCs w:val="20"/>
        </w:rPr>
        <w:t>;22</w:t>
      </w:r>
      <w:proofErr w:type="gramEnd"/>
      <w:r w:rsidR="00645246" w:rsidRPr="00906BDC">
        <w:rPr>
          <w:rFonts w:ascii="Times New Roman" w:hAnsi="Times New Roman" w:cs="Times New Roman"/>
          <w:sz w:val="20"/>
          <w:szCs w:val="20"/>
        </w:rPr>
        <w:t>(2):109–112</w:t>
      </w:r>
      <w:r w:rsidR="008D04BE" w:rsidRPr="00906BDC">
        <w:rPr>
          <w:rFonts w:ascii="Times New Roman" w:hAnsi="Times New Roman" w:cs="Times New Roman"/>
          <w:sz w:val="20"/>
          <w:szCs w:val="20"/>
        </w:rPr>
        <w:t xml:space="preserve">. </w:t>
      </w:r>
      <w:r w:rsidR="000C202C" w:rsidRPr="00906BDC">
        <w:rPr>
          <w:rFonts w:ascii="Times New Roman" w:hAnsi="Times New Roman" w:cs="Times New Roman"/>
          <w:sz w:val="20"/>
          <w:szCs w:val="20"/>
        </w:rPr>
        <w:br/>
      </w:r>
      <w:r w:rsidR="00291ABB" w:rsidRPr="00906BDC">
        <w:rPr>
          <w:rFonts w:ascii="Times New Roman" w:hAnsi="Times New Roman" w:cs="Times New Roman"/>
          <w:sz w:val="20"/>
          <w:szCs w:val="20"/>
        </w:rPr>
        <w:br/>
      </w:r>
      <w:r w:rsidR="000C202C" w:rsidRPr="00906BDC">
        <w:rPr>
          <w:rFonts w:ascii="Times New Roman" w:hAnsi="Times New Roman" w:cs="Times New Roman"/>
          <w:sz w:val="20"/>
          <w:szCs w:val="20"/>
        </w:rPr>
        <w:t xml:space="preserve">5)Yoon-Koo Kang, Sung </w:t>
      </w:r>
      <w:proofErr w:type="spellStart"/>
      <w:r w:rsidR="000C202C" w:rsidRPr="00906BDC">
        <w:rPr>
          <w:rFonts w:ascii="Times New Roman" w:hAnsi="Times New Roman" w:cs="Times New Roman"/>
          <w:sz w:val="20"/>
          <w:szCs w:val="20"/>
        </w:rPr>
        <w:t>Sook</w:t>
      </w:r>
      <w:proofErr w:type="spellEnd"/>
      <w:r w:rsidR="000C202C" w:rsidRPr="00906BDC">
        <w:rPr>
          <w:rFonts w:ascii="Times New Roman" w:hAnsi="Times New Roman" w:cs="Times New Roman"/>
          <w:sz w:val="20"/>
          <w:szCs w:val="20"/>
        </w:rPr>
        <w:t xml:space="preserve"> Lee, </w:t>
      </w:r>
      <w:proofErr w:type="spellStart"/>
      <w:r w:rsidR="000C202C" w:rsidRPr="00906BDC">
        <w:rPr>
          <w:rFonts w:ascii="Times New Roman" w:hAnsi="Times New Roman" w:cs="Times New Roman"/>
          <w:sz w:val="20"/>
          <w:szCs w:val="20"/>
        </w:rPr>
        <w:t>Dok</w:t>
      </w:r>
      <w:proofErr w:type="spellEnd"/>
      <w:r w:rsidR="000C202C" w:rsidRPr="00906BDC">
        <w:rPr>
          <w:rFonts w:ascii="Times New Roman" w:hAnsi="Times New Roman" w:cs="Times New Roman"/>
          <w:sz w:val="20"/>
          <w:szCs w:val="20"/>
        </w:rPr>
        <w:t xml:space="preserve"> Hyun Yoon, So Young Lee, Young </w:t>
      </w:r>
      <w:proofErr w:type="spellStart"/>
      <w:r w:rsidR="000C202C" w:rsidRPr="00906BDC">
        <w:rPr>
          <w:rFonts w:ascii="Times New Roman" w:hAnsi="Times New Roman" w:cs="Times New Roman"/>
          <w:sz w:val="20"/>
          <w:szCs w:val="20"/>
        </w:rPr>
        <w:t>Ju</w:t>
      </w:r>
      <w:proofErr w:type="spellEnd"/>
      <w:r w:rsidR="000C202C" w:rsidRPr="00906BDC">
        <w:rPr>
          <w:rFonts w:ascii="Times New Roman" w:hAnsi="Times New Roman" w:cs="Times New Roman"/>
          <w:sz w:val="20"/>
          <w:szCs w:val="20"/>
        </w:rPr>
        <w:t xml:space="preserve"> Chun, Min Sun Kim, Min-</w:t>
      </w:r>
      <w:proofErr w:type="spellStart"/>
      <w:r w:rsidR="000C202C" w:rsidRPr="00906BDC">
        <w:rPr>
          <w:rFonts w:ascii="Times New Roman" w:hAnsi="Times New Roman" w:cs="Times New Roman"/>
          <w:sz w:val="20"/>
          <w:szCs w:val="20"/>
        </w:rPr>
        <w:t>Hee</w:t>
      </w:r>
      <w:proofErr w:type="spellEnd"/>
      <w:r w:rsidR="000C202C" w:rsidRPr="00906BDC">
        <w:rPr>
          <w:rFonts w:ascii="Times New Roman" w:hAnsi="Times New Roman" w:cs="Times New Roman"/>
          <w:sz w:val="20"/>
          <w:szCs w:val="20"/>
        </w:rPr>
        <w:t xml:space="preserve"> </w:t>
      </w:r>
      <w:proofErr w:type="spellStart"/>
      <w:r w:rsidR="000C202C" w:rsidRPr="00906BDC">
        <w:rPr>
          <w:rFonts w:ascii="Times New Roman" w:hAnsi="Times New Roman" w:cs="Times New Roman"/>
          <w:sz w:val="20"/>
          <w:szCs w:val="20"/>
        </w:rPr>
        <w:t>Ryu</w:t>
      </w:r>
      <w:proofErr w:type="spellEnd"/>
      <w:r w:rsidR="000C202C" w:rsidRPr="00906BDC">
        <w:rPr>
          <w:rFonts w:ascii="Times New Roman" w:hAnsi="Times New Roman" w:cs="Times New Roman"/>
          <w:sz w:val="20"/>
          <w:szCs w:val="20"/>
        </w:rPr>
        <w:t>, Heung-Moon Chang, Jae-</w:t>
      </w:r>
      <w:proofErr w:type="spellStart"/>
      <w:r w:rsidR="000C202C" w:rsidRPr="00906BDC">
        <w:rPr>
          <w:rFonts w:ascii="Times New Roman" w:hAnsi="Times New Roman" w:cs="Times New Roman"/>
          <w:sz w:val="20"/>
          <w:szCs w:val="20"/>
        </w:rPr>
        <w:t>Lyun</w:t>
      </w:r>
      <w:proofErr w:type="spellEnd"/>
      <w:r w:rsidR="000C202C" w:rsidRPr="00906BDC">
        <w:rPr>
          <w:rFonts w:ascii="Times New Roman" w:hAnsi="Times New Roman" w:cs="Times New Roman"/>
          <w:sz w:val="20"/>
          <w:szCs w:val="20"/>
        </w:rPr>
        <w:t xml:space="preserve"> Lee, and Tae Won Kim. Pyridoxine Is Not Effective to Prevent Hand-Foot </w:t>
      </w:r>
      <w:r w:rsidR="000C202C" w:rsidRPr="00906BDC">
        <w:rPr>
          <w:rFonts w:ascii="Times New Roman" w:hAnsi="Times New Roman" w:cs="Times New Roman"/>
          <w:sz w:val="20"/>
          <w:szCs w:val="20"/>
        </w:rPr>
        <w:lastRenderedPageBreak/>
        <w:t xml:space="preserve">Syndrome Associated With </w:t>
      </w:r>
      <w:proofErr w:type="spellStart"/>
      <w:r w:rsidR="000C202C" w:rsidRPr="00906BDC">
        <w:rPr>
          <w:rFonts w:ascii="Times New Roman" w:hAnsi="Times New Roman" w:cs="Times New Roman"/>
          <w:sz w:val="20"/>
          <w:szCs w:val="20"/>
        </w:rPr>
        <w:t>Capecitabine</w:t>
      </w:r>
      <w:proofErr w:type="spellEnd"/>
      <w:r w:rsidR="000C202C" w:rsidRPr="00906BDC">
        <w:rPr>
          <w:rFonts w:ascii="Times New Roman" w:hAnsi="Times New Roman" w:cs="Times New Roman"/>
          <w:sz w:val="20"/>
          <w:szCs w:val="20"/>
        </w:rPr>
        <w:t xml:space="preserve"> Therapy: Results of a Randomized, Double-Blind, Placebo-Controlled Study. </w:t>
      </w:r>
      <w:proofErr w:type="gramStart"/>
      <w:r w:rsidR="000C202C" w:rsidRPr="00906BDC">
        <w:rPr>
          <w:rFonts w:ascii="Times New Roman" w:hAnsi="Times New Roman" w:cs="Times New Roman"/>
          <w:sz w:val="20"/>
          <w:szCs w:val="20"/>
        </w:rPr>
        <w:t>Journal of Clinical Oncology 2010 28:24, 3824-3829</w:t>
      </w:r>
      <w:r w:rsidR="00FE477C" w:rsidRPr="00906BDC">
        <w:rPr>
          <w:rFonts w:ascii="Times New Roman" w:hAnsi="Times New Roman" w:cs="Times New Roman"/>
          <w:sz w:val="20"/>
          <w:szCs w:val="20"/>
        </w:rPr>
        <w:t>.</w:t>
      </w:r>
      <w:proofErr w:type="gramEnd"/>
      <w:r w:rsidR="00806D57" w:rsidRPr="00906BDC">
        <w:rPr>
          <w:rFonts w:ascii="Times New Roman" w:hAnsi="Times New Roman" w:cs="Times New Roman"/>
          <w:sz w:val="20"/>
          <w:szCs w:val="20"/>
        </w:rPr>
        <w:br/>
      </w:r>
      <w:r w:rsidR="00291ABB" w:rsidRPr="00906BDC">
        <w:rPr>
          <w:rFonts w:ascii="Times New Roman" w:hAnsi="Times New Roman" w:cs="Times New Roman"/>
          <w:sz w:val="20"/>
          <w:szCs w:val="20"/>
        </w:rPr>
        <w:br/>
      </w:r>
      <w:r w:rsidR="00806D57" w:rsidRPr="00906BDC">
        <w:rPr>
          <w:rFonts w:ascii="Times New Roman" w:hAnsi="Times New Roman" w:cs="Times New Roman"/>
          <w:sz w:val="20"/>
          <w:szCs w:val="20"/>
        </w:rPr>
        <w:t xml:space="preserve">6) Yap YS, Kwok LL, </w:t>
      </w:r>
      <w:proofErr w:type="spellStart"/>
      <w:r w:rsidR="00806D57" w:rsidRPr="00906BDC">
        <w:rPr>
          <w:rFonts w:ascii="Times New Roman" w:hAnsi="Times New Roman" w:cs="Times New Roman"/>
          <w:sz w:val="20"/>
          <w:szCs w:val="20"/>
        </w:rPr>
        <w:t>Syn</w:t>
      </w:r>
      <w:proofErr w:type="spellEnd"/>
      <w:r w:rsidR="00806D57" w:rsidRPr="00906BDC">
        <w:rPr>
          <w:rFonts w:ascii="Times New Roman" w:hAnsi="Times New Roman" w:cs="Times New Roman"/>
          <w:sz w:val="20"/>
          <w:szCs w:val="20"/>
        </w:rPr>
        <w:t xml:space="preserve"> N, et al. Predictors of Hand-Foot Syndrome and Pyridoxine for Prevention of </w:t>
      </w:r>
      <w:proofErr w:type="spellStart"/>
      <w:r w:rsidR="00806D57" w:rsidRPr="00906BDC">
        <w:rPr>
          <w:rFonts w:ascii="Times New Roman" w:hAnsi="Times New Roman" w:cs="Times New Roman"/>
          <w:sz w:val="20"/>
          <w:szCs w:val="20"/>
        </w:rPr>
        <w:t>Capecitabine</w:t>
      </w:r>
      <w:proofErr w:type="spellEnd"/>
      <w:r w:rsidR="00806D57" w:rsidRPr="00906BDC">
        <w:rPr>
          <w:rFonts w:ascii="Times New Roman" w:hAnsi="Times New Roman" w:cs="Times New Roman"/>
          <w:sz w:val="20"/>
          <w:szCs w:val="20"/>
        </w:rPr>
        <w:t xml:space="preserve">-Induced Hand-Foot Syndrome: A Randomized Clinical Trial. </w:t>
      </w:r>
      <w:proofErr w:type="gramStart"/>
      <w:r w:rsidR="00806D57" w:rsidRPr="00906BDC">
        <w:rPr>
          <w:rFonts w:ascii="Times New Roman" w:hAnsi="Times New Roman" w:cs="Times New Roman"/>
          <w:sz w:val="20"/>
          <w:szCs w:val="20"/>
        </w:rPr>
        <w:t xml:space="preserve">JAMA </w:t>
      </w:r>
      <w:proofErr w:type="spellStart"/>
      <w:r w:rsidR="00806D57" w:rsidRPr="00906BDC">
        <w:rPr>
          <w:rFonts w:ascii="Times New Roman" w:hAnsi="Times New Roman" w:cs="Times New Roman"/>
          <w:sz w:val="20"/>
          <w:szCs w:val="20"/>
        </w:rPr>
        <w:t>Oncol</w:t>
      </w:r>
      <w:proofErr w:type="spellEnd"/>
      <w:r w:rsidR="00806D57" w:rsidRPr="00906BDC">
        <w:rPr>
          <w:rFonts w:ascii="Times New Roman" w:hAnsi="Times New Roman" w:cs="Times New Roman"/>
          <w:sz w:val="20"/>
          <w:szCs w:val="20"/>
        </w:rPr>
        <w:t>.</w:t>
      </w:r>
      <w:proofErr w:type="gramEnd"/>
      <w:r w:rsidR="00806D57" w:rsidRPr="00906BDC">
        <w:rPr>
          <w:rFonts w:ascii="Times New Roman" w:hAnsi="Times New Roman" w:cs="Times New Roman"/>
          <w:sz w:val="20"/>
          <w:szCs w:val="20"/>
        </w:rPr>
        <w:t xml:space="preserve"> 2017</w:t>
      </w:r>
      <w:proofErr w:type="gramStart"/>
      <w:r w:rsidR="00806D57" w:rsidRPr="00906BDC">
        <w:rPr>
          <w:rFonts w:ascii="Times New Roman" w:hAnsi="Times New Roman" w:cs="Times New Roman"/>
          <w:sz w:val="20"/>
          <w:szCs w:val="20"/>
        </w:rPr>
        <w:t>;3</w:t>
      </w:r>
      <w:proofErr w:type="gramEnd"/>
      <w:r w:rsidR="00806D57" w:rsidRPr="00906BDC">
        <w:rPr>
          <w:rFonts w:ascii="Times New Roman" w:hAnsi="Times New Roman" w:cs="Times New Roman"/>
          <w:sz w:val="20"/>
          <w:szCs w:val="20"/>
        </w:rPr>
        <w:t>(11):1538–1545.</w:t>
      </w:r>
      <w:r w:rsidR="008D04BE" w:rsidRPr="00906BDC">
        <w:rPr>
          <w:rFonts w:ascii="Times New Roman" w:hAnsi="Times New Roman" w:cs="Times New Roman"/>
          <w:sz w:val="20"/>
          <w:szCs w:val="20"/>
        </w:rPr>
        <w:t xml:space="preserve"> </w:t>
      </w:r>
    </w:p>
    <w:p w:rsidR="002A4C26" w:rsidRPr="00906BDC" w:rsidRDefault="00C507B3" w:rsidP="002A4C26">
      <w:pPr>
        <w:shd w:val="clear" w:color="auto" w:fill="FFFFFF"/>
        <w:spacing w:line="348" w:lineRule="atLeast"/>
        <w:rPr>
          <w:rFonts w:ascii="Times New Roman" w:hAnsi="Times New Roman" w:cs="Times New Roman"/>
          <w:sz w:val="20"/>
          <w:szCs w:val="20"/>
        </w:rPr>
      </w:pPr>
      <w:r w:rsidRPr="00906BDC">
        <w:rPr>
          <w:rFonts w:ascii="Times New Roman" w:hAnsi="Times New Roman" w:cs="Times New Roman"/>
          <w:sz w:val="20"/>
          <w:szCs w:val="20"/>
        </w:rPr>
        <w:t xml:space="preserve">7) Hiroshi </w:t>
      </w:r>
      <w:proofErr w:type="gramStart"/>
      <w:r w:rsidRPr="00906BDC">
        <w:rPr>
          <w:rFonts w:ascii="Times New Roman" w:hAnsi="Times New Roman" w:cs="Times New Roman"/>
          <w:sz w:val="20"/>
          <w:szCs w:val="20"/>
        </w:rPr>
        <w:t>Matsuoka ,</w:t>
      </w:r>
      <w:proofErr w:type="gramEnd"/>
      <w:r w:rsidRPr="00906BDC">
        <w:rPr>
          <w:rFonts w:ascii="Times New Roman" w:hAnsi="Times New Roman" w:cs="Times New Roman"/>
          <w:sz w:val="20"/>
          <w:szCs w:val="20"/>
        </w:rPr>
        <w:t xml:space="preserve"> Yoko </w:t>
      </w:r>
      <w:proofErr w:type="spellStart"/>
      <w:r w:rsidRPr="00906BDC">
        <w:rPr>
          <w:rFonts w:ascii="Times New Roman" w:hAnsi="Times New Roman" w:cs="Times New Roman"/>
          <w:sz w:val="20"/>
          <w:szCs w:val="20"/>
        </w:rPr>
        <w:t>Katagata</w:t>
      </w:r>
      <w:proofErr w:type="spellEnd"/>
      <w:r w:rsidRPr="00906BDC">
        <w:rPr>
          <w:rFonts w:ascii="Times New Roman" w:hAnsi="Times New Roman" w:cs="Times New Roman"/>
          <w:sz w:val="20"/>
          <w:szCs w:val="20"/>
        </w:rPr>
        <w:t xml:space="preserve">, Hideki </w:t>
      </w:r>
      <w:proofErr w:type="spellStart"/>
      <w:r w:rsidRPr="00906BDC">
        <w:rPr>
          <w:rFonts w:ascii="Times New Roman" w:hAnsi="Times New Roman" w:cs="Times New Roman"/>
          <w:sz w:val="20"/>
          <w:szCs w:val="20"/>
        </w:rPr>
        <w:t>Ohta</w:t>
      </w:r>
      <w:proofErr w:type="spellEnd"/>
      <w:r w:rsidRPr="00906BDC">
        <w:rPr>
          <w:rFonts w:ascii="Times New Roman" w:hAnsi="Times New Roman" w:cs="Times New Roman"/>
          <w:sz w:val="20"/>
          <w:szCs w:val="20"/>
        </w:rPr>
        <w:t xml:space="preserve">, </w:t>
      </w:r>
      <w:proofErr w:type="spellStart"/>
      <w:r w:rsidRPr="00906BDC">
        <w:rPr>
          <w:rFonts w:ascii="Times New Roman" w:hAnsi="Times New Roman" w:cs="Times New Roman"/>
          <w:sz w:val="20"/>
          <w:szCs w:val="20"/>
        </w:rPr>
        <w:t>Koutarou</w:t>
      </w:r>
      <w:proofErr w:type="spellEnd"/>
      <w:r w:rsidRPr="00906BDC">
        <w:rPr>
          <w:rFonts w:ascii="Times New Roman" w:hAnsi="Times New Roman" w:cs="Times New Roman"/>
          <w:sz w:val="20"/>
          <w:szCs w:val="20"/>
        </w:rPr>
        <w:t xml:space="preserve"> Maeda. Multidisciplinary approach to the management of </w:t>
      </w:r>
      <w:proofErr w:type="spellStart"/>
      <w:r w:rsidRPr="00906BDC">
        <w:rPr>
          <w:rFonts w:ascii="Times New Roman" w:hAnsi="Times New Roman" w:cs="Times New Roman"/>
          <w:sz w:val="20"/>
          <w:szCs w:val="20"/>
        </w:rPr>
        <w:t>capecitabine</w:t>
      </w:r>
      <w:proofErr w:type="spellEnd"/>
      <w:r w:rsidRPr="00906BDC">
        <w:rPr>
          <w:rFonts w:ascii="Times New Roman" w:hAnsi="Times New Roman" w:cs="Times New Roman"/>
          <w:sz w:val="20"/>
          <w:szCs w:val="20"/>
        </w:rPr>
        <w:t xml:space="preserve"> associated hand foot syndrome in cancer patients receiving </w:t>
      </w:r>
      <w:proofErr w:type="spellStart"/>
      <w:r w:rsidRPr="00906BDC">
        <w:rPr>
          <w:rFonts w:ascii="Times New Roman" w:hAnsi="Times New Roman" w:cs="Times New Roman"/>
          <w:sz w:val="20"/>
          <w:szCs w:val="20"/>
        </w:rPr>
        <w:t>capecitabine</w:t>
      </w:r>
      <w:proofErr w:type="spellEnd"/>
      <w:r w:rsidRPr="00906BDC">
        <w:rPr>
          <w:rFonts w:ascii="Times New Roman" w:hAnsi="Times New Roman" w:cs="Times New Roman"/>
          <w:sz w:val="20"/>
          <w:szCs w:val="20"/>
        </w:rPr>
        <w:t xml:space="preserve"> plus </w:t>
      </w:r>
      <w:proofErr w:type="spellStart"/>
      <w:r w:rsidRPr="00906BDC">
        <w:rPr>
          <w:rFonts w:ascii="Times New Roman" w:hAnsi="Times New Roman" w:cs="Times New Roman"/>
          <w:sz w:val="20"/>
          <w:szCs w:val="20"/>
        </w:rPr>
        <w:t>oxaliplatin</w:t>
      </w:r>
      <w:proofErr w:type="spellEnd"/>
      <w:r w:rsidRPr="00906BDC">
        <w:rPr>
          <w:rFonts w:ascii="Times New Roman" w:hAnsi="Times New Roman" w:cs="Times New Roman"/>
          <w:sz w:val="20"/>
          <w:szCs w:val="20"/>
        </w:rPr>
        <w:t xml:space="preserve"> and </w:t>
      </w:r>
      <w:proofErr w:type="spellStart"/>
      <w:r w:rsidRPr="00906BDC">
        <w:rPr>
          <w:rFonts w:ascii="Times New Roman" w:hAnsi="Times New Roman" w:cs="Times New Roman"/>
          <w:sz w:val="20"/>
          <w:szCs w:val="20"/>
        </w:rPr>
        <w:t>bevacizumab</w:t>
      </w:r>
      <w:proofErr w:type="spellEnd"/>
      <w:r w:rsidRPr="00906BDC">
        <w:rPr>
          <w:rFonts w:ascii="Times New Roman" w:hAnsi="Times New Roman" w:cs="Times New Roman"/>
          <w:sz w:val="20"/>
          <w:szCs w:val="20"/>
        </w:rPr>
        <w:t xml:space="preserve"> for advanced colorectal cancer. Fujita Medical Journal 2017 Volume 3 Issue 1: 1-5.</w:t>
      </w:r>
      <w:r w:rsidR="001536CD" w:rsidRPr="00906BDC">
        <w:rPr>
          <w:rFonts w:ascii="Times New Roman" w:hAnsi="Times New Roman" w:cs="Times New Roman"/>
          <w:sz w:val="20"/>
          <w:szCs w:val="20"/>
        </w:rPr>
        <w:br/>
      </w:r>
      <w:r w:rsidR="00842812" w:rsidRPr="00906BDC">
        <w:rPr>
          <w:rFonts w:ascii="Times New Roman" w:hAnsi="Times New Roman" w:cs="Times New Roman"/>
          <w:sz w:val="20"/>
          <w:szCs w:val="20"/>
        </w:rPr>
        <w:br/>
        <w:t xml:space="preserve">8) </w:t>
      </w:r>
      <w:proofErr w:type="spellStart"/>
      <w:r w:rsidR="00842812" w:rsidRPr="00906BDC">
        <w:rPr>
          <w:rFonts w:ascii="Times New Roman" w:hAnsi="Times New Roman" w:cs="Times New Roman"/>
          <w:sz w:val="20"/>
          <w:szCs w:val="20"/>
        </w:rPr>
        <w:t>Yuichiro</w:t>
      </w:r>
      <w:proofErr w:type="spellEnd"/>
      <w:r w:rsidR="00842812" w:rsidRPr="00906BDC">
        <w:rPr>
          <w:rFonts w:ascii="Times New Roman" w:hAnsi="Times New Roman" w:cs="Times New Roman"/>
          <w:sz w:val="20"/>
          <w:szCs w:val="20"/>
        </w:rPr>
        <w:t xml:space="preserve"> Azuma</w:t>
      </w:r>
      <w:r w:rsidR="003E7548" w:rsidRPr="00906BDC">
        <w:rPr>
          <w:rFonts w:ascii="Times New Roman" w:hAnsi="Times New Roman" w:cs="Times New Roman"/>
          <w:sz w:val="20"/>
          <w:szCs w:val="20"/>
        </w:rPr>
        <w:t>,</w:t>
      </w:r>
      <w:r w:rsidR="00842812" w:rsidRPr="00906BDC">
        <w:rPr>
          <w:rFonts w:ascii="Times New Roman" w:hAnsi="Times New Roman" w:cs="Times New Roman"/>
          <w:sz w:val="20"/>
          <w:szCs w:val="20"/>
        </w:rPr>
        <w:t xml:space="preserve"> </w:t>
      </w:r>
      <w:proofErr w:type="spellStart"/>
      <w:r w:rsidR="00842812" w:rsidRPr="00906BDC">
        <w:rPr>
          <w:rFonts w:ascii="Times New Roman" w:hAnsi="Times New Roman" w:cs="Times New Roman"/>
          <w:sz w:val="20"/>
          <w:szCs w:val="20"/>
        </w:rPr>
        <w:t>Kojiro</w:t>
      </w:r>
      <w:proofErr w:type="spellEnd"/>
      <w:r w:rsidR="00842812" w:rsidRPr="00906BDC">
        <w:rPr>
          <w:rFonts w:ascii="Times New Roman" w:hAnsi="Times New Roman" w:cs="Times New Roman"/>
          <w:sz w:val="20"/>
          <w:szCs w:val="20"/>
        </w:rPr>
        <w:t xml:space="preserve"> </w:t>
      </w:r>
      <w:proofErr w:type="spellStart"/>
      <w:r w:rsidR="00842812" w:rsidRPr="00906BDC">
        <w:rPr>
          <w:rFonts w:ascii="Times New Roman" w:hAnsi="Times New Roman" w:cs="Times New Roman"/>
          <w:sz w:val="20"/>
          <w:szCs w:val="20"/>
        </w:rPr>
        <w:t>Hata</w:t>
      </w:r>
      <w:proofErr w:type="spellEnd"/>
      <w:r w:rsidR="003E7548" w:rsidRPr="00906BDC">
        <w:rPr>
          <w:rFonts w:ascii="Times New Roman" w:hAnsi="Times New Roman" w:cs="Times New Roman"/>
          <w:sz w:val="20"/>
          <w:szCs w:val="20"/>
        </w:rPr>
        <w:t>,</w:t>
      </w:r>
      <w:r w:rsidR="00842812" w:rsidRPr="00906BDC">
        <w:rPr>
          <w:rFonts w:ascii="Times New Roman" w:hAnsi="Times New Roman" w:cs="Times New Roman"/>
          <w:sz w:val="20"/>
          <w:szCs w:val="20"/>
        </w:rPr>
        <w:t xml:space="preserve"> Kimie </w:t>
      </w:r>
      <w:proofErr w:type="spellStart"/>
      <w:r w:rsidR="00842812" w:rsidRPr="00906BDC">
        <w:rPr>
          <w:rFonts w:ascii="Times New Roman" w:hAnsi="Times New Roman" w:cs="Times New Roman"/>
          <w:sz w:val="20"/>
          <w:szCs w:val="20"/>
        </w:rPr>
        <w:t>Sai</w:t>
      </w:r>
      <w:proofErr w:type="spellEnd"/>
      <w:r w:rsidR="00842812" w:rsidRPr="00906BDC">
        <w:rPr>
          <w:rFonts w:ascii="Times New Roman" w:hAnsi="Times New Roman" w:cs="Times New Roman"/>
          <w:sz w:val="20"/>
          <w:szCs w:val="20"/>
        </w:rPr>
        <w:t xml:space="preserve"> </w:t>
      </w:r>
      <w:r w:rsidR="003E7548" w:rsidRPr="00906BDC">
        <w:rPr>
          <w:rFonts w:ascii="Times New Roman" w:hAnsi="Times New Roman" w:cs="Times New Roman"/>
          <w:sz w:val="20"/>
          <w:szCs w:val="20"/>
        </w:rPr>
        <w:t>,</w:t>
      </w:r>
      <w:proofErr w:type="spellStart"/>
      <w:r w:rsidR="003E7548" w:rsidRPr="00906BDC">
        <w:rPr>
          <w:rFonts w:ascii="Times New Roman" w:hAnsi="Times New Roman" w:cs="Times New Roman"/>
          <w:sz w:val="20"/>
          <w:szCs w:val="20"/>
        </w:rPr>
        <w:t>Ryoko</w:t>
      </w:r>
      <w:proofErr w:type="spellEnd"/>
      <w:r w:rsidR="003E7548" w:rsidRPr="00906BDC">
        <w:rPr>
          <w:rFonts w:ascii="Times New Roman" w:hAnsi="Times New Roman" w:cs="Times New Roman"/>
          <w:sz w:val="20"/>
          <w:szCs w:val="20"/>
        </w:rPr>
        <w:t xml:space="preserve"> </w:t>
      </w:r>
      <w:proofErr w:type="spellStart"/>
      <w:r w:rsidR="003E7548" w:rsidRPr="00906BDC">
        <w:rPr>
          <w:rFonts w:ascii="Times New Roman" w:hAnsi="Times New Roman" w:cs="Times New Roman"/>
          <w:sz w:val="20"/>
          <w:szCs w:val="20"/>
        </w:rPr>
        <w:t>Udagawa</w:t>
      </w:r>
      <w:proofErr w:type="spellEnd"/>
      <w:r w:rsidR="003E7548" w:rsidRPr="00906BDC">
        <w:rPr>
          <w:rFonts w:ascii="Times New Roman" w:hAnsi="Times New Roman" w:cs="Times New Roman"/>
          <w:sz w:val="20"/>
          <w:szCs w:val="20"/>
        </w:rPr>
        <w:t xml:space="preserve"> et al. </w:t>
      </w:r>
      <w:r w:rsidR="00842812" w:rsidRPr="00906BDC">
        <w:rPr>
          <w:rFonts w:ascii="Times New Roman" w:hAnsi="Times New Roman" w:cs="Times New Roman"/>
          <w:sz w:val="20"/>
          <w:szCs w:val="20"/>
        </w:rPr>
        <w:t xml:space="preserve">Significant Association between Hand-Foot Syndrome and Efficacy of </w:t>
      </w:r>
      <w:proofErr w:type="spellStart"/>
      <w:r w:rsidR="00842812" w:rsidRPr="00906BDC">
        <w:rPr>
          <w:rFonts w:ascii="Times New Roman" w:hAnsi="Times New Roman" w:cs="Times New Roman"/>
          <w:sz w:val="20"/>
          <w:szCs w:val="20"/>
        </w:rPr>
        <w:t>Capecitabine</w:t>
      </w:r>
      <w:proofErr w:type="spellEnd"/>
      <w:r w:rsidR="00842812" w:rsidRPr="00906BDC">
        <w:rPr>
          <w:rFonts w:ascii="Times New Roman" w:hAnsi="Times New Roman" w:cs="Times New Roman"/>
          <w:sz w:val="20"/>
          <w:szCs w:val="20"/>
        </w:rPr>
        <w:t xml:space="preserve"> in Patients with Metastatic Breast Cancer. Biological &amp; Pharmaceutical Bulletin </w:t>
      </w:r>
      <w:r w:rsidR="003E7548" w:rsidRPr="00906BDC">
        <w:rPr>
          <w:rFonts w:ascii="Times New Roman" w:hAnsi="Times New Roman" w:cs="Times New Roman"/>
          <w:sz w:val="20"/>
          <w:szCs w:val="20"/>
        </w:rPr>
        <w:t xml:space="preserve">June 2012 volume </w:t>
      </w:r>
      <w:r w:rsidR="00842812" w:rsidRPr="00906BDC">
        <w:rPr>
          <w:rFonts w:ascii="Times New Roman" w:hAnsi="Times New Roman" w:cs="Times New Roman"/>
          <w:sz w:val="20"/>
          <w:szCs w:val="20"/>
        </w:rPr>
        <w:t>35(5):717-</w:t>
      </w:r>
      <w:r w:rsidR="003E7548" w:rsidRPr="00906BDC">
        <w:rPr>
          <w:rFonts w:ascii="Times New Roman" w:hAnsi="Times New Roman" w:cs="Times New Roman"/>
          <w:sz w:val="20"/>
          <w:szCs w:val="20"/>
        </w:rPr>
        <w:t>724.</w:t>
      </w:r>
      <w:r w:rsidR="00BF0769" w:rsidRPr="00906BDC">
        <w:rPr>
          <w:rFonts w:ascii="Times New Roman" w:hAnsi="Times New Roman" w:cs="Times New Roman"/>
          <w:sz w:val="20"/>
          <w:szCs w:val="20"/>
        </w:rPr>
        <w:br/>
      </w:r>
      <w:r w:rsidR="00BF0769" w:rsidRPr="00906BDC">
        <w:rPr>
          <w:rFonts w:ascii="Times New Roman" w:hAnsi="Times New Roman" w:cs="Times New Roman"/>
          <w:sz w:val="20"/>
          <w:szCs w:val="20"/>
        </w:rPr>
        <w:br/>
        <w:t>9)</w:t>
      </w:r>
      <w:r w:rsidR="001A3E55" w:rsidRPr="00906BDC">
        <w:rPr>
          <w:rFonts w:ascii="Times New Roman" w:hAnsi="Times New Roman" w:cs="Times New Roman"/>
          <w:sz w:val="20"/>
          <w:szCs w:val="20"/>
        </w:rPr>
        <w:t xml:space="preserve"> Son HS, Lee WY, Lee WS, Yun SH, Chun HK. </w:t>
      </w:r>
      <w:proofErr w:type="gramStart"/>
      <w:r w:rsidR="001A3E55" w:rsidRPr="00906BDC">
        <w:rPr>
          <w:rFonts w:ascii="Times New Roman" w:hAnsi="Times New Roman" w:cs="Times New Roman"/>
          <w:sz w:val="20"/>
          <w:szCs w:val="20"/>
        </w:rPr>
        <w:t xml:space="preserve">Compliance and effective management of the hand-foot syndrome in colon cancer patients receiving </w:t>
      </w:r>
      <w:proofErr w:type="spellStart"/>
      <w:r w:rsidR="001A3E55" w:rsidRPr="00906BDC">
        <w:rPr>
          <w:rFonts w:ascii="Times New Roman" w:hAnsi="Times New Roman" w:cs="Times New Roman"/>
          <w:sz w:val="20"/>
          <w:szCs w:val="20"/>
        </w:rPr>
        <w:t>capecitabine</w:t>
      </w:r>
      <w:proofErr w:type="spellEnd"/>
      <w:r w:rsidR="001A3E55" w:rsidRPr="00906BDC">
        <w:rPr>
          <w:rFonts w:ascii="Times New Roman" w:hAnsi="Times New Roman" w:cs="Times New Roman"/>
          <w:sz w:val="20"/>
          <w:szCs w:val="20"/>
        </w:rPr>
        <w:t xml:space="preserve"> as adjuvant chemotherapy.</w:t>
      </w:r>
      <w:proofErr w:type="gramEnd"/>
      <w:r w:rsidR="001A3E55" w:rsidRPr="00906BDC">
        <w:rPr>
          <w:rFonts w:ascii="Times New Roman" w:hAnsi="Times New Roman" w:cs="Times New Roman"/>
          <w:sz w:val="20"/>
          <w:szCs w:val="20"/>
        </w:rPr>
        <w:t xml:space="preserve"> </w:t>
      </w:r>
      <w:proofErr w:type="spellStart"/>
      <w:r w:rsidR="001A3E55" w:rsidRPr="00906BDC">
        <w:rPr>
          <w:rFonts w:ascii="Times New Roman" w:hAnsi="Times New Roman" w:cs="Times New Roman"/>
          <w:sz w:val="20"/>
          <w:szCs w:val="20"/>
        </w:rPr>
        <w:t>Yonsei</w:t>
      </w:r>
      <w:proofErr w:type="spellEnd"/>
      <w:r w:rsidR="001A3E55" w:rsidRPr="00906BDC">
        <w:rPr>
          <w:rFonts w:ascii="Times New Roman" w:hAnsi="Times New Roman" w:cs="Times New Roman"/>
          <w:sz w:val="20"/>
          <w:szCs w:val="20"/>
        </w:rPr>
        <w:t xml:space="preserve"> Med J. 2009</w:t>
      </w:r>
      <w:proofErr w:type="gramStart"/>
      <w:r w:rsidR="001A3E55" w:rsidRPr="00906BDC">
        <w:rPr>
          <w:rFonts w:ascii="Times New Roman" w:hAnsi="Times New Roman" w:cs="Times New Roman"/>
          <w:sz w:val="20"/>
          <w:szCs w:val="20"/>
        </w:rPr>
        <w:t>;50</w:t>
      </w:r>
      <w:proofErr w:type="gramEnd"/>
      <w:r w:rsidR="001A3E55" w:rsidRPr="00906BDC">
        <w:rPr>
          <w:rFonts w:ascii="Times New Roman" w:hAnsi="Times New Roman" w:cs="Times New Roman"/>
          <w:sz w:val="20"/>
          <w:szCs w:val="20"/>
        </w:rPr>
        <w:t xml:space="preserve">(6):796–802. </w:t>
      </w:r>
      <w:r w:rsidR="00CC2094" w:rsidRPr="00906BDC">
        <w:rPr>
          <w:rFonts w:ascii="Times New Roman" w:hAnsi="Times New Roman" w:cs="Times New Roman"/>
          <w:sz w:val="20"/>
          <w:szCs w:val="20"/>
        </w:rPr>
        <w:br/>
      </w:r>
      <w:r w:rsidR="00CC2094" w:rsidRPr="00906BDC">
        <w:rPr>
          <w:rFonts w:ascii="Times New Roman" w:hAnsi="Times New Roman" w:cs="Times New Roman"/>
          <w:sz w:val="20"/>
          <w:szCs w:val="20"/>
        </w:rPr>
        <w:br/>
        <w:t>10)</w:t>
      </w:r>
      <w:r w:rsidR="002A4C26" w:rsidRPr="00906BDC">
        <w:rPr>
          <w:rFonts w:ascii="Times New Roman" w:hAnsi="Times New Roman" w:cs="Times New Roman"/>
          <w:sz w:val="20"/>
          <w:szCs w:val="20"/>
        </w:rPr>
        <w:t xml:space="preserve"> Muller V, </w:t>
      </w:r>
      <w:proofErr w:type="spellStart"/>
      <w:r w:rsidR="002A4C26" w:rsidRPr="00906BDC">
        <w:rPr>
          <w:rFonts w:ascii="Times New Roman" w:hAnsi="Times New Roman" w:cs="Times New Roman"/>
          <w:sz w:val="20"/>
          <w:szCs w:val="20"/>
        </w:rPr>
        <w:t>Fuxius</w:t>
      </w:r>
      <w:proofErr w:type="spellEnd"/>
      <w:r w:rsidR="002A4C26" w:rsidRPr="00906BDC">
        <w:rPr>
          <w:rFonts w:ascii="Times New Roman" w:hAnsi="Times New Roman" w:cs="Times New Roman"/>
          <w:sz w:val="20"/>
          <w:szCs w:val="20"/>
        </w:rPr>
        <w:t xml:space="preserve"> S, Steffens </w:t>
      </w:r>
      <w:r w:rsidR="00484D21" w:rsidRPr="00906BDC">
        <w:rPr>
          <w:rFonts w:ascii="Times New Roman" w:hAnsi="Times New Roman" w:cs="Times New Roman"/>
          <w:sz w:val="20"/>
          <w:szCs w:val="20"/>
        </w:rPr>
        <w:t xml:space="preserve">CC, </w:t>
      </w:r>
      <w:proofErr w:type="spellStart"/>
      <w:r w:rsidR="00484D21" w:rsidRPr="00906BDC">
        <w:rPr>
          <w:rFonts w:ascii="Times New Roman" w:hAnsi="Times New Roman" w:cs="Times New Roman"/>
          <w:sz w:val="20"/>
          <w:szCs w:val="20"/>
        </w:rPr>
        <w:t>Lerchenmüller</w:t>
      </w:r>
      <w:proofErr w:type="spellEnd"/>
      <w:r w:rsidR="00484D21" w:rsidRPr="00906BDC">
        <w:rPr>
          <w:rFonts w:ascii="Times New Roman" w:hAnsi="Times New Roman" w:cs="Times New Roman"/>
          <w:sz w:val="20"/>
          <w:szCs w:val="20"/>
        </w:rPr>
        <w:t xml:space="preserve"> C, </w:t>
      </w:r>
      <w:proofErr w:type="spellStart"/>
      <w:proofErr w:type="gramStart"/>
      <w:r w:rsidR="00484D21" w:rsidRPr="00906BDC">
        <w:rPr>
          <w:rFonts w:ascii="Times New Roman" w:hAnsi="Times New Roman" w:cs="Times New Roman"/>
          <w:sz w:val="20"/>
          <w:szCs w:val="20"/>
        </w:rPr>
        <w:t>Luhn</w:t>
      </w:r>
      <w:proofErr w:type="spellEnd"/>
      <w:proofErr w:type="gramEnd"/>
      <w:r w:rsidR="00484D21" w:rsidRPr="00906BDC">
        <w:rPr>
          <w:rFonts w:ascii="Times New Roman" w:hAnsi="Times New Roman" w:cs="Times New Roman"/>
          <w:sz w:val="20"/>
          <w:szCs w:val="20"/>
        </w:rPr>
        <w:t xml:space="preserve"> B et al</w:t>
      </w:r>
      <w:r w:rsidR="002A4C26" w:rsidRPr="00906BDC">
        <w:rPr>
          <w:rFonts w:ascii="Times New Roman" w:hAnsi="Times New Roman" w:cs="Times New Roman"/>
          <w:sz w:val="20"/>
          <w:szCs w:val="20"/>
        </w:rPr>
        <w:t xml:space="preserve">. Quality of life under </w:t>
      </w:r>
      <w:proofErr w:type="spellStart"/>
      <w:r w:rsidR="002A4C26" w:rsidRPr="00906BDC">
        <w:rPr>
          <w:rFonts w:ascii="Times New Roman" w:hAnsi="Times New Roman" w:cs="Times New Roman"/>
          <w:sz w:val="20"/>
          <w:szCs w:val="20"/>
        </w:rPr>
        <w:t>capecitabine</w:t>
      </w:r>
      <w:proofErr w:type="spellEnd"/>
      <w:r w:rsidR="002A4C26" w:rsidRPr="00906BDC">
        <w:rPr>
          <w:rFonts w:ascii="Times New Roman" w:hAnsi="Times New Roman" w:cs="Times New Roman"/>
          <w:sz w:val="20"/>
          <w:szCs w:val="20"/>
        </w:rPr>
        <w:t xml:space="preserve"> (</w:t>
      </w:r>
      <w:proofErr w:type="spellStart"/>
      <w:r w:rsidR="002A4C26" w:rsidRPr="00906BDC">
        <w:rPr>
          <w:rFonts w:ascii="Times New Roman" w:hAnsi="Times New Roman" w:cs="Times New Roman"/>
          <w:sz w:val="20"/>
          <w:szCs w:val="20"/>
        </w:rPr>
        <w:t>Xeloda</w:t>
      </w:r>
      <w:proofErr w:type="spellEnd"/>
      <w:r w:rsidR="002A4C26" w:rsidRPr="00906BDC">
        <w:rPr>
          <w:rFonts w:ascii="Times New Roman" w:hAnsi="Times New Roman" w:cs="Times New Roman"/>
          <w:sz w:val="20"/>
          <w:szCs w:val="20"/>
        </w:rPr>
        <w:t xml:space="preserve">®) in patients </w:t>
      </w:r>
      <w:r w:rsidR="00484D21" w:rsidRPr="00906BDC">
        <w:rPr>
          <w:rFonts w:ascii="Times New Roman" w:hAnsi="Times New Roman" w:cs="Times New Roman"/>
          <w:sz w:val="20"/>
          <w:szCs w:val="20"/>
        </w:rPr>
        <w:t>with metastatic breast cancer: D</w:t>
      </w:r>
      <w:r w:rsidR="002A4C26" w:rsidRPr="00906BDC">
        <w:rPr>
          <w:rFonts w:ascii="Times New Roman" w:hAnsi="Times New Roman" w:cs="Times New Roman"/>
          <w:sz w:val="20"/>
          <w:szCs w:val="20"/>
        </w:rPr>
        <w:t xml:space="preserve">ata from a </w:t>
      </w:r>
      <w:proofErr w:type="spellStart"/>
      <w:r w:rsidR="002A4C26" w:rsidRPr="00906BDC">
        <w:rPr>
          <w:rFonts w:ascii="Times New Roman" w:hAnsi="Times New Roman" w:cs="Times New Roman"/>
          <w:sz w:val="20"/>
          <w:szCs w:val="20"/>
        </w:rPr>
        <w:t>german</w:t>
      </w:r>
      <w:proofErr w:type="spellEnd"/>
      <w:r w:rsidR="002A4C26" w:rsidRPr="00906BDC">
        <w:rPr>
          <w:rFonts w:ascii="Times New Roman" w:hAnsi="Times New Roman" w:cs="Times New Roman"/>
          <w:sz w:val="20"/>
          <w:szCs w:val="20"/>
        </w:rPr>
        <w:t xml:space="preserve"> non-interventional surveillance study. Oncol</w:t>
      </w:r>
      <w:r w:rsidR="00484D21" w:rsidRPr="00906BDC">
        <w:rPr>
          <w:rFonts w:ascii="Times New Roman" w:hAnsi="Times New Roman" w:cs="Times New Roman"/>
          <w:sz w:val="20"/>
          <w:szCs w:val="20"/>
        </w:rPr>
        <w:t>ogy</w:t>
      </w:r>
      <w:r w:rsidR="002A4C26" w:rsidRPr="00906BDC">
        <w:rPr>
          <w:rFonts w:ascii="Times New Roman" w:hAnsi="Times New Roman" w:cs="Times New Roman"/>
          <w:sz w:val="20"/>
          <w:szCs w:val="20"/>
        </w:rPr>
        <w:t xml:space="preserve"> Res</w:t>
      </w:r>
      <w:r w:rsidR="00484D21" w:rsidRPr="00906BDC">
        <w:rPr>
          <w:rFonts w:ascii="Times New Roman" w:hAnsi="Times New Roman" w:cs="Times New Roman"/>
          <w:sz w:val="20"/>
          <w:szCs w:val="20"/>
        </w:rPr>
        <w:t xml:space="preserve">earch </w:t>
      </w:r>
      <w:proofErr w:type="gramStart"/>
      <w:r w:rsidR="00484D21" w:rsidRPr="00906BDC">
        <w:rPr>
          <w:rFonts w:ascii="Times New Roman" w:hAnsi="Times New Roman" w:cs="Times New Roman"/>
          <w:sz w:val="20"/>
          <w:szCs w:val="20"/>
        </w:rPr>
        <w:t xml:space="preserve">and </w:t>
      </w:r>
      <w:r w:rsidR="002A4C26" w:rsidRPr="00906BDC">
        <w:rPr>
          <w:rFonts w:ascii="Times New Roman" w:hAnsi="Times New Roman" w:cs="Times New Roman"/>
          <w:sz w:val="20"/>
          <w:szCs w:val="20"/>
        </w:rPr>
        <w:t xml:space="preserve"> Treat</w:t>
      </w:r>
      <w:r w:rsidR="00484D21" w:rsidRPr="00906BDC">
        <w:rPr>
          <w:rFonts w:ascii="Times New Roman" w:hAnsi="Times New Roman" w:cs="Times New Roman"/>
          <w:sz w:val="20"/>
          <w:szCs w:val="20"/>
        </w:rPr>
        <w:t>ment</w:t>
      </w:r>
      <w:proofErr w:type="gramEnd"/>
      <w:r w:rsidR="00484D21" w:rsidRPr="00906BDC">
        <w:rPr>
          <w:rFonts w:ascii="Times New Roman" w:hAnsi="Times New Roman" w:cs="Times New Roman"/>
          <w:sz w:val="20"/>
          <w:szCs w:val="20"/>
        </w:rPr>
        <w:t xml:space="preserve"> 2014; volume </w:t>
      </w:r>
      <w:r w:rsidR="002A4C26" w:rsidRPr="00906BDC">
        <w:rPr>
          <w:rFonts w:ascii="Times New Roman" w:hAnsi="Times New Roman" w:cs="Times New Roman"/>
          <w:sz w:val="20"/>
          <w:szCs w:val="20"/>
        </w:rPr>
        <w:t>37(12):748-</w:t>
      </w:r>
      <w:r w:rsidR="00484D21" w:rsidRPr="00906BDC">
        <w:rPr>
          <w:rFonts w:ascii="Times New Roman" w:hAnsi="Times New Roman" w:cs="Times New Roman"/>
          <w:sz w:val="20"/>
          <w:szCs w:val="20"/>
        </w:rPr>
        <w:t>755.</w:t>
      </w:r>
    </w:p>
    <w:p w:rsidR="008E53A1" w:rsidRPr="00906BDC" w:rsidRDefault="008E53A1">
      <w:pPr>
        <w:rPr>
          <w:sz w:val="20"/>
          <w:szCs w:val="20"/>
        </w:rPr>
      </w:pPr>
    </w:p>
    <w:sectPr w:rsidR="008E53A1" w:rsidRPr="00906BDC" w:rsidSect="009968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CE9" w:rsidRDefault="00430CE9" w:rsidP="006C08F1">
      <w:pPr>
        <w:spacing w:after="0" w:line="240" w:lineRule="auto"/>
      </w:pPr>
      <w:r>
        <w:separator/>
      </w:r>
    </w:p>
  </w:endnote>
  <w:endnote w:type="continuationSeparator" w:id="0">
    <w:p w:rsidR="00430CE9" w:rsidRDefault="00430CE9" w:rsidP="006C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CE9" w:rsidRDefault="00430CE9" w:rsidP="006C08F1">
      <w:pPr>
        <w:spacing w:after="0" w:line="240" w:lineRule="auto"/>
      </w:pPr>
      <w:r>
        <w:separator/>
      </w:r>
    </w:p>
  </w:footnote>
  <w:footnote w:type="continuationSeparator" w:id="0">
    <w:p w:rsidR="00430CE9" w:rsidRDefault="00430CE9" w:rsidP="006C0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939B6"/>
    <w:multiLevelType w:val="hybridMultilevel"/>
    <w:tmpl w:val="D1D6A23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CEC48D1"/>
    <w:multiLevelType w:val="hybridMultilevel"/>
    <w:tmpl w:val="7ABE50DC"/>
    <w:lvl w:ilvl="0" w:tplc="B78890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42E"/>
    <w:rsid w:val="000143F0"/>
    <w:rsid w:val="000250FE"/>
    <w:rsid w:val="00054F80"/>
    <w:rsid w:val="00063C19"/>
    <w:rsid w:val="00065320"/>
    <w:rsid w:val="0007742B"/>
    <w:rsid w:val="0009122E"/>
    <w:rsid w:val="0009276E"/>
    <w:rsid w:val="000C202C"/>
    <w:rsid w:val="000D0E3F"/>
    <w:rsid w:val="00105DBD"/>
    <w:rsid w:val="00106B8E"/>
    <w:rsid w:val="00147BB4"/>
    <w:rsid w:val="00152F46"/>
    <w:rsid w:val="001536CD"/>
    <w:rsid w:val="0017377E"/>
    <w:rsid w:val="001A3AE0"/>
    <w:rsid w:val="001A3E55"/>
    <w:rsid w:val="001C0DA5"/>
    <w:rsid w:val="001C0E5F"/>
    <w:rsid w:val="001C369D"/>
    <w:rsid w:val="001F67AF"/>
    <w:rsid w:val="001F7E20"/>
    <w:rsid w:val="00213D2C"/>
    <w:rsid w:val="0024144C"/>
    <w:rsid w:val="002438D7"/>
    <w:rsid w:val="00243C8A"/>
    <w:rsid w:val="002500E5"/>
    <w:rsid w:val="00251EB9"/>
    <w:rsid w:val="0025646C"/>
    <w:rsid w:val="00256754"/>
    <w:rsid w:val="002913D8"/>
    <w:rsid w:val="00291ABB"/>
    <w:rsid w:val="002A4C26"/>
    <w:rsid w:val="002D1757"/>
    <w:rsid w:val="00315E86"/>
    <w:rsid w:val="00321199"/>
    <w:rsid w:val="00326907"/>
    <w:rsid w:val="003477C1"/>
    <w:rsid w:val="0035109C"/>
    <w:rsid w:val="00352C1A"/>
    <w:rsid w:val="00354DA4"/>
    <w:rsid w:val="00362CEF"/>
    <w:rsid w:val="00387D0A"/>
    <w:rsid w:val="003C2A48"/>
    <w:rsid w:val="003E7548"/>
    <w:rsid w:val="003F75A7"/>
    <w:rsid w:val="004116D5"/>
    <w:rsid w:val="00413092"/>
    <w:rsid w:val="00430CE9"/>
    <w:rsid w:val="004323F1"/>
    <w:rsid w:val="004441F4"/>
    <w:rsid w:val="00461F47"/>
    <w:rsid w:val="00484D21"/>
    <w:rsid w:val="004C14EE"/>
    <w:rsid w:val="004C2F67"/>
    <w:rsid w:val="004C3EE9"/>
    <w:rsid w:val="004F2DB1"/>
    <w:rsid w:val="004F3604"/>
    <w:rsid w:val="00502966"/>
    <w:rsid w:val="00543594"/>
    <w:rsid w:val="00566525"/>
    <w:rsid w:val="00596A69"/>
    <w:rsid w:val="005B24CC"/>
    <w:rsid w:val="005B4466"/>
    <w:rsid w:val="005C1AE3"/>
    <w:rsid w:val="00645246"/>
    <w:rsid w:val="0067123A"/>
    <w:rsid w:val="00671D4C"/>
    <w:rsid w:val="0068725E"/>
    <w:rsid w:val="006C08F1"/>
    <w:rsid w:val="006E0CB5"/>
    <w:rsid w:val="00704F9F"/>
    <w:rsid w:val="0070687C"/>
    <w:rsid w:val="00706ED0"/>
    <w:rsid w:val="007152E8"/>
    <w:rsid w:val="00732B6C"/>
    <w:rsid w:val="00775C2E"/>
    <w:rsid w:val="007C29A9"/>
    <w:rsid w:val="00802E90"/>
    <w:rsid w:val="00805A0A"/>
    <w:rsid w:val="00806D57"/>
    <w:rsid w:val="00830545"/>
    <w:rsid w:val="0084109F"/>
    <w:rsid w:val="008413D2"/>
    <w:rsid w:val="00842812"/>
    <w:rsid w:val="00852BC3"/>
    <w:rsid w:val="00857D84"/>
    <w:rsid w:val="00866E49"/>
    <w:rsid w:val="00894647"/>
    <w:rsid w:val="008A3DC7"/>
    <w:rsid w:val="008D04BE"/>
    <w:rsid w:val="008D07E2"/>
    <w:rsid w:val="008E53A1"/>
    <w:rsid w:val="00906BDC"/>
    <w:rsid w:val="009446D0"/>
    <w:rsid w:val="00956C2A"/>
    <w:rsid w:val="00966A88"/>
    <w:rsid w:val="00996894"/>
    <w:rsid w:val="009A1249"/>
    <w:rsid w:val="009A1A43"/>
    <w:rsid w:val="009A538B"/>
    <w:rsid w:val="009B247E"/>
    <w:rsid w:val="009B288D"/>
    <w:rsid w:val="009C374D"/>
    <w:rsid w:val="009E1AEB"/>
    <w:rsid w:val="009E649D"/>
    <w:rsid w:val="00A033E6"/>
    <w:rsid w:val="00A23617"/>
    <w:rsid w:val="00A44089"/>
    <w:rsid w:val="00A4586C"/>
    <w:rsid w:val="00A504E0"/>
    <w:rsid w:val="00A5192A"/>
    <w:rsid w:val="00A769EC"/>
    <w:rsid w:val="00A81EEA"/>
    <w:rsid w:val="00A9671F"/>
    <w:rsid w:val="00A9798B"/>
    <w:rsid w:val="00AD377F"/>
    <w:rsid w:val="00AD5C6B"/>
    <w:rsid w:val="00AE78FA"/>
    <w:rsid w:val="00AF59D6"/>
    <w:rsid w:val="00B065FA"/>
    <w:rsid w:val="00B15CCD"/>
    <w:rsid w:val="00B2768B"/>
    <w:rsid w:val="00B27F6F"/>
    <w:rsid w:val="00B36B6D"/>
    <w:rsid w:val="00B372BB"/>
    <w:rsid w:val="00B43BFC"/>
    <w:rsid w:val="00B67208"/>
    <w:rsid w:val="00B73E3B"/>
    <w:rsid w:val="00B91277"/>
    <w:rsid w:val="00B940F7"/>
    <w:rsid w:val="00BA3779"/>
    <w:rsid w:val="00BB3507"/>
    <w:rsid w:val="00BB36FC"/>
    <w:rsid w:val="00BB7ED4"/>
    <w:rsid w:val="00BC331B"/>
    <w:rsid w:val="00BC3592"/>
    <w:rsid w:val="00BD00F4"/>
    <w:rsid w:val="00BE777C"/>
    <w:rsid w:val="00BF0697"/>
    <w:rsid w:val="00BF0769"/>
    <w:rsid w:val="00C4154B"/>
    <w:rsid w:val="00C507B3"/>
    <w:rsid w:val="00C52A47"/>
    <w:rsid w:val="00C84CC0"/>
    <w:rsid w:val="00CC2094"/>
    <w:rsid w:val="00CC26E5"/>
    <w:rsid w:val="00CF1557"/>
    <w:rsid w:val="00D00CC8"/>
    <w:rsid w:val="00D46834"/>
    <w:rsid w:val="00D57CEF"/>
    <w:rsid w:val="00D61888"/>
    <w:rsid w:val="00D6275A"/>
    <w:rsid w:val="00D64F14"/>
    <w:rsid w:val="00D7159B"/>
    <w:rsid w:val="00D80ECE"/>
    <w:rsid w:val="00D815C6"/>
    <w:rsid w:val="00D84F56"/>
    <w:rsid w:val="00D863B8"/>
    <w:rsid w:val="00D94E4A"/>
    <w:rsid w:val="00D97317"/>
    <w:rsid w:val="00DF3957"/>
    <w:rsid w:val="00E013FF"/>
    <w:rsid w:val="00E2442E"/>
    <w:rsid w:val="00E27B18"/>
    <w:rsid w:val="00E51936"/>
    <w:rsid w:val="00E973D7"/>
    <w:rsid w:val="00EA4A22"/>
    <w:rsid w:val="00EC1C30"/>
    <w:rsid w:val="00F05898"/>
    <w:rsid w:val="00F06A17"/>
    <w:rsid w:val="00F1434C"/>
    <w:rsid w:val="00F44BE4"/>
    <w:rsid w:val="00F52791"/>
    <w:rsid w:val="00F54BEA"/>
    <w:rsid w:val="00F70498"/>
    <w:rsid w:val="00F776B7"/>
    <w:rsid w:val="00F77A7A"/>
    <w:rsid w:val="00F94C96"/>
    <w:rsid w:val="00FC0538"/>
    <w:rsid w:val="00FE47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213D2C"/>
  </w:style>
  <w:style w:type="character" w:customStyle="1" w:styleId="Date1">
    <w:name w:val="Date1"/>
    <w:basedOn w:val="DefaultParagraphFont"/>
    <w:rsid w:val="00213D2C"/>
  </w:style>
  <w:style w:type="character" w:customStyle="1" w:styleId="arttitle">
    <w:name w:val="art_title"/>
    <w:basedOn w:val="DefaultParagraphFont"/>
    <w:rsid w:val="00213D2C"/>
  </w:style>
  <w:style w:type="character" w:customStyle="1" w:styleId="serialtitle">
    <w:name w:val="serial_title"/>
    <w:basedOn w:val="DefaultParagraphFont"/>
    <w:rsid w:val="00213D2C"/>
  </w:style>
  <w:style w:type="character" w:customStyle="1" w:styleId="volumeissue">
    <w:name w:val="volume_issue"/>
    <w:basedOn w:val="DefaultParagraphFont"/>
    <w:rsid w:val="00213D2C"/>
  </w:style>
  <w:style w:type="character" w:customStyle="1" w:styleId="pagerange">
    <w:name w:val="page_range"/>
    <w:basedOn w:val="DefaultParagraphFont"/>
    <w:rsid w:val="00213D2C"/>
  </w:style>
  <w:style w:type="character" w:customStyle="1" w:styleId="doilink">
    <w:name w:val="doi_link"/>
    <w:basedOn w:val="DefaultParagraphFont"/>
    <w:rsid w:val="00213D2C"/>
  </w:style>
  <w:style w:type="character" w:styleId="Hyperlink">
    <w:name w:val="Hyperlink"/>
    <w:basedOn w:val="DefaultParagraphFont"/>
    <w:uiPriority w:val="99"/>
    <w:semiHidden/>
    <w:unhideWhenUsed/>
    <w:rsid w:val="00213D2C"/>
    <w:rPr>
      <w:color w:val="0000FF"/>
      <w:u w:val="single"/>
    </w:rPr>
  </w:style>
  <w:style w:type="paragraph" w:styleId="ListParagraph">
    <w:name w:val="List Paragraph"/>
    <w:basedOn w:val="Normal"/>
    <w:uiPriority w:val="34"/>
    <w:qFormat/>
    <w:rsid w:val="00502966"/>
    <w:pPr>
      <w:ind w:left="720"/>
      <w:contextualSpacing/>
    </w:pPr>
  </w:style>
  <w:style w:type="paragraph" w:styleId="BalloonText">
    <w:name w:val="Balloon Text"/>
    <w:basedOn w:val="Normal"/>
    <w:link w:val="BalloonTextChar"/>
    <w:uiPriority w:val="99"/>
    <w:semiHidden/>
    <w:unhideWhenUsed/>
    <w:rsid w:val="00956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2A"/>
    <w:rPr>
      <w:rFonts w:ascii="Tahoma" w:hAnsi="Tahoma" w:cs="Tahoma"/>
      <w:sz w:val="16"/>
      <w:szCs w:val="16"/>
    </w:rPr>
  </w:style>
  <w:style w:type="paragraph" w:styleId="Header">
    <w:name w:val="header"/>
    <w:basedOn w:val="Normal"/>
    <w:link w:val="HeaderChar"/>
    <w:uiPriority w:val="99"/>
    <w:unhideWhenUsed/>
    <w:rsid w:val="006C0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8F1"/>
  </w:style>
  <w:style w:type="paragraph" w:styleId="Footer">
    <w:name w:val="footer"/>
    <w:basedOn w:val="Normal"/>
    <w:link w:val="FooterChar"/>
    <w:uiPriority w:val="99"/>
    <w:unhideWhenUsed/>
    <w:rsid w:val="006C0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213D2C"/>
  </w:style>
  <w:style w:type="character" w:customStyle="1" w:styleId="Date1">
    <w:name w:val="Date1"/>
    <w:basedOn w:val="DefaultParagraphFont"/>
    <w:rsid w:val="00213D2C"/>
  </w:style>
  <w:style w:type="character" w:customStyle="1" w:styleId="arttitle">
    <w:name w:val="art_title"/>
    <w:basedOn w:val="DefaultParagraphFont"/>
    <w:rsid w:val="00213D2C"/>
  </w:style>
  <w:style w:type="character" w:customStyle="1" w:styleId="serialtitle">
    <w:name w:val="serial_title"/>
    <w:basedOn w:val="DefaultParagraphFont"/>
    <w:rsid w:val="00213D2C"/>
  </w:style>
  <w:style w:type="character" w:customStyle="1" w:styleId="volumeissue">
    <w:name w:val="volume_issue"/>
    <w:basedOn w:val="DefaultParagraphFont"/>
    <w:rsid w:val="00213D2C"/>
  </w:style>
  <w:style w:type="character" w:customStyle="1" w:styleId="pagerange">
    <w:name w:val="page_range"/>
    <w:basedOn w:val="DefaultParagraphFont"/>
    <w:rsid w:val="00213D2C"/>
  </w:style>
  <w:style w:type="character" w:customStyle="1" w:styleId="doilink">
    <w:name w:val="doi_link"/>
    <w:basedOn w:val="DefaultParagraphFont"/>
    <w:rsid w:val="00213D2C"/>
  </w:style>
  <w:style w:type="character" w:styleId="Hyperlink">
    <w:name w:val="Hyperlink"/>
    <w:basedOn w:val="DefaultParagraphFont"/>
    <w:uiPriority w:val="99"/>
    <w:semiHidden/>
    <w:unhideWhenUsed/>
    <w:rsid w:val="00213D2C"/>
    <w:rPr>
      <w:color w:val="0000FF"/>
      <w:u w:val="single"/>
    </w:rPr>
  </w:style>
  <w:style w:type="paragraph" w:styleId="ListParagraph">
    <w:name w:val="List Paragraph"/>
    <w:basedOn w:val="Normal"/>
    <w:uiPriority w:val="34"/>
    <w:qFormat/>
    <w:rsid w:val="00502966"/>
    <w:pPr>
      <w:ind w:left="720"/>
      <w:contextualSpacing/>
    </w:pPr>
  </w:style>
  <w:style w:type="paragraph" w:styleId="BalloonText">
    <w:name w:val="Balloon Text"/>
    <w:basedOn w:val="Normal"/>
    <w:link w:val="BalloonTextChar"/>
    <w:uiPriority w:val="99"/>
    <w:semiHidden/>
    <w:unhideWhenUsed/>
    <w:rsid w:val="00956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2A"/>
    <w:rPr>
      <w:rFonts w:ascii="Tahoma" w:hAnsi="Tahoma" w:cs="Tahoma"/>
      <w:sz w:val="16"/>
      <w:szCs w:val="16"/>
    </w:rPr>
  </w:style>
  <w:style w:type="paragraph" w:styleId="Header">
    <w:name w:val="header"/>
    <w:basedOn w:val="Normal"/>
    <w:link w:val="HeaderChar"/>
    <w:uiPriority w:val="99"/>
    <w:unhideWhenUsed/>
    <w:rsid w:val="006C0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8F1"/>
  </w:style>
  <w:style w:type="paragraph" w:styleId="Footer">
    <w:name w:val="footer"/>
    <w:basedOn w:val="Normal"/>
    <w:link w:val="FooterChar"/>
    <w:uiPriority w:val="99"/>
    <w:unhideWhenUsed/>
    <w:rsid w:val="006C0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3350">
      <w:bodyDiv w:val="1"/>
      <w:marLeft w:val="0"/>
      <w:marRight w:val="0"/>
      <w:marTop w:val="0"/>
      <w:marBottom w:val="0"/>
      <w:divBdr>
        <w:top w:val="none" w:sz="0" w:space="0" w:color="auto"/>
        <w:left w:val="none" w:sz="0" w:space="0" w:color="auto"/>
        <w:bottom w:val="none" w:sz="0" w:space="0" w:color="auto"/>
        <w:right w:val="none" w:sz="0" w:space="0" w:color="auto"/>
      </w:divBdr>
    </w:div>
    <w:div w:id="740906546">
      <w:bodyDiv w:val="1"/>
      <w:marLeft w:val="0"/>
      <w:marRight w:val="0"/>
      <w:marTop w:val="0"/>
      <w:marBottom w:val="0"/>
      <w:divBdr>
        <w:top w:val="none" w:sz="0" w:space="0" w:color="auto"/>
        <w:left w:val="none" w:sz="0" w:space="0" w:color="auto"/>
        <w:bottom w:val="none" w:sz="0" w:space="0" w:color="auto"/>
        <w:right w:val="none" w:sz="0" w:space="0" w:color="auto"/>
      </w:divBdr>
    </w:div>
    <w:div w:id="1433933120">
      <w:bodyDiv w:val="1"/>
      <w:marLeft w:val="0"/>
      <w:marRight w:val="0"/>
      <w:marTop w:val="0"/>
      <w:marBottom w:val="0"/>
      <w:divBdr>
        <w:top w:val="none" w:sz="0" w:space="0" w:color="auto"/>
        <w:left w:val="none" w:sz="0" w:space="0" w:color="auto"/>
        <w:bottom w:val="none" w:sz="0" w:space="0" w:color="auto"/>
        <w:right w:val="none" w:sz="0" w:space="0" w:color="auto"/>
      </w:divBdr>
      <w:divsChild>
        <w:div w:id="440688692">
          <w:marLeft w:val="0"/>
          <w:marRight w:val="0"/>
          <w:marTop w:val="0"/>
          <w:marBottom w:val="240"/>
          <w:divBdr>
            <w:top w:val="none" w:sz="0" w:space="0" w:color="auto"/>
            <w:left w:val="none" w:sz="0" w:space="0" w:color="auto"/>
            <w:bottom w:val="none" w:sz="0" w:space="0" w:color="auto"/>
            <w:right w:val="none" w:sz="0" w:space="0" w:color="auto"/>
          </w:divBdr>
          <w:divsChild>
            <w:div w:id="1344819410">
              <w:marLeft w:val="0"/>
              <w:marRight w:val="0"/>
              <w:marTop w:val="0"/>
              <w:marBottom w:val="0"/>
              <w:divBdr>
                <w:top w:val="none" w:sz="0" w:space="0" w:color="auto"/>
                <w:left w:val="none" w:sz="0" w:space="0" w:color="auto"/>
                <w:bottom w:val="none" w:sz="0" w:space="0" w:color="auto"/>
                <w:right w:val="none" w:sz="0" w:space="0" w:color="auto"/>
              </w:divBdr>
            </w:div>
          </w:divsChild>
        </w:div>
        <w:div w:id="1024092773">
          <w:marLeft w:val="0"/>
          <w:marRight w:val="0"/>
          <w:marTop w:val="0"/>
          <w:marBottom w:val="240"/>
          <w:divBdr>
            <w:top w:val="none" w:sz="0" w:space="0" w:color="auto"/>
            <w:left w:val="none" w:sz="0" w:space="0" w:color="auto"/>
            <w:bottom w:val="none" w:sz="0" w:space="0" w:color="auto"/>
            <w:right w:val="none" w:sz="0" w:space="0" w:color="auto"/>
          </w:divBdr>
          <w:divsChild>
            <w:div w:id="16078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453302712160978E-2"/>
          <c:y val="6.1795088113985749E-2"/>
          <c:w val="0.91454669728783899"/>
          <c:h val="0.85863470878456905"/>
        </c:manualLayout>
      </c:layout>
      <c:barChart>
        <c:barDir val="col"/>
        <c:grouping val="clustered"/>
        <c:varyColors val="0"/>
        <c:ser>
          <c:idx val="0"/>
          <c:order val="0"/>
          <c:tx>
            <c:strRef>
              <c:f>Sheet1!$B$1</c:f>
              <c:strCache>
                <c:ptCount val="1"/>
                <c:pt idx="0">
                  <c:v>Column1</c:v>
                </c:pt>
              </c:strCache>
            </c:strRef>
          </c:tx>
          <c:invertIfNegative val="0"/>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Sheet1!$A$2:$A$6</c:f>
              <c:strCache>
                <c:ptCount val="5"/>
                <c:pt idx="0">
                  <c:v>20-30yrs</c:v>
                </c:pt>
                <c:pt idx="1">
                  <c:v>30-40yrs</c:v>
                </c:pt>
                <c:pt idx="2">
                  <c:v>40-50yrs</c:v>
                </c:pt>
                <c:pt idx="3">
                  <c:v>50-60yrs</c:v>
                </c:pt>
                <c:pt idx="4">
                  <c:v>&gt;60yrs</c:v>
                </c:pt>
              </c:strCache>
            </c:strRef>
          </c:cat>
          <c:val>
            <c:numRef>
              <c:f>Sheet1!$B$2:$B$6</c:f>
              <c:numCache>
                <c:formatCode>General</c:formatCode>
                <c:ptCount val="5"/>
                <c:pt idx="0">
                  <c:v>2</c:v>
                </c:pt>
                <c:pt idx="1">
                  <c:v>2</c:v>
                </c:pt>
                <c:pt idx="2">
                  <c:v>15</c:v>
                </c:pt>
                <c:pt idx="3">
                  <c:v>8</c:v>
                </c:pt>
                <c:pt idx="4">
                  <c:v>6</c:v>
                </c:pt>
              </c:numCache>
            </c:numRef>
          </c:val>
        </c:ser>
        <c:dLbls>
          <c:showLegendKey val="0"/>
          <c:showVal val="0"/>
          <c:showCatName val="0"/>
          <c:showSerName val="0"/>
          <c:showPercent val="0"/>
          <c:showBubbleSize val="0"/>
        </c:dLbls>
        <c:gapWidth val="150"/>
        <c:axId val="282207744"/>
        <c:axId val="282209280"/>
      </c:barChart>
      <c:catAx>
        <c:axId val="282207744"/>
        <c:scaling>
          <c:orientation val="minMax"/>
        </c:scaling>
        <c:delete val="0"/>
        <c:axPos val="b"/>
        <c:numFmt formatCode="General" sourceLinked="1"/>
        <c:majorTickMark val="out"/>
        <c:minorTickMark val="none"/>
        <c:tickLblPos val="nextTo"/>
        <c:crossAx val="282209280"/>
        <c:crosses val="autoZero"/>
        <c:auto val="1"/>
        <c:lblAlgn val="ctr"/>
        <c:lblOffset val="100"/>
        <c:noMultiLvlLbl val="0"/>
      </c:catAx>
      <c:valAx>
        <c:axId val="282209280"/>
        <c:scaling>
          <c:orientation val="minMax"/>
        </c:scaling>
        <c:delete val="0"/>
        <c:axPos val="l"/>
        <c:majorGridlines>
          <c:spPr>
            <a:ln>
              <a:noFill/>
            </a:ln>
          </c:spPr>
        </c:majorGridlines>
        <c:numFmt formatCode="General" sourceLinked="1"/>
        <c:majorTickMark val="out"/>
        <c:minorTickMark val="none"/>
        <c:tickLblPos val="nextTo"/>
        <c:crossAx val="2822077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dLbls>
          <c:cat>
            <c:strRef>
              <c:f>Sheet1!$A$2:$A$3</c:f>
              <c:strCache>
                <c:ptCount val="2"/>
                <c:pt idx="0">
                  <c:v>male</c:v>
                </c:pt>
                <c:pt idx="1">
                  <c:v>female</c:v>
                </c:pt>
              </c:strCache>
            </c:strRef>
          </c:cat>
          <c:val>
            <c:numRef>
              <c:f>Sheet1!$B$2:$B$3</c:f>
              <c:numCache>
                <c:formatCode>0.00%</c:formatCode>
                <c:ptCount val="2"/>
                <c:pt idx="0">
                  <c:v>0.39400000000000002</c:v>
                </c:pt>
                <c:pt idx="1">
                  <c:v>0.60599999999999998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Pt>
            <c:idx val="1"/>
            <c:invertIfNegative val="0"/>
            <c:bubble3D val="0"/>
            <c:spPr>
              <a:solidFill>
                <a:srgbClr val="00B050"/>
              </a:solidFill>
            </c:spPr>
          </c:dPt>
          <c:dPt>
            <c:idx val="2"/>
            <c:invertIfNegative val="0"/>
            <c:bubble3D val="0"/>
            <c:spPr>
              <a:solidFill>
                <a:srgbClr val="C00000"/>
              </a:solidFill>
            </c:spPr>
          </c:dPt>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Sheet1!$A$2:$A$4</c:f>
              <c:strCache>
                <c:ptCount val="3"/>
                <c:pt idx="0">
                  <c:v>grade 1</c:v>
                </c:pt>
                <c:pt idx="1">
                  <c:v>grade 2</c:v>
                </c:pt>
                <c:pt idx="2">
                  <c:v>grade 3</c:v>
                </c:pt>
              </c:strCache>
            </c:strRef>
          </c:cat>
          <c:val>
            <c:numRef>
              <c:f>Sheet1!$B$2:$B$4</c:f>
              <c:numCache>
                <c:formatCode>0.00%</c:formatCode>
                <c:ptCount val="3"/>
                <c:pt idx="0">
                  <c:v>0.60599999999999998</c:v>
                </c:pt>
                <c:pt idx="1">
                  <c:v>0.36399999999999999</c:v>
                </c:pt>
                <c:pt idx="2" formatCode="0%">
                  <c:v>0.03</c:v>
                </c:pt>
              </c:numCache>
            </c:numRef>
          </c:val>
        </c:ser>
        <c:dLbls>
          <c:showLegendKey val="0"/>
          <c:showVal val="0"/>
          <c:showCatName val="0"/>
          <c:showSerName val="0"/>
          <c:showPercent val="0"/>
          <c:showBubbleSize val="0"/>
        </c:dLbls>
        <c:gapWidth val="150"/>
        <c:axId val="281433984"/>
        <c:axId val="281435520"/>
      </c:barChart>
      <c:catAx>
        <c:axId val="281433984"/>
        <c:scaling>
          <c:orientation val="minMax"/>
        </c:scaling>
        <c:delete val="0"/>
        <c:axPos val="b"/>
        <c:majorTickMark val="out"/>
        <c:minorTickMark val="none"/>
        <c:tickLblPos val="nextTo"/>
        <c:crossAx val="281435520"/>
        <c:crosses val="autoZero"/>
        <c:auto val="1"/>
        <c:lblAlgn val="ctr"/>
        <c:lblOffset val="100"/>
        <c:noMultiLvlLbl val="0"/>
      </c:catAx>
      <c:valAx>
        <c:axId val="281435520"/>
        <c:scaling>
          <c:orientation val="minMax"/>
        </c:scaling>
        <c:delete val="0"/>
        <c:axPos val="l"/>
        <c:numFmt formatCode="0.00%" sourceLinked="1"/>
        <c:majorTickMark val="out"/>
        <c:minorTickMark val="none"/>
        <c:tickLblPos val="nextTo"/>
        <c:crossAx val="2814339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rgbClr val="00B050"/>
            </a:solidFill>
          </c:spPr>
          <c:invertIfNegative val="0"/>
          <c:dPt>
            <c:idx val="1"/>
            <c:invertIfNegative val="0"/>
            <c:bubble3D val="0"/>
            <c:spPr>
              <a:solidFill>
                <a:srgbClr val="00B0F0"/>
              </a:solidFill>
            </c:spPr>
          </c:dPt>
          <c:dPt>
            <c:idx val="2"/>
            <c:invertIfNegative val="0"/>
            <c:bubble3D val="0"/>
            <c:spPr>
              <a:solidFill>
                <a:srgbClr val="C00000"/>
              </a:solidFill>
            </c:spPr>
          </c:dPt>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Sheet1!$A$2:$A$5</c:f>
              <c:strCache>
                <c:ptCount val="4"/>
                <c:pt idx="0">
                  <c:v>cycle 1</c:v>
                </c:pt>
                <c:pt idx="1">
                  <c:v>cycle 2</c:v>
                </c:pt>
                <c:pt idx="2">
                  <c:v>cycle 3</c:v>
                </c:pt>
                <c:pt idx="3">
                  <c:v>cycle 4</c:v>
                </c:pt>
              </c:strCache>
            </c:strRef>
          </c:cat>
          <c:val>
            <c:numRef>
              <c:f>Sheet1!$B$2:$B$5</c:f>
              <c:numCache>
                <c:formatCode>0.00%</c:formatCode>
                <c:ptCount val="4"/>
                <c:pt idx="0">
                  <c:v>0.121</c:v>
                </c:pt>
                <c:pt idx="1">
                  <c:v>0.60599999999999998</c:v>
                </c:pt>
                <c:pt idx="2">
                  <c:v>0.27300000000000002</c:v>
                </c:pt>
                <c:pt idx="3" formatCode="0%">
                  <c:v>0</c:v>
                </c:pt>
              </c:numCache>
            </c:numRef>
          </c:val>
        </c:ser>
        <c:dLbls>
          <c:showLegendKey val="0"/>
          <c:showVal val="0"/>
          <c:showCatName val="0"/>
          <c:showSerName val="0"/>
          <c:showPercent val="0"/>
          <c:showBubbleSize val="0"/>
        </c:dLbls>
        <c:gapWidth val="150"/>
        <c:axId val="276643840"/>
        <c:axId val="276645376"/>
      </c:barChart>
      <c:catAx>
        <c:axId val="276643840"/>
        <c:scaling>
          <c:orientation val="minMax"/>
        </c:scaling>
        <c:delete val="0"/>
        <c:axPos val="b"/>
        <c:majorTickMark val="out"/>
        <c:minorTickMark val="none"/>
        <c:tickLblPos val="nextTo"/>
        <c:crossAx val="276645376"/>
        <c:crosses val="autoZero"/>
        <c:auto val="1"/>
        <c:lblAlgn val="ctr"/>
        <c:lblOffset val="100"/>
        <c:noMultiLvlLbl val="0"/>
      </c:catAx>
      <c:valAx>
        <c:axId val="276645376"/>
        <c:scaling>
          <c:orientation val="minMax"/>
        </c:scaling>
        <c:delete val="0"/>
        <c:axPos val="l"/>
        <c:majorGridlines>
          <c:spPr>
            <a:ln>
              <a:noFill/>
            </a:ln>
          </c:spPr>
        </c:majorGridlines>
        <c:numFmt formatCode="0.00%" sourceLinked="1"/>
        <c:majorTickMark val="out"/>
        <c:minorTickMark val="none"/>
        <c:tickLblPos val="nextTo"/>
        <c:crossAx val="27664384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dLbls>
          <c:cat>
            <c:strRef>
              <c:f>Sheet1!$A$2:$A$4</c:f>
              <c:strCache>
                <c:ptCount val="3"/>
                <c:pt idx="0">
                  <c:v>75%</c:v>
                </c:pt>
                <c:pt idx="1">
                  <c:v>50%</c:v>
                </c:pt>
                <c:pt idx="2">
                  <c:v>discontinue</c:v>
                </c:pt>
              </c:strCache>
            </c:strRef>
          </c:cat>
          <c:val>
            <c:numRef>
              <c:f>Sheet1!$B$2:$B$4</c:f>
              <c:numCache>
                <c:formatCode>General</c:formatCode>
                <c:ptCount val="3"/>
                <c:pt idx="0">
                  <c:v>12</c:v>
                </c:pt>
                <c:pt idx="1">
                  <c:v>5</c:v>
                </c:pt>
                <c:pt idx="2">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of cases</c:v>
                </c:pt>
              </c:strCache>
            </c:strRef>
          </c:tx>
          <c:invertIfNegative val="0"/>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Sheet1!$A$2:$A$7</c:f>
              <c:strCache>
                <c:ptCount val="6"/>
                <c:pt idx="0">
                  <c:v>CA stomach</c:v>
                </c:pt>
                <c:pt idx="1">
                  <c:v>CA colon</c:v>
                </c:pt>
                <c:pt idx="2">
                  <c:v>CA breast</c:v>
                </c:pt>
                <c:pt idx="3">
                  <c:v>CA rectum</c:v>
                </c:pt>
                <c:pt idx="4">
                  <c:v>CA ovary</c:v>
                </c:pt>
                <c:pt idx="5">
                  <c:v>CA gallbladder</c:v>
                </c:pt>
              </c:strCache>
            </c:strRef>
          </c:cat>
          <c:val>
            <c:numRef>
              <c:f>Sheet1!$B$2:$B$7</c:f>
              <c:numCache>
                <c:formatCode>General</c:formatCode>
                <c:ptCount val="6"/>
                <c:pt idx="0">
                  <c:v>11</c:v>
                </c:pt>
                <c:pt idx="1">
                  <c:v>8</c:v>
                </c:pt>
                <c:pt idx="2">
                  <c:v>6</c:v>
                </c:pt>
                <c:pt idx="3">
                  <c:v>6</c:v>
                </c:pt>
                <c:pt idx="4">
                  <c:v>1</c:v>
                </c:pt>
                <c:pt idx="5">
                  <c:v>1</c:v>
                </c:pt>
              </c:numCache>
            </c:numRef>
          </c:val>
        </c:ser>
        <c:dLbls>
          <c:showLegendKey val="0"/>
          <c:showVal val="0"/>
          <c:showCatName val="0"/>
          <c:showSerName val="0"/>
          <c:showPercent val="0"/>
          <c:showBubbleSize val="0"/>
        </c:dLbls>
        <c:gapWidth val="150"/>
        <c:axId val="281922944"/>
        <c:axId val="281928832"/>
      </c:barChart>
      <c:catAx>
        <c:axId val="281922944"/>
        <c:scaling>
          <c:orientation val="minMax"/>
        </c:scaling>
        <c:delete val="0"/>
        <c:axPos val="b"/>
        <c:majorTickMark val="out"/>
        <c:minorTickMark val="none"/>
        <c:tickLblPos val="nextTo"/>
        <c:crossAx val="281928832"/>
        <c:crosses val="autoZero"/>
        <c:auto val="1"/>
        <c:lblAlgn val="ctr"/>
        <c:lblOffset val="100"/>
        <c:noMultiLvlLbl val="0"/>
      </c:catAx>
      <c:valAx>
        <c:axId val="281928832"/>
        <c:scaling>
          <c:orientation val="minMax"/>
        </c:scaling>
        <c:delete val="0"/>
        <c:axPos val="l"/>
        <c:numFmt formatCode="General" sourceLinked="1"/>
        <c:majorTickMark val="out"/>
        <c:minorTickMark val="none"/>
        <c:tickLblPos val="nextTo"/>
        <c:crossAx val="28192294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2">
                <a:lumMod val="75000"/>
              </a:schemeClr>
            </a:solidFill>
          </c:spPr>
          <c:invertIfNegative val="0"/>
          <c:dPt>
            <c:idx val="0"/>
            <c:invertIfNegative val="0"/>
            <c:bubble3D val="0"/>
            <c:spPr>
              <a:solidFill>
                <a:schemeClr val="accent1"/>
              </a:solidFill>
            </c:spPr>
          </c:dPt>
          <c:dPt>
            <c:idx val="1"/>
            <c:invertIfNegative val="0"/>
            <c:bubble3D val="0"/>
            <c:spPr>
              <a:solidFill>
                <a:srgbClr val="92D050"/>
              </a:solidFill>
            </c:spPr>
          </c:dPt>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Sheet1!$A$2:$A$3</c:f>
              <c:strCache>
                <c:ptCount val="2"/>
                <c:pt idx="0">
                  <c:v>monotherapy</c:v>
                </c:pt>
                <c:pt idx="1">
                  <c:v>combination therapy</c:v>
                </c:pt>
              </c:strCache>
            </c:strRef>
          </c:cat>
          <c:val>
            <c:numRef>
              <c:f>Sheet1!$B$2:$B$3</c:f>
              <c:numCache>
                <c:formatCode>0.00%</c:formatCode>
                <c:ptCount val="2"/>
                <c:pt idx="0">
                  <c:v>0.57599999999999996</c:v>
                </c:pt>
                <c:pt idx="1">
                  <c:v>0.42399999999999999</c:v>
                </c:pt>
              </c:numCache>
            </c:numRef>
          </c:val>
        </c:ser>
        <c:dLbls>
          <c:showLegendKey val="0"/>
          <c:showVal val="0"/>
          <c:showCatName val="0"/>
          <c:showSerName val="0"/>
          <c:showPercent val="0"/>
          <c:showBubbleSize val="0"/>
        </c:dLbls>
        <c:gapWidth val="150"/>
        <c:axId val="281995136"/>
        <c:axId val="281996672"/>
      </c:barChart>
      <c:catAx>
        <c:axId val="281995136"/>
        <c:scaling>
          <c:orientation val="minMax"/>
        </c:scaling>
        <c:delete val="0"/>
        <c:axPos val="b"/>
        <c:majorTickMark val="out"/>
        <c:minorTickMark val="none"/>
        <c:tickLblPos val="nextTo"/>
        <c:crossAx val="281996672"/>
        <c:crosses val="autoZero"/>
        <c:auto val="1"/>
        <c:lblAlgn val="ctr"/>
        <c:lblOffset val="100"/>
        <c:noMultiLvlLbl val="0"/>
      </c:catAx>
      <c:valAx>
        <c:axId val="281996672"/>
        <c:scaling>
          <c:orientation val="minMax"/>
        </c:scaling>
        <c:delete val="0"/>
        <c:axPos val="l"/>
        <c:numFmt formatCode="0.00%" sourceLinked="1"/>
        <c:majorTickMark val="out"/>
        <c:minorTickMark val="none"/>
        <c:tickLblPos val="nextTo"/>
        <c:crossAx val="28199513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1"/>
            <c:bubble3D val="0"/>
            <c:spPr>
              <a:solidFill>
                <a:srgbClr val="7030A0"/>
              </a:solidFill>
            </c:spPr>
          </c:dPt>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dLbls>
          <c:cat>
            <c:strRef>
              <c:f>Sheet1!$A$2:$A$3</c:f>
              <c:strCache>
                <c:ptCount val="2"/>
                <c:pt idx="0">
                  <c:v>adjuvant</c:v>
                </c:pt>
                <c:pt idx="1">
                  <c:v>palliative</c:v>
                </c:pt>
              </c:strCache>
            </c:strRef>
          </c:cat>
          <c:val>
            <c:numRef>
              <c:f>Sheet1!$B$2:$B$3</c:f>
              <c:numCache>
                <c:formatCode>0.00%</c:formatCode>
                <c:ptCount val="2"/>
                <c:pt idx="0">
                  <c:v>0.36399999999999999</c:v>
                </c:pt>
                <c:pt idx="1">
                  <c:v>0.63600000000000001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197</cp:revision>
  <dcterms:created xsi:type="dcterms:W3CDTF">2020-04-06T11:55:00Z</dcterms:created>
  <dcterms:modified xsi:type="dcterms:W3CDTF">2020-04-07T11:51:00Z</dcterms:modified>
</cp:coreProperties>
</file>