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F3" w:rsidRPr="001F35F3" w:rsidRDefault="001F35F3" w:rsidP="001F35F3">
      <w:pPr>
        <w:jc w:val="center"/>
        <w:rPr>
          <w:b/>
        </w:rPr>
      </w:pPr>
      <w:r w:rsidRPr="001F35F3">
        <w:rPr>
          <w:b/>
        </w:rPr>
        <w:t>A STUDY OF HYPOTHYROIDISM IN PATIENTS WITH NON DIABETIC CHRONIC KIDNEY DISEASE</w:t>
      </w:r>
    </w:p>
    <w:p w:rsidR="001F35F3" w:rsidRDefault="001F35F3" w:rsidP="001F35F3">
      <w:pPr>
        <w:jc w:val="center"/>
        <w:rPr>
          <w:b/>
        </w:rPr>
      </w:pPr>
      <w:r w:rsidRPr="001F35F3">
        <w:rPr>
          <w:b/>
        </w:rPr>
        <w:t>IN A TERTIARY CARE CENTRE</w:t>
      </w:r>
    </w:p>
    <w:p w:rsidR="00810EF0" w:rsidRPr="00741918" w:rsidRDefault="00804158">
      <w:pPr>
        <w:rPr>
          <w:vertAlign w:val="superscript"/>
        </w:rPr>
      </w:pPr>
      <w:r w:rsidRPr="00D900F1">
        <w:t>D.K .Bhattacharyya</w:t>
      </w:r>
      <w:r>
        <w:rPr>
          <w:vertAlign w:val="superscript"/>
        </w:rPr>
        <w:t>1</w:t>
      </w:r>
      <w:r w:rsidR="00E2140D">
        <w:rPr>
          <w:vertAlign w:val="superscript"/>
        </w:rPr>
        <w:t xml:space="preserve"> </w:t>
      </w:r>
      <w:r w:rsidR="00712A24">
        <w:rPr>
          <w:vertAlign w:val="superscript"/>
        </w:rPr>
        <w:t xml:space="preserve"> </w:t>
      </w:r>
      <w:r w:rsidR="00E2140D">
        <w:t>,</w:t>
      </w:r>
      <w:proofErr w:type="spellStart"/>
      <w:r w:rsidR="00810EF0" w:rsidRPr="00D900F1">
        <w:t>Midhun</w:t>
      </w:r>
      <w:proofErr w:type="spellEnd"/>
      <w:r w:rsidR="00810EF0" w:rsidRPr="00D900F1">
        <w:t xml:space="preserve"> Mohan</w:t>
      </w:r>
      <w:r>
        <w:rPr>
          <w:vertAlign w:val="superscript"/>
        </w:rPr>
        <w:t>2</w:t>
      </w:r>
      <w:r w:rsidR="001B7D8A">
        <w:t xml:space="preserve">, </w:t>
      </w:r>
      <w:r w:rsidR="00810EF0" w:rsidRPr="00D900F1">
        <w:t xml:space="preserve"> </w:t>
      </w:r>
      <w:proofErr w:type="spellStart"/>
      <w:r w:rsidR="00810EF0" w:rsidRPr="00D900F1">
        <w:t>Sawjib</w:t>
      </w:r>
      <w:proofErr w:type="spellEnd"/>
      <w:r w:rsidR="00810EF0" w:rsidRPr="00D900F1">
        <w:t xml:space="preserve"> Borphukan</w:t>
      </w:r>
      <w:r w:rsidR="00810EF0" w:rsidRPr="00D900F1">
        <w:rPr>
          <w:vertAlign w:val="superscript"/>
        </w:rPr>
        <w:t>3</w:t>
      </w:r>
      <w:r w:rsidR="00741918">
        <w:t>,</w:t>
      </w:r>
      <w:r w:rsidR="00741918" w:rsidRPr="00741918">
        <w:t xml:space="preserve"> </w:t>
      </w:r>
      <w:r w:rsidR="00741918">
        <w:t>S.</w:t>
      </w:r>
      <w:r w:rsidR="00741918" w:rsidRPr="00741918">
        <w:t xml:space="preserve"> Kakati</w:t>
      </w:r>
      <w:r w:rsidR="00741918">
        <w:rPr>
          <w:vertAlign w:val="superscript"/>
        </w:rPr>
        <w:t>4</w:t>
      </w:r>
    </w:p>
    <w:p w:rsidR="00810EF0" w:rsidRPr="00D900F1" w:rsidRDefault="00810EF0">
      <w:r w:rsidRPr="00D900F1">
        <w:br w:type="page"/>
      </w:r>
    </w:p>
    <w:p w:rsidR="001F35F3" w:rsidRPr="00D900F1" w:rsidRDefault="001F35F3"/>
    <w:p w:rsidR="00377D7D" w:rsidRPr="001F35F3" w:rsidRDefault="00377D7D" w:rsidP="00377D7D">
      <w:pPr>
        <w:rPr>
          <w:b/>
        </w:rPr>
      </w:pPr>
      <w:r w:rsidRPr="00444D66">
        <w:rPr>
          <w:b/>
        </w:rPr>
        <w:t>ABSTRACT</w:t>
      </w:r>
    </w:p>
    <w:p w:rsidR="00444D66" w:rsidRPr="00741918" w:rsidRDefault="00444D66" w:rsidP="008E41CA">
      <w:pPr>
        <w:spacing w:line="240" w:lineRule="auto"/>
        <w:rPr>
          <w:rFonts w:ascii="Times New Roman" w:hAnsi="Times New Roman" w:cs="Times New Roman"/>
        </w:rPr>
      </w:pPr>
      <w:r w:rsidRPr="00444D66">
        <w:rPr>
          <w:b/>
        </w:rPr>
        <w:t>Introduction</w:t>
      </w:r>
      <w:r>
        <w:t xml:space="preserve">: </w:t>
      </w:r>
      <w:r w:rsidR="00377D7D" w:rsidRPr="00741918">
        <w:rPr>
          <w:rFonts w:ascii="Times New Roman" w:hAnsi="Times New Roman" w:cs="Times New Roman"/>
        </w:rPr>
        <w:t xml:space="preserve">Chronic kidney disease (CKD) is a progressive irreversible loss of renal function over a period of months or years, which is associated with frequent hospitalization, significant mortality and morbidity. The course, progression and outcome of chronic kidney disease </w:t>
      </w:r>
      <w:proofErr w:type="gramStart"/>
      <w:r w:rsidR="00377D7D" w:rsidRPr="00741918">
        <w:rPr>
          <w:rFonts w:ascii="Times New Roman" w:hAnsi="Times New Roman" w:cs="Times New Roman"/>
        </w:rPr>
        <w:t>is</w:t>
      </w:r>
      <w:proofErr w:type="gramEnd"/>
      <w:r w:rsidR="00377D7D" w:rsidRPr="00741918">
        <w:rPr>
          <w:rFonts w:ascii="Times New Roman" w:hAnsi="Times New Roman" w:cs="Times New Roman"/>
        </w:rPr>
        <w:t xml:space="preserve"> thought to be affected, to a large extent by the status of thyroid function of the patient</w:t>
      </w:r>
      <w:r w:rsidR="00BA7C8A" w:rsidRPr="00741918">
        <w:rPr>
          <w:rFonts w:ascii="Times New Roman" w:hAnsi="Times New Roman" w:cs="Times New Roman"/>
          <w:vertAlign w:val="superscript"/>
        </w:rPr>
        <w:t>1</w:t>
      </w:r>
      <w:r w:rsidR="00377D7D" w:rsidRPr="00741918">
        <w:rPr>
          <w:rFonts w:ascii="Times New Roman" w:hAnsi="Times New Roman" w:cs="Times New Roman"/>
        </w:rPr>
        <w:t xml:space="preserve">. </w:t>
      </w:r>
    </w:p>
    <w:p w:rsidR="00444D66" w:rsidRPr="00444D66" w:rsidRDefault="00444D66" w:rsidP="008E41CA">
      <w:pPr>
        <w:pStyle w:val="Style9"/>
        <w:tabs>
          <w:tab w:val="left" w:pos="720"/>
        </w:tabs>
        <w:spacing w:before="0" w:line="240" w:lineRule="auto"/>
        <w:ind w:firstLine="0"/>
      </w:pPr>
      <w:r w:rsidRPr="00444D66">
        <w:rPr>
          <w:b/>
        </w:rPr>
        <w:t>Aim</w:t>
      </w:r>
      <w:r>
        <w:t>: T</w:t>
      </w:r>
      <w:r w:rsidR="00377D7D">
        <w:t>o</w:t>
      </w:r>
      <w:r w:rsidR="00377D7D" w:rsidRPr="00377D7D">
        <w:t xml:space="preserve"> </w:t>
      </w:r>
      <w:r w:rsidR="00377D7D">
        <w:rPr>
          <w:rFonts w:eastAsiaTheme="minorHAnsi"/>
        </w:rPr>
        <w:t xml:space="preserve">find </w:t>
      </w:r>
      <w:r w:rsidR="009D5C8B">
        <w:rPr>
          <w:rFonts w:eastAsiaTheme="minorHAnsi"/>
        </w:rPr>
        <w:t xml:space="preserve">out </w:t>
      </w:r>
      <w:r w:rsidR="009D5C8B" w:rsidRPr="00674CD8">
        <w:rPr>
          <w:rFonts w:eastAsiaTheme="minorHAnsi"/>
        </w:rPr>
        <w:t>the</w:t>
      </w:r>
      <w:r w:rsidR="00377D7D" w:rsidRPr="00674CD8">
        <w:rPr>
          <w:rFonts w:eastAsiaTheme="minorHAnsi"/>
        </w:rPr>
        <w:t xml:space="preserve"> proportion of hypothyroidism in patients with </w:t>
      </w:r>
      <w:r w:rsidR="00B92890" w:rsidRPr="00674CD8">
        <w:rPr>
          <w:rFonts w:eastAsiaTheme="minorHAnsi"/>
        </w:rPr>
        <w:t>non-di</w:t>
      </w:r>
      <w:r w:rsidR="00B92890">
        <w:rPr>
          <w:rFonts w:eastAsiaTheme="minorHAnsi"/>
        </w:rPr>
        <w:t>abetic</w:t>
      </w:r>
      <w:r w:rsidR="00377D7D">
        <w:rPr>
          <w:rFonts w:eastAsiaTheme="minorHAnsi"/>
        </w:rPr>
        <w:t xml:space="preserve"> chronic kidney disease and to detect </w:t>
      </w:r>
      <w:r w:rsidR="00377D7D" w:rsidRPr="00377D7D">
        <w:rPr>
          <w:rFonts w:eastAsiaTheme="minorHAnsi"/>
        </w:rPr>
        <w:t>the association</w:t>
      </w:r>
      <w:r w:rsidR="00377D7D">
        <w:rPr>
          <w:rFonts w:eastAsiaTheme="minorHAnsi"/>
        </w:rPr>
        <w:t xml:space="preserve"> </w:t>
      </w:r>
      <w:r w:rsidR="00377D7D" w:rsidRPr="00377D7D">
        <w:rPr>
          <w:rFonts w:eastAsiaTheme="minorHAnsi"/>
        </w:rPr>
        <w:t>of hypothyroidism with different stages of chronic kidney disease.</w:t>
      </w:r>
      <w:r w:rsidR="009D5C8B">
        <w:rPr>
          <w:rFonts w:eastAsiaTheme="minorHAnsi"/>
        </w:rPr>
        <w:t xml:space="preserve"> </w:t>
      </w:r>
    </w:p>
    <w:p w:rsidR="00444D66" w:rsidRDefault="00444D66" w:rsidP="008E41CA">
      <w:pPr>
        <w:pStyle w:val="Style9"/>
        <w:tabs>
          <w:tab w:val="left" w:pos="720"/>
        </w:tabs>
        <w:spacing w:before="0" w:line="240" w:lineRule="auto"/>
        <w:ind w:firstLine="0"/>
        <w:rPr>
          <w:rFonts w:eastAsiaTheme="minorHAnsi"/>
        </w:rPr>
      </w:pPr>
      <w:r w:rsidRPr="00444D66">
        <w:rPr>
          <w:rFonts w:eastAsiaTheme="minorHAnsi"/>
          <w:b/>
        </w:rPr>
        <w:t>Methodology</w:t>
      </w:r>
      <w:r>
        <w:rPr>
          <w:rFonts w:eastAsiaTheme="minorHAnsi"/>
        </w:rPr>
        <w:t>: This was a hospital based observational study conducted on a</w:t>
      </w:r>
      <w:r w:rsidR="009D5C8B">
        <w:rPr>
          <w:rFonts w:eastAsiaTheme="minorHAnsi"/>
        </w:rPr>
        <w:t xml:space="preserve"> total of 172 non diabetic chron</w:t>
      </w:r>
      <w:r>
        <w:rPr>
          <w:rFonts w:eastAsiaTheme="minorHAnsi"/>
        </w:rPr>
        <w:t>ic kidney disease patients</w:t>
      </w:r>
      <w:r w:rsidR="00810EF0">
        <w:rPr>
          <w:rFonts w:eastAsiaTheme="minorHAnsi"/>
        </w:rPr>
        <w:t xml:space="preserve"> admitted in Assam Medical College and Hospital. Subjects </w:t>
      </w:r>
      <w:r w:rsidR="00D900F1">
        <w:rPr>
          <w:rFonts w:eastAsiaTheme="minorHAnsi"/>
        </w:rPr>
        <w:t>undergone detailed clinical and</w:t>
      </w:r>
      <w:r w:rsidR="00810EF0">
        <w:rPr>
          <w:rFonts w:eastAsiaTheme="minorHAnsi"/>
        </w:rPr>
        <w:t xml:space="preserve"> laboratory </w:t>
      </w:r>
      <w:r w:rsidR="00D900F1">
        <w:rPr>
          <w:rFonts w:eastAsiaTheme="minorHAnsi"/>
        </w:rPr>
        <w:t>analysis and appropriate statistical methods were applied as required.</w:t>
      </w:r>
    </w:p>
    <w:p w:rsidR="00377D7D" w:rsidRDefault="00444D66" w:rsidP="00E34E9D">
      <w:pPr>
        <w:pStyle w:val="Style9"/>
        <w:tabs>
          <w:tab w:val="left" w:pos="720"/>
        </w:tabs>
        <w:spacing w:line="240" w:lineRule="auto"/>
        <w:ind w:firstLine="0"/>
      </w:pPr>
      <w:r w:rsidRPr="00444D66">
        <w:rPr>
          <w:rFonts w:eastAsiaTheme="minorHAnsi"/>
          <w:b/>
        </w:rPr>
        <w:t>Results</w:t>
      </w:r>
      <w:r>
        <w:rPr>
          <w:rFonts w:eastAsiaTheme="minorHAnsi"/>
        </w:rPr>
        <w:t xml:space="preserve">: </w:t>
      </w:r>
      <w:r w:rsidR="009D5C8B">
        <w:t xml:space="preserve">The prevalence of hypothyroidism in the study </w:t>
      </w:r>
      <w:r w:rsidR="009D5C8B" w:rsidRPr="006740AB">
        <w:t>was 31.98%</w:t>
      </w:r>
      <w:r w:rsidR="009D5C8B">
        <w:t xml:space="preserve">, </w:t>
      </w:r>
      <w:r w:rsidR="009D5C8B" w:rsidRPr="006740AB">
        <w:t>of which 25.58% had subclinical hypothyroidism</w:t>
      </w:r>
      <w:r w:rsidR="009D5C8B">
        <w:t xml:space="preserve">, </w:t>
      </w:r>
      <w:r w:rsidR="009D5C8B" w:rsidRPr="006740AB">
        <w:t>6.4% had overt hypothyroidism</w:t>
      </w:r>
      <w:r w:rsidR="00AD6E34">
        <w:t xml:space="preserve"> and </w:t>
      </w:r>
      <w:r w:rsidR="009D5C8B" w:rsidRPr="002D03F5">
        <w:t>there was</w:t>
      </w:r>
      <w:r w:rsidR="008611A9">
        <w:t xml:space="preserve"> an</w:t>
      </w:r>
      <w:r w:rsidR="009D5C8B" w:rsidRPr="002D03F5">
        <w:t xml:space="preserve"> increase in t</w:t>
      </w:r>
      <w:r w:rsidR="009D5C8B">
        <w:t>he prevalence of hypothyroidism</w:t>
      </w:r>
      <w:r w:rsidR="00AD6E34" w:rsidRPr="00AD6E34">
        <w:t xml:space="preserve"> </w:t>
      </w:r>
      <w:r w:rsidR="00AD6E34">
        <w:t xml:space="preserve">with increase in the </w:t>
      </w:r>
      <w:r w:rsidR="00AD6E34" w:rsidRPr="002D03F5">
        <w:t>stage</w:t>
      </w:r>
      <w:r w:rsidR="008611A9">
        <w:t>s</w:t>
      </w:r>
      <w:r w:rsidR="00AD6E34" w:rsidRPr="002D03F5">
        <w:t xml:space="preserve"> of CKD</w:t>
      </w:r>
      <w:r w:rsidR="00AD6E34">
        <w:t>.</w:t>
      </w:r>
      <w:r w:rsidR="00AD6E34" w:rsidRPr="00AD6E34">
        <w:t xml:space="preserve"> </w:t>
      </w:r>
      <w:r w:rsidR="00AD6E34">
        <w:t xml:space="preserve">It also showed </w:t>
      </w:r>
      <w:r w:rsidR="00AD6E34" w:rsidRPr="00280E34">
        <w:t xml:space="preserve">a </w:t>
      </w:r>
      <w:r>
        <w:t xml:space="preserve">positive correlation of </w:t>
      </w:r>
      <w:r w:rsidR="00AD6E34">
        <w:t xml:space="preserve">serum </w:t>
      </w:r>
      <w:proofErr w:type="gramStart"/>
      <w:r w:rsidR="00AD6E34">
        <w:t>T3</w:t>
      </w:r>
      <w:r w:rsidR="00E34E9D">
        <w:t>(</w:t>
      </w:r>
      <w:proofErr w:type="spellStart"/>
      <w:proofErr w:type="gramEnd"/>
      <w:r w:rsidR="00E34E9D" w:rsidRPr="00E34E9D">
        <w:rPr>
          <w:lang w:val="en-IN"/>
        </w:rPr>
        <w:t>Triiodothyronine</w:t>
      </w:r>
      <w:proofErr w:type="spellEnd"/>
      <w:r w:rsidR="00E34E9D">
        <w:rPr>
          <w:lang w:val="en-IN"/>
        </w:rPr>
        <w:t>)</w:t>
      </w:r>
      <w:r w:rsidR="00AD6E34">
        <w:t xml:space="preserve"> and T4</w:t>
      </w:r>
      <w:r w:rsidR="00E34E9D">
        <w:t xml:space="preserve"> (</w:t>
      </w:r>
      <w:proofErr w:type="spellStart"/>
      <w:r w:rsidR="00E34E9D" w:rsidRPr="00E34E9D">
        <w:t>Thyroxine</w:t>
      </w:r>
      <w:proofErr w:type="spellEnd"/>
      <w:r w:rsidR="00E34E9D">
        <w:t>)</w:t>
      </w:r>
      <w:r w:rsidR="00AD6E34">
        <w:t xml:space="preserve"> and a negative correlation</w:t>
      </w:r>
      <w:r>
        <w:t xml:space="preserve"> of TSH</w:t>
      </w:r>
      <w:r w:rsidR="00507D2E">
        <w:t xml:space="preserve"> </w:t>
      </w:r>
      <w:r w:rsidR="00E34E9D">
        <w:t>(</w:t>
      </w:r>
      <w:r w:rsidR="00E34E9D" w:rsidRPr="00E34E9D">
        <w:rPr>
          <w:lang w:val="en-IN"/>
        </w:rPr>
        <w:t>Thyroid Stimulating Hormone</w:t>
      </w:r>
      <w:r w:rsidR="00E34E9D">
        <w:rPr>
          <w:lang w:val="en-IN"/>
        </w:rPr>
        <w:t>)</w:t>
      </w:r>
      <w:r w:rsidR="00E34E9D">
        <w:t xml:space="preserve"> </w:t>
      </w:r>
      <w:r>
        <w:t xml:space="preserve"> </w:t>
      </w:r>
      <w:r w:rsidR="00AD6E34">
        <w:t xml:space="preserve">with </w:t>
      </w:r>
      <w:proofErr w:type="spellStart"/>
      <w:r w:rsidR="00AD6E34">
        <w:t>eGFR</w:t>
      </w:r>
      <w:proofErr w:type="spellEnd"/>
      <w:r w:rsidR="00B92890" w:rsidRPr="00B92890">
        <w:t xml:space="preserve"> </w:t>
      </w:r>
      <w:r w:rsidR="00B92890">
        <w:t>(</w:t>
      </w:r>
      <w:r w:rsidR="00B92890" w:rsidRPr="00B92890">
        <w:t>estimated Glomerular Filtration Rate</w:t>
      </w:r>
      <w:r w:rsidR="00B92890">
        <w:t>)</w:t>
      </w:r>
      <w:r>
        <w:t>.</w:t>
      </w:r>
    </w:p>
    <w:p w:rsidR="00444D66" w:rsidRDefault="00444D66" w:rsidP="008E41CA">
      <w:pPr>
        <w:pStyle w:val="Style9"/>
        <w:tabs>
          <w:tab w:val="left" w:pos="720"/>
        </w:tabs>
        <w:spacing w:before="0" w:line="240" w:lineRule="auto"/>
        <w:ind w:firstLine="0"/>
      </w:pPr>
      <w:r w:rsidRPr="00444D66">
        <w:rPr>
          <w:b/>
        </w:rPr>
        <w:t>Conclusion</w:t>
      </w:r>
      <w:r>
        <w:t>:</w:t>
      </w:r>
      <w:r w:rsidR="00D900F1">
        <w:t xml:space="preserve"> </w:t>
      </w:r>
      <w:r w:rsidR="00AE39EB" w:rsidRPr="00AE39EB">
        <w:t>Both CKD and hypothyroidism will increase the cardiovascular mortality</w:t>
      </w:r>
      <w:r w:rsidR="00804158">
        <w:t>.</w:t>
      </w:r>
      <w:r w:rsidR="00AE39EB" w:rsidRPr="00AE39EB">
        <w:t xml:space="preserve"> </w:t>
      </w:r>
      <w:r w:rsidR="00804158">
        <w:t xml:space="preserve">But </w:t>
      </w:r>
      <w:r w:rsidR="00AE39EB" w:rsidRPr="00AE39EB">
        <w:t>pure clinical differentiation will be difficult, so it is advisable to do thyroid function test in a patient with CKD. Early detection and treatment of hypothyroidism would be beneficial in reducing the mortality and morbidity in CKD</w:t>
      </w:r>
      <w:r w:rsidR="00E03591">
        <w:t>.</w:t>
      </w:r>
    </w:p>
    <w:p w:rsidR="00872B17" w:rsidRDefault="001F35F3" w:rsidP="00D900F1">
      <w:pPr>
        <w:pStyle w:val="Style9"/>
        <w:tabs>
          <w:tab w:val="left" w:pos="720"/>
          <w:tab w:val="left" w:pos="6000"/>
        </w:tabs>
        <w:spacing w:before="0" w:line="240" w:lineRule="auto"/>
        <w:ind w:firstLine="0"/>
      </w:pPr>
      <w:r w:rsidRPr="00B95F7B">
        <w:rPr>
          <w:b/>
        </w:rPr>
        <w:t>Keywords</w:t>
      </w:r>
      <w:r w:rsidR="002C07D3">
        <w:rPr>
          <w:b/>
        </w:rPr>
        <w:t xml:space="preserve">: </w:t>
      </w:r>
      <w:proofErr w:type="spellStart"/>
      <w:r w:rsidR="00B95F7B">
        <w:t>eGFR</w:t>
      </w:r>
      <w:proofErr w:type="spellEnd"/>
      <w:r w:rsidR="002C07D3">
        <w:t xml:space="preserve">, </w:t>
      </w:r>
      <w:r w:rsidR="000B3965">
        <w:t>TSH,</w:t>
      </w:r>
      <w:r w:rsidR="00021595">
        <w:t xml:space="preserve"> </w:t>
      </w:r>
      <w:r w:rsidR="000B3965">
        <w:t>Cardiovascular mortality</w:t>
      </w:r>
    </w:p>
    <w:p w:rsidR="00DF1E72" w:rsidRDefault="00DF1E72" w:rsidP="00D900F1">
      <w:pPr>
        <w:pStyle w:val="Style9"/>
        <w:tabs>
          <w:tab w:val="left" w:pos="720"/>
          <w:tab w:val="left" w:pos="6000"/>
        </w:tabs>
        <w:spacing w:before="0" w:line="240" w:lineRule="auto"/>
        <w:ind w:firstLine="0"/>
      </w:pPr>
      <w:r>
        <w:t>__________________________________________________________________________</w:t>
      </w:r>
    </w:p>
    <w:p w:rsidR="00872B17" w:rsidRDefault="00872B17" w:rsidP="00D900F1">
      <w:pPr>
        <w:pStyle w:val="Style9"/>
        <w:tabs>
          <w:tab w:val="left" w:pos="720"/>
          <w:tab w:val="left" w:pos="6000"/>
        </w:tabs>
        <w:spacing w:before="0" w:line="240" w:lineRule="auto"/>
        <w:ind w:firstLine="0"/>
        <w:rPr>
          <w:b/>
        </w:rPr>
      </w:pPr>
      <w:r w:rsidRPr="00872B17">
        <w:rPr>
          <w:b/>
        </w:rPr>
        <w:t>Address for correspondence</w:t>
      </w:r>
      <w:r>
        <w:rPr>
          <w:b/>
        </w:rPr>
        <w:t>:</w:t>
      </w:r>
    </w:p>
    <w:p w:rsidR="00872B17" w:rsidRDefault="00872B17" w:rsidP="00D900F1">
      <w:pPr>
        <w:pStyle w:val="Style9"/>
        <w:tabs>
          <w:tab w:val="left" w:pos="720"/>
          <w:tab w:val="left" w:pos="6000"/>
        </w:tabs>
        <w:spacing w:before="0" w:line="240" w:lineRule="auto"/>
        <w:ind w:firstLine="0"/>
      </w:pPr>
      <w:proofErr w:type="gramStart"/>
      <w:r w:rsidRPr="00872B17">
        <w:rPr>
          <w:vertAlign w:val="superscript"/>
        </w:rPr>
        <w:t>1</w:t>
      </w:r>
      <w:r>
        <w:t>Professor, Department of Medicine,</w:t>
      </w:r>
      <w:r w:rsidRPr="00D900F1">
        <w:t xml:space="preserve"> Assam Medical College and Hospital</w:t>
      </w:r>
      <w:r w:rsidRPr="00741918">
        <w:t xml:space="preserve"> </w:t>
      </w:r>
      <w:proofErr w:type="spellStart"/>
      <w:r w:rsidRPr="00741918">
        <w:t>Dibrugarh</w:t>
      </w:r>
      <w:proofErr w:type="spellEnd"/>
      <w:r>
        <w:t>.</w:t>
      </w:r>
      <w:proofErr w:type="gramEnd"/>
    </w:p>
    <w:p w:rsidR="00872B17" w:rsidRDefault="001307C9" w:rsidP="00D900F1">
      <w:pPr>
        <w:pStyle w:val="Style9"/>
        <w:tabs>
          <w:tab w:val="left" w:pos="720"/>
          <w:tab w:val="left" w:pos="6000"/>
        </w:tabs>
        <w:spacing w:before="0" w:line="240" w:lineRule="auto"/>
        <w:ind w:firstLine="0"/>
      </w:pPr>
      <w:r w:rsidRPr="001307C9">
        <w:rPr>
          <w:b/>
        </w:rPr>
        <w:t>E</w:t>
      </w:r>
      <w:r w:rsidR="00872B17" w:rsidRPr="001307C9">
        <w:rPr>
          <w:b/>
        </w:rPr>
        <w:t>mail</w:t>
      </w:r>
      <w:r w:rsidR="00872B17">
        <w:t>:</w:t>
      </w:r>
      <w:r w:rsidR="00D75133">
        <w:t xml:space="preserve"> bhattadipen63@gmail.com</w:t>
      </w:r>
    </w:p>
    <w:p w:rsidR="00872B17" w:rsidRDefault="00872B17" w:rsidP="00D900F1">
      <w:pPr>
        <w:pStyle w:val="Style9"/>
        <w:tabs>
          <w:tab w:val="left" w:pos="720"/>
          <w:tab w:val="left" w:pos="6000"/>
        </w:tabs>
        <w:spacing w:before="0" w:line="240" w:lineRule="auto"/>
        <w:ind w:firstLine="0"/>
      </w:pPr>
      <w:r w:rsidRPr="001307C9">
        <w:rPr>
          <w:b/>
        </w:rPr>
        <w:t>Mobile</w:t>
      </w:r>
      <w:r>
        <w:t xml:space="preserve">: </w:t>
      </w:r>
      <w:r w:rsidR="00D75133">
        <w:t>+919864012133</w:t>
      </w:r>
    </w:p>
    <w:p w:rsidR="00D75133" w:rsidRDefault="00D75133" w:rsidP="00D900F1">
      <w:pPr>
        <w:pStyle w:val="Style9"/>
        <w:tabs>
          <w:tab w:val="left" w:pos="720"/>
          <w:tab w:val="left" w:pos="6000"/>
        </w:tabs>
        <w:spacing w:before="0" w:line="240" w:lineRule="auto"/>
        <w:ind w:firstLine="0"/>
      </w:pPr>
      <w:r>
        <w:rPr>
          <w:vertAlign w:val="superscript"/>
        </w:rPr>
        <w:t>2</w:t>
      </w:r>
      <w:r w:rsidRPr="00F17184">
        <w:t xml:space="preserve">Post </w:t>
      </w:r>
      <w:r>
        <w:t>graduate Trainee, Department of Medicine, Assam Medical College and Hospital</w:t>
      </w:r>
      <w:r w:rsidRPr="00741918">
        <w:t xml:space="preserve"> </w:t>
      </w:r>
      <w:proofErr w:type="spellStart"/>
      <w:r w:rsidRPr="00741918">
        <w:t>Dibrugarh</w:t>
      </w:r>
      <w:proofErr w:type="spellEnd"/>
      <w:proofErr w:type="gramStart"/>
      <w:r w:rsidR="001307C9">
        <w:t>.(</w:t>
      </w:r>
      <w:proofErr w:type="gramEnd"/>
      <w:r w:rsidR="001307C9" w:rsidRPr="001307C9">
        <w:rPr>
          <w:b/>
        </w:rPr>
        <w:t>Corresponding author</w:t>
      </w:r>
      <w:r w:rsidR="001307C9">
        <w:t>)</w:t>
      </w:r>
    </w:p>
    <w:p w:rsidR="00D75133" w:rsidRDefault="001307C9" w:rsidP="00D900F1">
      <w:pPr>
        <w:pStyle w:val="Style9"/>
        <w:tabs>
          <w:tab w:val="left" w:pos="720"/>
          <w:tab w:val="left" w:pos="6000"/>
        </w:tabs>
        <w:spacing w:before="0" w:line="240" w:lineRule="auto"/>
        <w:ind w:firstLine="0"/>
      </w:pPr>
      <w:r w:rsidRPr="001307C9">
        <w:rPr>
          <w:b/>
        </w:rPr>
        <w:t>E</w:t>
      </w:r>
      <w:r w:rsidR="00D75133" w:rsidRPr="001307C9">
        <w:rPr>
          <w:b/>
        </w:rPr>
        <w:t>mail</w:t>
      </w:r>
      <w:r w:rsidR="00D75133">
        <w:t>: midhunmohan07@gmail.com</w:t>
      </w:r>
    </w:p>
    <w:p w:rsidR="00D75133" w:rsidRDefault="00D75133" w:rsidP="00D900F1">
      <w:pPr>
        <w:pStyle w:val="Style9"/>
        <w:tabs>
          <w:tab w:val="left" w:pos="720"/>
          <w:tab w:val="left" w:pos="6000"/>
        </w:tabs>
        <w:spacing w:before="0" w:line="240" w:lineRule="auto"/>
        <w:ind w:firstLine="0"/>
      </w:pPr>
      <w:r w:rsidRPr="001307C9">
        <w:rPr>
          <w:b/>
        </w:rPr>
        <w:t>Mobile</w:t>
      </w:r>
      <w:r>
        <w:t>: +918011654558</w:t>
      </w:r>
    </w:p>
    <w:p w:rsidR="001307C9" w:rsidRDefault="001307C9" w:rsidP="001307C9">
      <w:r w:rsidRPr="001307C9">
        <w:rPr>
          <w:sz w:val="24"/>
          <w:szCs w:val="24"/>
          <w:vertAlign w:val="superscript"/>
        </w:rPr>
        <w:t>3</w:t>
      </w:r>
      <w:r w:rsidRPr="00D900F1">
        <w:t>Associate Profe</w:t>
      </w:r>
      <w:r>
        <w:t xml:space="preserve">ssor, Department of Nephrology, </w:t>
      </w:r>
      <w:r w:rsidRPr="00D900F1">
        <w:t xml:space="preserve">Assam Medical College &amp; Hospital </w:t>
      </w:r>
      <w:proofErr w:type="spellStart"/>
      <w:r w:rsidRPr="00741918">
        <w:t>Dibrugarh</w:t>
      </w:r>
      <w:proofErr w:type="spellEnd"/>
    </w:p>
    <w:p w:rsidR="001307C9" w:rsidRDefault="001307C9" w:rsidP="001307C9">
      <w:r w:rsidRPr="001307C9">
        <w:rPr>
          <w:sz w:val="24"/>
          <w:szCs w:val="24"/>
          <w:vertAlign w:val="superscript"/>
        </w:rPr>
        <w:t>4</w:t>
      </w:r>
      <w:r w:rsidRPr="00741918">
        <w:t xml:space="preserve">Professor and Head, Department of Medicine, Assam Medical College &amp; Hospital, </w:t>
      </w:r>
      <w:proofErr w:type="spellStart"/>
      <w:r w:rsidRPr="00741918">
        <w:t>Dibrugarh</w:t>
      </w:r>
      <w:proofErr w:type="spellEnd"/>
    </w:p>
    <w:p w:rsidR="001307C9" w:rsidRDefault="001307C9" w:rsidP="001307C9"/>
    <w:p w:rsidR="00362696" w:rsidRDefault="00362696" w:rsidP="00362696">
      <w:pPr>
        <w:pStyle w:val="Style9"/>
        <w:tabs>
          <w:tab w:val="left" w:pos="720"/>
          <w:tab w:val="left" w:pos="6000"/>
        </w:tabs>
        <w:spacing w:before="0" w:line="240" w:lineRule="auto"/>
        <w:ind w:firstLine="0"/>
      </w:pPr>
    </w:p>
    <w:p w:rsidR="00AE39EB" w:rsidRPr="00362696" w:rsidRDefault="004E5C45" w:rsidP="00362696">
      <w:pPr>
        <w:pStyle w:val="Style9"/>
        <w:tabs>
          <w:tab w:val="left" w:pos="720"/>
          <w:tab w:val="left" w:pos="6000"/>
        </w:tabs>
        <w:spacing w:before="0" w:line="240" w:lineRule="auto"/>
        <w:ind w:firstLine="0"/>
        <w:rPr>
          <w:b/>
        </w:rPr>
      </w:pPr>
      <w:r>
        <w:t>INTRODUCTION</w:t>
      </w:r>
    </w:p>
    <w:p w:rsidR="00AE39EB" w:rsidRDefault="00AE39EB" w:rsidP="004E5C45">
      <w:pPr>
        <w:pStyle w:val="Style2"/>
        <w:spacing w:line="240" w:lineRule="auto"/>
        <w:ind w:firstLine="0"/>
      </w:pPr>
      <w:r>
        <w:rPr>
          <w:bCs w:val="0"/>
        </w:rPr>
        <w:t>C</w:t>
      </w:r>
      <w:r w:rsidRPr="00AE39EB">
        <w:t>hronic kidney disease (CKD) is a progressive irreversible loss of renal function over a period of months or years, which is associated with frequent hospitalization, significant mortality and morbidity. It is emerging to be an important chronic disease globally especially with increasing worldwide incidence of diabetes and hypertension</w:t>
      </w:r>
      <w:r w:rsidR="00BA7C8A">
        <w:rPr>
          <w:vertAlign w:val="superscript"/>
        </w:rPr>
        <w:t>2</w:t>
      </w:r>
      <w:r w:rsidRPr="00AE39EB">
        <w:t>. In India given its population of &gt;1 billion, the rising trend of CKD is likely to pose major burden on the healthcare and economy in future years</w:t>
      </w:r>
      <w:r w:rsidRPr="00AE39EB">
        <w:rPr>
          <w:vertAlign w:val="superscript"/>
        </w:rPr>
        <w:t>3</w:t>
      </w:r>
      <w:r w:rsidRPr="00AE39EB">
        <w:t xml:space="preserve">. The adjusted incidence rate of </w:t>
      </w:r>
      <w:proofErr w:type="gramStart"/>
      <w:r w:rsidRPr="00AE39EB">
        <w:t>ESRD</w:t>
      </w:r>
      <w:r w:rsidR="00021595">
        <w:t>(</w:t>
      </w:r>
      <w:proofErr w:type="gramEnd"/>
      <w:r w:rsidR="00021595" w:rsidRPr="00021595">
        <w:t>End Stage Renal Disease</w:t>
      </w:r>
      <w:r w:rsidR="00021595">
        <w:t>)</w:t>
      </w:r>
      <w:r w:rsidRPr="00AE39EB">
        <w:t xml:space="preserve"> is recently estimated to be 229 per million population</w:t>
      </w:r>
      <w:r w:rsidRPr="00AE39EB">
        <w:rPr>
          <w:vertAlign w:val="superscript"/>
        </w:rPr>
        <w:t>4</w:t>
      </w:r>
      <w:r w:rsidRPr="00AE39EB">
        <w:t>, and more than 100,000 new patient</w:t>
      </w:r>
      <w:r w:rsidR="00BA7C8A">
        <w:t>s enter renal replacement programs annually in India</w:t>
      </w:r>
      <w:r w:rsidR="00BA7C8A" w:rsidRPr="00BA7C8A">
        <w:t xml:space="preserve">. </w:t>
      </w:r>
      <w:r w:rsidRPr="00AE39EB">
        <w:t xml:space="preserve"> </w:t>
      </w:r>
      <w:r>
        <w:t>Thyroid disease is common in the general population, and the</w:t>
      </w:r>
      <w:r w:rsidR="00BA7C8A">
        <w:t xml:space="preserve"> prevalence increases with age</w:t>
      </w:r>
      <w:r w:rsidR="00BA7C8A">
        <w:rPr>
          <w:vertAlign w:val="superscript"/>
        </w:rPr>
        <w:t>5</w:t>
      </w:r>
      <w:r w:rsidR="00BA7C8A">
        <w:t>.</w:t>
      </w:r>
      <w:r>
        <w:t xml:space="preserve"> Hypothyroidism is more common than hyperthyroidism. It can be autoimmune in origin, presenting as either primary atrophic hypothyroidism or Hashimoto’s thyroiditis. The mean incidence rate of autoimmune hypothyroidism is </w:t>
      </w:r>
      <w:r w:rsidR="00362696">
        <w:t>up to</w:t>
      </w:r>
      <w:r w:rsidR="00BA7C8A">
        <w:t xml:space="preserve"> 4/1000 women and 1/1000 men</w:t>
      </w:r>
      <w:r w:rsidR="00BA7C8A">
        <w:rPr>
          <w:vertAlign w:val="superscript"/>
        </w:rPr>
        <w:t>6</w:t>
      </w:r>
      <w:r>
        <w:t>.</w:t>
      </w:r>
    </w:p>
    <w:p w:rsidR="00AE39EB" w:rsidRDefault="00AE39EB" w:rsidP="004E5C45">
      <w:pPr>
        <w:pStyle w:val="Style2"/>
        <w:spacing w:line="240" w:lineRule="auto"/>
        <w:ind w:firstLine="0"/>
      </w:pPr>
      <w:r>
        <w:t>Subclinical hypothyroidism (SCH) is found in 6–8% of women (10% over the age of 60) and 3% of men. The annual risk of developing clinical hypothyroidism is about 4% when subclinical hypothyroidism is associated with positive Thyr</w:t>
      </w:r>
      <w:r w:rsidR="00BA7C8A">
        <w:t>oid peroxidase (TPO) antibodies</w:t>
      </w:r>
      <w:r w:rsidR="00BA7C8A">
        <w:rPr>
          <w:vertAlign w:val="superscript"/>
        </w:rPr>
        <w:t>6</w:t>
      </w:r>
      <w:r>
        <w:t>.</w:t>
      </w:r>
    </w:p>
    <w:p w:rsidR="00AE39EB" w:rsidRDefault="00AE39EB" w:rsidP="004E5C45">
      <w:pPr>
        <w:pStyle w:val="Style2"/>
        <w:spacing w:line="240" w:lineRule="auto"/>
        <w:ind w:firstLine="0"/>
      </w:pPr>
      <w:r>
        <w:t xml:space="preserve">The interrelation between Chronic Kidney Disease and thyroid dysfunction has been a matter of real interest for the researchers. The course, progression and outcome of chronic kidney disease </w:t>
      </w:r>
      <w:proofErr w:type="gramStart"/>
      <w:r>
        <w:t>is</w:t>
      </w:r>
      <w:proofErr w:type="gramEnd"/>
      <w:r>
        <w:t xml:space="preserve"> thought to be affected, to a large extent by the status of thyroid function of the </w:t>
      </w:r>
      <w:r w:rsidR="00BA7C8A">
        <w:t>patient</w:t>
      </w:r>
      <w:r w:rsidR="00BA7C8A">
        <w:rPr>
          <w:vertAlign w:val="superscript"/>
        </w:rPr>
        <w:t>7</w:t>
      </w:r>
      <w:r>
        <w:t>. There are several interaction between thyroid and kidney function in each organs disease state and a detailed knowledge of all these is important for the optimal management of the patient.</w:t>
      </w:r>
    </w:p>
    <w:p w:rsidR="00AE39EB" w:rsidRDefault="00AE39EB" w:rsidP="008E41CA">
      <w:pPr>
        <w:pStyle w:val="Style2"/>
        <w:spacing w:line="240" w:lineRule="auto"/>
      </w:pPr>
      <w:r>
        <w:t xml:space="preserve">In the view of </w:t>
      </w:r>
      <w:r w:rsidR="00B95F7B">
        <w:t xml:space="preserve">the </w:t>
      </w:r>
      <w:r>
        <w:t xml:space="preserve">above facts, an attempt is made to study the thyroid dysfunction in patients with non- diabetic chronic kidney disease. Diabetes has been excluded as it has already been accepted being an independent factor in the </w:t>
      </w:r>
      <w:r w:rsidR="00BA7C8A">
        <w:t>genesis of thyroid dysfunction</w:t>
      </w:r>
      <w:r w:rsidR="00BA7C8A">
        <w:rPr>
          <w:vertAlign w:val="superscript"/>
        </w:rPr>
        <w:t>8</w:t>
      </w:r>
      <w:r w:rsidR="00465BD9">
        <w:t>.</w:t>
      </w:r>
    </w:p>
    <w:p w:rsidR="00AE39EB" w:rsidRPr="00FB2914" w:rsidRDefault="00AE39EB" w:rsidP="008E41CA">
      <w:pPr>
        <w:pStyle w:val="Style2"/>
        <w:spacing w:line="240" w:lineRule="auto"/>
        <w:ind w:firstLine="0"/>
        <w:rPr>
          <w:b/>
        </w:rPr>
      </w:pPr>
      <w:r w:rsidRPr="00FB2914">
        <w:rPr>
          <w:b/>
        </w:rPr>
        <w:t>MATERIALS AND METHODS</w:t>
      </w:r>
    </w:p>
    <w:p w:rsidR="00AE39EB" w:rsidRPr="00AE39EB" w:rsidRDefault="00CC2155" w:rsidP="008E41CA">
      <w:pPr>
        <w:pStyle w:val="Style2"/>
        <w:spacing w:line="240" w:lineRule="auto"/>
        <w:ind w:firstLine="0"/>
        <w:rPr>
          <w:lang w:eastAsia="en-IN"/>
        </w:rPr>
      </w:pPr>
      <w:r>
        <w:rPr>
          <w:rFonts w:eastAsia="Souvenir" w:cstheme="minorHAnsi"/>
          <w:color w:val="000000"/>
          <w:lang w:eastAsia="en-IN"/>
        </w:rPr>
        <w:t xml:space="preserve">The present study was a </w:t>
      </w:r>
      <w:r>
        <w:t>h</w:t>
      </w:r>
      <w:r w:rsidR="00AE39EB" w:rsidRPr="00AE39EB">
        <w:t>ospital based cross sectional study</w:t>
      </w:r>
      <w:r>
        <w:rPr>
          <w:rFonts w:eastAsia="Souvenir" w:cstheme="minorHAnsi"/>
          <w:color w:val="000000"/>
          <w:lang w:eastAsia="en-IN"/>
        </w:rPr>
        <w:t xml:space="preserve"> carried out in the department of Medicine, </w:t>
      </w:r>
      <w:r w:rsidRPr="00CC2155">
        <w:rPr>
          <w:lang w:eastAsia="en-IN"/>
        </w:rPr>
        <w:t xml:space="preserve">Assam Medical College &amp; Hospital, </w:t>
      </w:r>
      <w:proofErr w:type="spellStart"/>
      <w:r w:rsidRPr="00CC2155">
        <w:rPr>
          <w:lang w:eastAsia="en-IN"/>
        </w:rPr>
        <w:t>Dibrugarh</w:t>
      </w:r>
      <w:proofErr w:type="spellEnd"/>
      <w:r w:rsidRPr="00CC2155">
        <w:rPr>
          <w:lang w:eastAsia="en-IN"/>
        </w:rPr>
        <w:t xml:space="preserve"> for a period of one year from 1st July 2018 to 30</w:t>
      </w:r>
      <w:r w:rsidRPr="00CC2155">
        <w:rPr>
          <w:vertAlign w:val="superscript"/>
          <w:lang w:eastAsia="en-IN"/>
        </w:rPr>
        <w:t>th</w:t>
      </w:r>
      <w:r w:rsidRPr="00CC2155">
        <w:rPr>
          <w:lang w:eastAsia="en-IN"/>
        </w:rPr>
        <w:t xml:space="preserve"> June 2019.</w:t>
      </w:r>
      <w:r w:rsidRPr="00CC2155">
        <w:rPr>
          <w:rFonts w:eastAsia="Souvenir" w:cstheme="minorHAnsi"/>
          <w:color w:val="000000"/>
          <w:lang w:eastAsia="en-IN"/>
        </w:rPr>
        <w:t xml:space="preserve"> </w:t>
      </w:r>
      <w:r w:rsidRPr="00AE39EB">
        <w:rPr>
          <w:rFonts w:eastAsia="Souvenir" w:cstheme="minorHAnsi"/>
          <w:color w:val="000000"/>
          <w:lang w:eastAsia="en-IN"/>
        </w:rPr>
        <w:t xml:space="preserve">After considering the inclusion and exclusion criteria, a total number of 172 clinically diagnosed cases of </w:t>
      </w:r>
      <w:r w:rsidR="00021595" w:rsidRPr="00AE39EB">
        <w:rPr>
          <w:rFonts w:eastAsia="Souvenir" w:cstheme="minorHAnsi"/>
          <w:color w:val="000000"/>
          <w:lang w:eastAsia="en-IN"/>
        </w:rPr>
        <w:t>non-diabetic</w:t>
      </w:r>
      <w:r w:rsidRPr="00AE39EB">
        <w:rPr>
          <w:rFonts w:eastAsia="Souvenir" w:cstheme="minorHAnsi"/>
          <w:color w:val="000000"/>
          <w:lang w:eastAsia="en-IN"/>
        </w:rPr>
        <w:t xml:space="preserve"> CKD as per NKF-KDOQI 2012 criteria c</w:t>
      </w:r>
      <w:r>
        <w:rPr>
          <w:rFonts w:eastAsia="Souvenir" w:cstheme="minorHAnsi"/>
          <w:color w:val="000000"/>
          <w:lang w:eastAsia="en-IN"/>
        </w:rPr>
        <w:t>ases were taken up for the study</w:t>
      </w:r>
    </w:p>
    <w:p w:rsidR="00AE39EB" w:rsidRPr="00AE39EB" w:rsidRDefault="00AE39EB" w:rsidP="008E41CA">
      <w:pPr>
        <w:pBdr>
          <w:top w:val="nil"/>
          <w:left w:val="nil"/>
          <w:bottom w:val="nil"/>
          <w:right w:val="nil"/>
          <w:between w:val="nil"/>
        </w:pBdr>
        <w:spacing w:before="120" w:after="120" w:line="240" w:lineRule="auto"/>
        <w:rPr>
          <w:rFonts w:ascii="Times New Roman" w:eastAsia="Souvenir" w:hAnsi="Times New Roman" w:cstheme="minorHAnsi"/>
          <w:b/>
          <w:color w:val="000000"/>
          <w:sz w:val="24"/>
          <w:szCs w:val="24"/>
          <w:lang w:eastAsia="en-IN"/>
        </w:rPr>
      </w:pPr>
      <w:r w:rsidRPr="00AE39EB">
        <w:rPr>
          <w:rFonts w:ascii="Times New Roman" w:eastAsia="Souvenir" w:hAnsi="Times New Roman" w:cstheme="minorHAnsi"/>
          <w:b/>
          <w:color w:val="000000"/>
          <w:sz w:val="24"/>
          <w:szCs w:val="24"/>
          <w:lang w:eastAsia="en-IN"/>
        </w:rPr>
        <w:t>Inclusion Criteria</w:t>
      </w:r>
    </w:p>
    <w:p w:rsidR="00AE39EB" w:rsidRPr="00AE39EB" w:rsidRDefault="00AE39EB" w:rsidP="008E41CA">
      <w:pPr>
        <w:pBdr>
          <w:top w:val="nil"/>
          <w:left w:val="nil"/>
          <w:bottom w:val="nil"/>
          <w:right w:val="nil"/>
          <w:between w:val="nil"/>
        </w:pBdr>
        <w:spacing w:before="120" w:after="120" w:line="240" w:lineRule="auto"/>
        <w:rPr>
          <w:rFonts w:ascii="Times New Roman" w:eastAsia="Souvenir" w:hAnsi="Times New Roman" w:cstheme="minorHAnsi"/>
          <w:color w:val="000000"/>
          <w:sz w:val="24"/>
          <w:szCs w:val="24"/>
          <w:lang w:eastAsia="en-IN"/>
        </w:rPr>
      </w:pPr>
      <w:proofErr w:type="gramStart"/>
      <w:r w:rsidRPr="00AE39EB">
        <w:rPr>
          <w:rFonts w:ascii="Times New Roman" w:eastAsia="Souvenir" w:hAnsi="Times New Roman" w:cstheme="minorHAnsi"/>
          <w:color w:val="000000"/>
          <w:sz w:val="24"/>
          <w:szCs w:val="24"/>
          <w:lang w:eastAsia="en-IN"/>
        </w:rPr>
        <w:t>All patients with Chronic Kidney Disease without diabetes mellitus.</w:t>
      </w:r>
      <w:proofErr w:type="gramEnd"/>
    </w:p>
    <w:p w:rsidR="00AE39EB" w:rsidRPr="00AE39EB" w:rsidRDefault="00AE39EB" w:rsidP="008E41CA">
      <w:pPr>
        <w:widowControl w:val="0"/>
        <w:autoSpaceDE w:val="0"/>
        <w:autoSpaceDN w:val="0"/>
        <w:spacing w:before="480" w:after="0" w:line="240" w:lineRule="auto"/>
        <w:jc w:val="both"/>
        <w:rPr>
          <w:rFonts w:ascii="Times New Roman" w:eastAsia="Souvenir" w:hAnsi="Times New Roman" w:cs="Times New Roman"/>
          <w:b/>
          <w:bCs/>
          <w:sz w:val="24"/>
          <w:szCs w:val="24"/>
          <w:lang w:eastAsia="en-IN"/>
        </w:rPr>
      </w:pPr>
      <w:r w:rsidRPr="00AE39EB">
        <w:rPr>
          <w:rFonts w:ascii="Times New Roman" w:eastAsia="Souvenir" w:hAnsi="Times New Roman" w:cs="Times New Roman"/>
          <w:b/>
          <w:bCs/>
          <w:sz w:val="24"/>
          <w:szCs w:val="24"/>
          <w:lang w:eastAsia="en-IN"/>
        </w:rPr>
        <w:t>Exclusion Criteria</w:t>
      </w:r>
    </w:p>
    <w:p w:rsidR="00AE39EB" w:rsidRPr="00AE39EB" w:rsidRDefault="00AE39EB" w:rsidP="008E41CA">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heme="minorHAnsi"/>
          <w:color w:val="000000"/>
          <w:sz w:val="24"/>
          <w:szCs w:val="24"/>
          <w:vertAlign w:val="superscript"/>
          <w:lang w:eastAsia="en-IN"/>
        </w:rPr>
      </w:pPr>
      <w:r w:rsidRPr="00AE39EB">
        <w:rPr>
          <w:rFonts w:ascii="Times New Roman" w:eastAsia="Souvenir" w:hAnsi="Times New Roman" w:cstheme="minorHAnsi"/>
          <w:color w:val="000000"/>
          <w:sz w:val="24"/>
          <w:szCs w:val="24"/>
          <w:lang w:eastAsia="en-IN"/>
        </w:rPr>
        <w:t xml:space="preserve">Patients age less than 18years </w:t>
      </w:r>
      <w:r w:rsidR="00BA7C8A">
        <w:rPr>
          <w:rFonts w:ascii="Times New Roman" w:eastAsia="Souvenir" w:hAnsi="Times New Roman" w:cstheme="minorHAnsi"/>
          <w:color w:val="000000"/>
          <w:sz w:val="24"/>
          <w:szCs w:val="24"/>
          <w:vertAlign w:val="superscript"/>
          <w:lang w:eastAsia="en-IN"/>
        </w:rPr>
        <w:t>9</w:t>
      </w:r>
    </w:p>
    <w:p w:rsidR="00AE39EB" w:rsidRPr="00AE39EB" w:rsidRDefault="00AE39EB" w:rsidP="008E41CA">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heme="minorHAnsi"/>
          <w:color w:val="000000"/>
          <w:sz w:val="24"/>
          <w:szCs w:val="24"/>
          <w:lang w:eastAsia="en-IN"/>
        </w:rPr>
      </w:pPr>
      <w:r w:rsidRPr="00AE39EB">
        <w:rPr>
          <w:rFonts w:ascii="Times New Roman" w:eastAsia="Souvenir" w:hAnsi="Times New Roman" w:cstheme="minorHAnsi"/>
          <w:color w:val="000000"/>
          <w:sz w:val="24"/>
          <w:szCs w:val="24"/>
          <w:lang w:eastAsia="en-IN"/>
        </w:rPr>
        <w:t xml:space="preserve">Patients with Diabetes mellitus, </w:t>
      </w:r>
      <w:proofErr w:type="spellStart"/>
      <w:r w:rsidRPr="00AE39EB">
        <w:rPr>
          <w:rFonts w:ascii="Times New Roman" w:eastAsia="Souvenir" w:hAnsi="Times New Roman" w:cstheme="minorHAnsi"/>
          <w:color w:val="000000"/>
          <w:sz w:val="24"/>
          <w:szCs w:val="24"/>
          <w:lang w:eastAsia="en-IN"/>
        </w:rPr>
        <w:t>Nephrotic</w:t>
      </w:r>
      <w:proofErr w:type="spellEnd"/>
      <w:r w:rsidRPr="00AE39EB">
        <w:rPr>
          <w:rFonts w:ascii="Times New Roman" w:eastAsia="Souvenir" w:hAnsi="Times New Roman" w:cstheme="minorHAnsi"/>
          <w:color w:val="000000"/>
          <w:sz w:val="24"/>
          <w:szCs w:val="24"/>
          <w:lang w:eastAsia="en-IN"/>
        </w:rPr>
        <w:t xml:space="preserve"> Syndrome and Acute Kidney Injury</w:t>
      </w:r>
    </w:p>
    <w:p w:rsidR="00AE39EB" w:rsidRPr="00AE39EB" w:rsidRDefault="00AE39EB" w:rsidP="008E41CA">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heme="minorHAnsi"/>
          <w:color w:val="000000"/>
          <w:sz w:val="24"/>
          <w:szCs w:val="24"/>
          <w:lang w:eastAsia="en-IN"/>
        </w:rPr>
      </w:pPr>
      <w:r w:rsidRPr="00AE39EB">
        <w:rPr>
          <w:rFonts w:ascii="Times New Roman" w:eastAsia="Souvenir" w:hAnsi="Times New Roman" w:cstheme="minorHAnsi"/>
          <w:color w:val="000000"/>
          <w:sz w:val="24"/>
          <w:szCs w:val="24"/>
          <w:lang w:eastAsia="en-IN"/>
        </w:rPr>
        <w:t>All those who had proven thyroid disorder and on treatment</w:t>
      </w:r>
    </w:p>
    <w:p w:rsidR="00AE39EB" w:rsidRPr="00AE39EB" w:rsidRDefault="00AE39EB" w:rsidP="008E41CA">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heme="minorHAnsi"/>
          <w:color w:val="000000"/>
          <w:sz w:val="24"/>
          <w:szCs w:val="24"/>
          <w:lang w:eastAsia="en-IN"/>
        </w:rPr>
      </w:pPr>
      <w:r w:rsidRPr="00AE39EB">
        <w:rPr>
          <w:rFonts w:ascii="Times New Roman" w:eastAsia="Souvenir" w:hAnsi="Times New Roman" w:cstheme="minorHAnsi"/>
          <w:color w:val="000000"/>
          <w:sz w:val="24"/>
          <w:szCs w:val="24"/>
          <w:lang w:eastAsia="en-IN"/>
        </w:rPr>
        <w:lastRenderedPageBreak/>
        <w:t>Patients who were on drugs known to interfere with thyroid hormones</w:t>
      </w:r>
    </w:p>
    <w:p w:rsidR="00AE39EB" w:rsidRDefault="00AE39EB" w:rsidP="008E41CA">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heme="minorHAnsi"/>
          <w:color w:val="000000"/>
          <w:sz w:val="24"/>
          <w:szCs w:val="24"/>
          <w:lang w:eastAsia="en-IN"/>
        </w:rPr>
      </w:pPr>
      <w:r w:rsidRPr="00AE39EB">
        <w:rPr>
          <w:rFonts w:ascii="Times New Roman" w:eastAsia="Souvenir" w:hAnsi="Times New Roman" w:cstheme="minorHAnsi"/>
          <w:color w:val="000000"/>
          <w:sz w:val="24"/>
          <w:szCs w:val="24"/>
          <w:lang w:eastAsia="en-IN"/>
        </w:rPr>
        <w:t>Patients who were not giving valid consent to take part in the study</w:t>
      </w:r>
    </w:p>
    <w:p w:rsidR="00D76CEC" w:rsidRPr="00BA7C8A" w:rsidRDefault="00D76CEC" w:rsidP="008E41CA">
      <w:pPr>
        <w:pBdr>
          <w:top w:val="nil"/>
          <w:left w:val="nil"/>
          <w:bottom w:val="nil"/>
          <w:right w:val="nil"/>
          <w:between w:val="nil"/>
        </w:pBdr>
        <w:tabs>
          <w:tab w:val="left" w:pos="720"/>
        </w:tabs>
        <w:spacing w:before="120" w:after="120" w:line="240" w:lineRule="auto"/>
        <w:rPr>
          <w:rFonts w:ascii="Times New Roman" w:eastAsia="Souvenir" w:hAnsi="Times New Roman" w:cstheme="minorHAnsi"/>
          <w:color w:val="000000"/>
          <w:sz w:val="24"/>
          <w:szCs w:val="24"/>
          <w:lang w:eastAsia="en-IN"/>
        </w:rPr>
      </w:pPr>
      <w:r w:rsidRPr="00D76CEC">
        <w:rPr>
          <w:rFonts w:ascii="Times New Roman" w:eastAsia="Souvenir" w:hAnsi="Times New Roman" w:cstheme="minorHAnsi"/>
          <w:color w:val="000000"/>
          <w:sz w:val="24"/>
          <w:szCs w:val="24"/>
          <w:lang w:eastAsia="en-IN"/>
        </w:rPr>
        <w:t>A detailed clinical history, physical examination and investigations were done in all the patients and recorded in</w:t>
      </w:r>
      <w:r>
        <w:rPr>
          <w:rFonts w:ascii="Times New Roman" w:eastAsia="Souvenir" w:hAnsi="Times New Roman" w:cstheme="minorHAnsi"/>
          <w:color w:val="000000"/>
          <w:sz w:val="24"/>
          <w:szCs w:val="24"/>
          <w:lang w:eastAsia="en-IN"/>
        </w:rPr>
        <w:t xml:space="preserve"> predesigned </w:t>
      </w:r>
      <w:proofErr w:type="spellStart"/>
      <w:r>
        <w:rPr>
          <w:rFonts w:ascii="Times New Roman" w:eastAsia="Souvenir" w:hAnsi="Times New Roman" w:cstheme="minorHAnsi"/>
          <w:color w:val="000000"/>
          <w:sz w:val="24"/>
          <w:szCs w:val="24"/>
          <w:lang w:eastAsia="en-IN"/>
        </w:rPr>
        <w:t>proforma</w:t>
      </w:r>
      <w:proofErr w:type="spellEnd"/>
      <w:r>
        <w:rPr>
          <w:rFonts w:ascii="Times New Roman" w:eastAsia="Souvenir" w:hAnsi="Times New Roman" w:cstheme="minorHAnsi"/>
          <w:color w:val="000000"/>
          <w:sz w:val="24"/>
          <w:szCs w:val="24"/>
          <w:lang w:eastAsia="en-IN"/>
        </w:rPr>
        <w:t xml:space="preserve">. Serum </w:t>
      </w:r>
      <w:proofErr w:type="spellStart"/>
      <w:r>
        <w:rPr>
          <w:rFonts w:ascii="Times New Roman" w:eastAsia="Souvenir" w:hAnsi="Times New Roman" w:cstheme="minorHAnsi"/>
          <w:color w:val="000000"/>
          <w:sz w:val="24"/>
          <w:szCs w:val="24"/>
          <w:lang w:eastAsia="en-IN"/>
        </w:rPr>
        <w:t>creatinine</w:t>
      </w:r>
      <w:proofErr w:type="spellEnd"/>
      <w:r>
        <w:rPr>
          <w:rFonts w:ascii="Times New Roman" w:eastAsia="Souvenir" w:hAnsi="Times New Roman" w:cstheme="minorHAnsi"/>
          <w:color w:val="000000"/>
          <w:sz w:val="24"/>
          <w:szCs w:val="24"/>
          <w:lang w:eastAsia="en-IN"/>
        </w:rPr>
        <w:t>, urea,</w:t>
      </w:r>
      <w:r w:rsidR="003920D6">
        <w:rPr>
          <w:rFonts w:ascii="Times New Roman" w:eastAsia="Souvenir" w:hAnsi="Times New Roman" w:cstheme="minorHAnsi"/>
          <w:color w:val="000000"/>
          <w:sz w:val="24"/>
          <w:szCs w:val="24"/>
          <w:lang w:eastAsia="en-IN"/>
        </w:rPr>
        <w:t xml:space="preserve"> </w:t>
      </w:r>
      <w:proofErr w:type="gramStart"/>
      <w:r>
        <w:rPr>
          <w:rFonts w:ascii="Times New Roman" w:eastAsia="Souvenir" w:hAnsi="Times New Roman" w:cstheme="minorHAnsi"/>
          <w:color w:val="000000"/>
          <w:sz w:val="24"/>
          <w:szCs w:val="24"/>
          <w:lang w:eastAsia="en-IN"/>
        </w:rPr>
        <w:t>T3 ,T4,TSH</w:t>
      </w:r>
      <w:proofErr w:type="gramEnd"/>
      <w:r>
        <w:rPr>
          <w:rFonts w:ascii="Times New Roman" w:eastAsia="Souvenir" w:hAnsi="Times New Roman" w:cstheme="minorHAnsi"/>
          <w:color w:val="000000"/>
          <w:sz w:val="24"/>
          <w:szCs w:val="24"/>
          <w:lang w:eastAsia="en-IN"/>
        </w:rPr>
        <w:t>, albumin lipid profile and complete blood count were estimated.</w:t>
      </w:r>
      <w:r w:rsidR="003920D6">
        <w:rPr>
          <w:rFonts w:ascii="Times New Roman" w:eastAsia="Souvenir" w:hAnsi="Times New Roman" w:cstheme="minorHAnsi"/>
          <w:color w:val="000000"/>
          <w:sz w:val="24"/>
          <w:szCs w:val="24"/>
          <w:lang w:eastAsia="en-IN"/>
        </w:rPr>
        <w:t xml:space="preserve"> </w:t>
      </w:r>
      <w:r>
        <w:rPr>
          <w:rFonts w:ascii="Times New Roman" w:eastAsia="Souvenir" w:hAnsi="Times New Roman" w:cstheme="minorHAnsi"/>
          <w:color w:val="000000"/>
          <w:sz w:val="24"/>
          <w:szCs w:val="24"/>
          <w:lang w:eastAsia="en-IN"/>
        </w:rPr>
        <w:t>Staging of CKD</w:t>
      </w:r>
      <w:r w:rsidR="003920D6">
        <w:rPr>
          <w:rFonts w:ascii="Times New Roman" w:eastAsia="Souvenir" w:hAnsi="Times New Roman" w:cstheme="minorHAnsi"/>
          <w:color w:val="000000"/>
          <w:sz w:val="24"/>
          <w:szCs w:val="24"/>
          <w:lang w:eastAsia="en-IN"/>
        </w:rPr>
        <w:t xml:space="preserve"> </w:t>
      </w:r>
      <w:r w:rsidRPr="00D76CEC">
        <w:rPr>
          <w:rFonts w:ascii="Times New Roman" w:eastAsia="Souvenir" w:hAnsi="Times New Roman" w:cstheme="minorHAnsi"/>
          <w:color w:val="000000"/>
          <w:sz w:val="24"/>
          <w:szCs w:val="24"/>
          <w:lang w:eastAsia="en-IN"/>
        </w:rPr>
        <w:t xml:space="preserve">this was done based upon Estimated glomerular </w:t>
      </w:r>
      <w:r w:rsidR="003920D6" w:rsidRPr="00D76CEC">
        <w:rPr>
          <w:rFonts w:ascii="Times New Roman" w:eastAsia="Souvenir" w:hAnsi="Times New Roman" w:cstheme="minorHAnsi"/>
          <w:color w:val="000000"/>
          <w:sz w:val="24"/>
          <w:szCs w:val="24"/>
          <w:lang w:eastAsia="en-IN"/>
        </w:rPr>
        <w:t>filtration</w:t>
      </w:r>
      <w:r w:rsidRPr="00D76CEC">
        <w:rPr>
          <w:rFonts w:ascii="Times New Roman" w:eastAsia="Souvenir" w:hAnsi="Times New Roman" w:cstheme="minorHAnsi"/>
          <w:color w:val="000000"/>
          <w:sz w:val="24"/>
          <w:szCs w:val="24"/>
          <w:lang w:eastAsia="en-IN"/>
        </w:rPr>
        <w:t xml:space="preserve"> rate (</w:t>
      </w:r>
      <w:proofErr w:type="spellStart"/>
      <w:r w:rsidRPr="00D76CEC">
        <w:rPr>
          <w:rFonts w:ascii="Times New Roman" w:eastAsia="Souvenir" w:hAnsi="Times New Roman" w:cstheme="minorHAnsi"/>
          <w:color w:val="000000"/>
          <w:sz w:val="24"/>
          <w:szCs w:val="24"/>
          <w:lang w:eastAsia="en-IN"/>
        </w:rPr>
        <w:t>eGFR</w:t>
      </w:r>
      <w:proofErr w:type="spellEnd"/>
      <w:r w:rsidRPr="00D76CEC">
        <w:rPr>
          <w:rFonts w:ascii="Times New Roman" w:eastAsia="Souvenir" w:hAnsi="Times New Roman" w:cstheme="minorHAnsi"/>
          <w:color w:val="000000"/>
          <w:sz w:val="24"/>
          <w:szCs w:val="24"/>
          <w:lang w:eastAsia="en-IN"/>
        </w:rPr>
        <w:t>, ml/</w:t>
      </w:r>
      <w:r w:rsidR="003920D6">
        <w:rPr>
          <w:rFonts w:ascii="Times New Roman" w:eastAsia="Souvenir" w:hAnsi="Times New Roman" w:cstheme="minorHAnsi"/>
          <w:color w:val="000000"/>
          <w:sz w:val="24"/>
          <w:szCs w:val="24"/>
          <w:lang w:eastAsia="en-IN"/>
        </w:rPr>
        <w:t>min/</w:t>
      </w:r>
      <w:r w:rsidRPr="00D76CEC">
        <w:rPr>
          <w:rFonts w:ascii="Times New Roman" w:eastAsia="Souvenir" w:hAnsi="Times New Roman" w:cstheme="minorHAnsi"/>
          <w:color w:val="000000"/>
          <w:sz w:val="24"/>
          <w:szCs w:val="24"/>
          <w:lang w:eastAsia="en-IN"/>
        </w:rPr>
        <w:t>1.73m2) using the Modification of Diet i</w:t>
      </w:r>
      <w:r w:rsidR="00BA7C8A">
        <w:rPr>
          <w:rFonts w:ascii="Times New Roman" w:eastAsia="Souvenir" w:hAnsi="Times New Roman" w:cstheme="minorHAnsi"/>
          <w:color w:val="000000"/>
          <w:sz w:val="24"/>
          <w:szCs w:val="24"/>
          <w:lang w:eastAsia="en-IN"/>
        </w:rPr>
        <w:t>n Renal Disease study equation</w:t>
      </w:r>
      <w:r w:rsidR="00BA7C8A">
        <w:rPr>
          <w:rFonts w:ascii="Times New Roman" w:eastAsia="Souvenir" w:hAnsi="Times New Roman" w:cstheme="minorHAnsi"/>
          <w:color w:val="000000"/>
          <w:sz w:val="24"/>
          <w:szCs w:val="24"/>
          <w:vertAlign w:val="superscript"/>
          <w:lang w:eastAsia="en-IN"/>
        </w:rPr>
        <w:t>10</w:t>
      </w:r>
      <w:r w:rsidR="00BA7C8A">
        <w:rPr>
          <w:rFonts w:ascii="Times New Roman" w:eastAsia="Souvenir" w:hAnsi="Times New Roman" w:cstheme="minorHAnsi"/>
          <w:color w:val="000000"/>
          <w:sz w:val="24"/>
          <w:szCs w:val="24"/>
          <w:lang w:eastAsia="en-IN"/>
        </w:rPr>
        <w:t>.</w:t>
      </w:r>
    </w:p>
    <w:p w:rsidR="00D76CEC" w:rsidRPr="00FB2914" w:rsidRDefault="00D76CEC" w:rsidP="008E41CA">
      <w:pPr>
        <w:pBdr>
          <w:top w:val="nil"/>
          <w:left w:val="nil"/>
          <w:bottom w:val="nil"/>
          <w:right w:val="nil"/>
          <w:between w:val="nil"/>
        </w:pBdr>
        <w:tabs>
          <w:tab w:val="left" w:pos="720"/>
        </w:tabs>
        <w:spacing w:before="120" w:after="120" w:line="240" w:lineRule="auto"/>
        <w:rPr>
          <w:rFonts w:ascii="Times New Roman" w:eastAsia="Souvenir" w:hAnsi="Times New Roman" w:cstheme="minorHAnsi"/>
          <w:b/>
          <w:color w:val="000000"/>
          <w:sz w:val="24"/>
          <w:szCs w:val="24"/>
          <w:lang w:eastAsia="en-IN"/>
        </w:rPr>
      </w:pPr>
      <w:r w:rsidRPr="00FB2914">
        <w:rPr>
          <w:rFonts w:ascii="Times New Roman" w:eastAsia="Souvenir" w:hAnsi="Times New Roman" w:cstheme="minorHAnsi"/>
          <w:b/>
          <w:color w:val="000000"/>
          <w:sz w:val="24"/>
          <w:szCs w:val="24"/>
          <w:lang w:eastAsia="en-IN"/>
        </w:rPr>
        <w:t>RESULTS</w:t>
      </w:r>
    </w:p>
    <w:p w:rsidR="0096651A" w:rsidRDefault="006B11F2" w:rsidP="008E41CA">
      <w:pPr>
        <w:pBdr>
          <w:top w:val="nil"/>
          <w:left w:val="nil"/>
          <w:bottom w:val="nil"/>
          <w:right w:val="nil"/>
          <w:between w:val="nil"/>
        </w:pBdr>
        <w:tabs>
          <w:tab w:val="left" w:pos="720"/>
        </w:tabs>
        <w:spacing w:before="120" w:after="120" w:line="240" w:lineRule="auto"/>
        <w:rPr>
          <w:rFonts w:ascii="Times New Roman" w:eastAsia="Souvenir" w:hAnsi="Times New Roman" w:cstheme="minorHAnsi"/>
          <w:color w:val="000000"/>
          <w:sz w:val="24"/>
          <w:szCs w:val="24"/>
          <w:lang w:eastAsia="en-IN"/>
        </w:rPr>
      </w:pPr>
      <w:r>
        <w:rPr>
          <w:rFonts w:ascii="Times New Roman" w:eastAsia="Souvenir" w:hAnsi="Times New Roman" w:cstheme="minorHAnsi"/>
          <w:color w:val="000000"/>
          <w:sz w:val="24"/>
          <w:szCs w:val="24"/>
          <w:lang w:eastAsia="en-IN"/>
        </w:rPr>
        <w:t>O</w:t>
      </w:r>
      <w:r w:rsidR="0096651A" w:rsidRPr="0096651A">
        <w:rPr>
          <w:rFonts w:ascii="Times New Roman" w:eastAsia="Souvenir" w:hAnsi="Times New Roman" w:cstheme="minorHAnsi"/>
          <w:color w:val="000000"/>
          <w:sz w:val="24"/>
          <w:szCs w:val="24"/>
          <w:lang w:eastAsia="en-IN"/>
        </w:rPr>
        <w:t xml:space="preserve">ut of the 172 patients 44 (25.58%) had subclinical hypothyroidism and 11 (6.40%) had overt hypothyroidism. 117 patients (68.02%) were in the </w:t>
      </w:r>
      <w:proofErr w:type="spellStart"/>
      <w:r w:rsidR="0096651A" w:rsidRPr="0096651A">
        <w:rPr>
          <w:rFonts w:ascii="Times New Roman" w:eastAsia="Souvenir" w:hAnsi="Times New Roman" w:cstheme="minorHAnsi"/>
          <w:color w:val="000000"/>
          <w:sz w:val="24"/>
          <w:szCs w:val="24"/>
          <w:lang w:eastAsia="en-IN"/>
        </w:rPr>
        <w:t>euthyroid</w:t>
      </w:r>
      <w:proofErr w:type="spellEnd"/>
      <w:r w:rsidR="0096651A" w:rsidRPr="0096651A">
        <w:rPr>
          <w:rFonts w:ascii="Times New Roman" w:eastAsia="Souvenir" w:hAnsi="Times New Roman" w:cstheme="minorHAnsi"/>
          <w:color w:val="000000"/>
          <w:sz w:val="24"/>
          <w:szCs w:val="24"/>
          <w:lang w:eastAsia="en-IN"/>
        </w:rPr>
        <w:t xml:space="preserve"> group.</w:t>
      </w:r>
    </w:p>
    <w:p w:rsidR="0096651A" w:rsidRDefault="0096651A" w:rsidP="008E41CA">
      <w:pPr>
        <w:pBdr>
          <w:top w:val="nil"/>
          <w:left w:val="nil"/>
          <w:bottom w:val="nil"/>
          <w:right w:val="nil"/>
          <w:between w:val="nil"/>
        </w:pBdr>
        <w:tabs>
          <w:tab w:val="left" w:pos="720"/>
        </w:tabs>
        <w:spacing w:before="120" w:after="120" w:line="240" w:lineRule="auto"/>
      </w:pPr>
      <w:r>
        <w:rPr>
          <w:noProof/>
          <w:lang w:eastAsia="en-IN"/>
        </w:rPr>
        <w:drawing>
          <wp:inline distT="0" distB="0" distL="0" distR="0" wp14:anchorId="6D252FBE" wp14:editId="46A584A8">
            <wp:extent cx="5029200" cy="2647950"/>
            <wp:effectExtent l="0" t="0" r="19050" b="19050"/>
            <wp:docPr id="237" name="Chart 2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6651A" w:rsidRDefault="0096651A" w:rsidP="008E41CA">
      <w:pPr>
        <w:pBdr>
          <w:top w:val="nil"/>
          <w:left w:val="nil"/>
          <w:bottom w:val="nil"/>
          <w:right w:val="nil"/>
          <w:between w:val="nil"/>
        </w:pBdr>
        <w:tabs>
          <w:tab w:val="left" w:pos="720"/>
        </w:tabs>
        <w:spacing w:before="120" w:after="120" w:line="240" w:lineRule="auto"/>
      </w:pPr>
    </w:p>
    <w:p w:rsidR="004503F2" w:rsidRPr="004503F2" w:rsidRDefault="00A3414A" w:rsidP="008E41CA">
      <w:pPr>
        <w:widowControl w:val="0"/>
        <w:autoSpaceDE w:val="0"/>
        <w:autoSpaceDN w:val="0"/>
        <w:adjustRightInd w:val="0"/>
        <w:spacing w:before="240" w:after="120" w:line="240" w:lineRule="auto"/>
        <w:jc w:val="center"/>
        <w:rPr>
          <w:rFonts w:ascii="Times New Roman" w:eastAsiaTheme="minorEastAsia" w:hAnsi="Times New Roman" w:cs="Times New Roman"/>
          <w:b/>
          <w:color w:val="000000" w:themeColor="text1"/>
          <w:lang w:eastAsia="en-IN"/>
        </w:rPr>
      </w:pPr>
      <w:r>
        <w:rPr>
          <w:rFonts w:ascii="Times New Roman" w:eastAsiaTheme="minorEastAsia" w:hAnsi="Times New Roman" w:cs="Times New Roman"/>
          <w:b/>
          <w:color w:val="000000" w:themeColor="text1"/>
          <w:lang w:eastAsia="en-IN"/>
        </w:rPr>
        <w:t xml:space="preserve">Table -1 </w:t>
      </w:r>
      <w:r w:rsidR="004503F2" w:rsidRPr="004503F2">
        <w:rPr>
          <w:rFonts w:ascii="Times New Roman" w:eastAsiaTheme="minorEastAsia" w:hAnsi="Times New Roman" w:cs="Times New Roman"/>
          <w:b/>
          <w:color w:val="000000" w:themeColor="text1"/>
          <w:lang w:eastAsia="en-IN"/>
        </w:rPr>
        <w:t xml:space="preserve">COMPARISON OF THYROID PROFILE IN EUTHYROID, </w:t>
      </w:r>
      <w:r w:rsidR="004503F2" w:rsidRPr="004503F2">
        <w:rPr>
          <w:rFonts w:ascii="Times New Roman" w:eastAsiaTheme="minorEastAsia" w:hAnsi="Times New Roman" w:cs="Times New Roman"/>
          <w:b/>
          <w:color w:val="000000" w:themeColor="text1"/>
          <w:lang w:eastAsia="en-IN"/>
        </w:rPr>
        <w:br/>
        <w:t>SUBCLINICAL HYPOTHYROID AND OVERT HYPOTHYROID GROUP</w:t>
      </w:r>
    </w:p>
    <w:tbl>
      <w:tblPr>
        <w:tblW w:w="5595"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43" w:type="dxa"/>
          <w:left w:w="72" w:type="dxa"/>
          <w:bottom w:w="43" w:type="dxa"/>
          <w:right w:w="72" w:type="dxa"/>
        </w:tblCellMar>
        <w:tblLook w:val="04A0" w:firstRow="1" w:lastRow="0" w:firstColumn="1" w:lastColumn="0" w:noHBand="0" w:noVBand="1"/>
      </w:tblPr>
      <w:tblGrid>
        <w:gridCol w:w="2778"/>
        <w:gridCol w:w="1073"/>
        <w:gridCol w:w="1079"/>
        <w:gridCol w:w="1061"/>
        <w:gridCol w:w="1073"/>
        <w:gridCol w:w="1061"/>
        <w:gridCol w:w="1071"/>
        <w:gridCol w:w="1065"/>
      </w:tblGrid>
      <w:tr w:rsidR="004503F2" w:rsidRPr="004503F2" w:rsidTr="002C07D3">
        <w:trPr>
          <w:trHeight w:val="20"/>
          <w:jc w:val="center"/>
        </w:trPr>
        <w:tc>
          <w:tcPr>
            <w:tcW w:w="1353" w:type="pct"/>
            <w:vMerge w:val="restart"/>
            <w:tcBorders>
              <w:top w:val="double" w:sz="6" w:space="0" w:color="auto"/>
              <w:left w:val="double" w:sz="6" w:space="0" w:color="auto"/>
              <w:right w:val="double" w:sz="6" w:space="0" w:color="auto"/>
            </w:tcBorders>
            <w:shd w:val="clear" w:color="auto" w:fill="auto"/>
            <w:noWrap/>
            <w:vAlign w:val="center"/>
            <w:hideMark/>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color w:val="000000"/>
                <w:lang w:eastAsia="en-IN"/>
              </w:rPr>
              <w:t>VARIABLES</w:t>
            </w:r>
          </w:p>
        </w:tc>
        <w:tc>
          <w:tcPr>
            <w:tcW w:w="1049"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EUTHYROID</w:t>
            </w:r>
            <w:r w:rsidRPr="004503F2">
              <w:rPr>
                <w:rFonts w:ascii="Times New Roman" w:eastAsia="Times New Roman" w:hAnsi="Times New Roman" w:cs="Times New Roman"/>
                <w:lang w:val="en-US"/>
              </w:rPr>
              <w:br/>
            </w:r>
            <w:r w:rsidRPr="004503F2">
              <w:rPr>
                <w:rFonts w:ascii="Times New Roman" w:eastAsia="Times New Roman" w:hAnsi="Times New Roman" w:cs="Times New Roman"/>
                <w:i/>
                <w:lang w:val="en-US"/>
              </w:rPr>
              <w:t xml:space="preserve"> (n = </w:t>
            </w:r>
            <w:r w:rsidRPr="004503F2">
              <w:rPr>
                <w:rFonts w:ascii="Times New Roman" w:eastAsia="Times New Roman" w:hAnsi="Times New Roman" w:cs="Times New Roman"/>
                <w:lang w:val="en-US"/>
              </w:rPr>
              <w:t>117</w:t>
            </w:r>
            <w:r w:rsidRPr="004503F2">
              <w:rPr>
                <w:rFonts w:ascii="Times New Roman" w:eastAsia="Times New Roman" w:hAnsi="Times New Roman" w:cs="Times New Roman"/>
                <w:i/>
                <w:lang w:val="en-US"/>
              </w:rPr>
              <w:t>)</w:t>
            </w:r>
          </w:p>
        </w:tc>
        <w:tc>
          <w:tcPr>
            <w:tcW w:w="1040" w:type="pct"/>
            <w:gridSpan w:val="2"/>
            <w:tcBorders>
              <w:top w:val="double" w:sz="6"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SUBCLINICAL HYPOTHYROID</w:t>
            </w:r>
            <w:r w:rsidRPr="004503F2">
              <w:rPr>
                <w:rFonts w:ascii="Times New Roman" w:eastAsia="Times New Roman" w:hAnsi="Times New Roman" w:cs="Times New Roman"/>
                <w:lang w:val="en-US"/>
              </w:rPr>
              <w:br/>
            </w:r>
            <w:r w:rsidRPr="004503F2">
              <w:rPr>
                <w:rFonts w:ascii="Times New Roman" w:eastAsia="Times New Roman" w:hAnsi="Times New Roman" w:cs="Times New Roman"/>
                <w:i/>
                <w:lang w:val="en-US"/>
              </w:rPr>
              <w:t xml:space="preserve"> (n = </w:t>
            </w:r>
            <w:r w:rsidRPr="004503F2">
              <w:rPr>
                <w:rFonts w:ascii="Times New Roman" w:eastAsia="Times New Roman" w:hAnsi="Times New Roman" w:cs="Times New Roman"/>
                <w:lang w:val="en-US"/>
              </w:rPr>
              <w:t>44</w:t>
            </w:r>
            <w:r w:rsidRPr="004503F2">
              <w:rPr>
                <w:rFonts w:ascii="Times New Roman" w:eastAsia="Times New Roman" w:hAnsi="Times New Roman" w:cs="Times New Roman"/>
                <w:i/>
                <w:lang w:val="en-US"/>
              </w:rPr>
              <w:t>)</w:t>
            </w:r>
          </w:p>
        </w:tc>
        <w:tc>
          <w:tcPr>
            <w:tcW w:w="1039" w:type="pct"/>
            <w:gridSpan w:val="2"/>
            <w:tcBorders>
              <w:top w:val="double" w:sz="6"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OVERT HYPOTHYROID</w:t>
            </w:r>
            <w:r w:rsidRPr="004503F2">
              <w:rPr>
                <w:rFonts w:ascii="Times New Roman" w:eastAsia="Times New Roman" w:hAnsi="Times New Roman" w:cs="Times New Roman"/>
                <w:lang w:val="en-US"/>
              </w:rPr>
              <w:br/>
            </w:r>
            <w:r w:rsidRPr="004503F2">
              <w:rPr>
                <w:rFonts w:ascii="Times New Roman" w:eastAsia="Times New Roman" w:hAnsi="Times New Roman" w:cs="Times New Roman"/>
                <w:i/>
                <w:lang w:val="en-US"/>
              </w:rPr>
              <w:t xml:space="preserve"> (n = </w:t>
            </w:r>
            <w:r w:rsidRPr="004503F2">
              <w:rPr>
                <w:rFonts w:ascii="Times New Roman" w:eastAsia="Times New Roman" w:hAnsi="Times New Roman" w:cs="Times New Roman"/>
                <w:lang w:val="en-US"/>
              </w:rPr>
              <w:t>11</w:t>
            </w:r>
            <w:r w:rsidRPr="004503F2">
              <w:rPr>
                <w:rFonts w:ascii="Times New Roman" w:eastAsia="Times New Roman" w:hAnsi="Times New Roman" w:cs="Times New Roman"/>
                <w:i/>
                <w:lang w:val="en-US"/>
              </w:rPr>
              <w:t>)</w:t>
            </w:r>
          </w:p>
        </w:tc>
        <w:tc>
          <w:tcPr>
            <w:tcW w:w="520" w:type="pct"/>
            <w:vMerge w:val="restart"/>
            <w:tcBorders>
              <w:top w:val="double" w:sz="6" w:space="0" w:color="auto"/>
              <w:left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p value</w:t>
            </w:r>
          </w:p>
        </w:tc>
      </w:tr>
      <w:tr w:rsidR="004503F2" w:rsidRPr="004503F2" w:rsidTr="002C07D3">
        <w:trPr>
          <w:trHeight w:val="20"/>
          <w:jc w:val="center"/>
        </w:trPr>
        <w:tc>
          <w:tcPr>
            <w:tcW w:w="1353" w:type="pct"/>
            <w:vMerge/>
            <w:tcBorders>
              <w:left w:val="double" w:sz="6" w:space="0" w:color="auto"/>
              <w:bottom w:val="double" w:sz="6" w:space="0" w:color="auto"/>
              <w:right w:val="double" w:sz="6" w:space="0" w:color="auto"/>
            </w:tcBorders>
            <w:shd w:val="clear" w:color="auto" w:fill="auto"/>
            <w:noWrap/>
            <w:vAlign w:val="center"/>
          </w:tcPr>
          <w:p w:rsidR="004503F2" w:rsidRPr="004503F2" w:rsidRDefault="004503F2" w:rsidP="008E41CA">
            <w:pPr>
              <w:widowControl w:val="0"/>
              <w:spacing w:after="0" w:line="240" w:lineRule="auto"/>
              <w:rPr>
                <w:rFonts w:ascii="Times New Roman" w:eastAsia="Times New Roman" w:hAnsi="Times New Roman" w:cs="Times New Roman"/>
                <w:lang w:val="en-US"/>
              </w:rPr>
            </w:pPr>
          </w:p>
        </w:tc>
        <w:tc>
          <w:tcPr>
            <w:tcW w:w="523" w:type="pct"/>
            <w:tcBorders>
              <w:top w:val="double" w:sz="6" w:space="0" w:color="auto"/>
              <w:left w:val="double" w:sz="6" w:space="0" w:color="auto"/>
              <w:bottom w:val="double" w:sz="6" w:space="0" w:color="auto"/>
              <w:right w:val="double" w:sz="6" w:space="0" w:color="auto"/>
            </w:tcBorders>
            <w:shd w:val="clear" w:color="auto" w:fill="auto"/>
            <w:noWrap/>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Mean</w:t>
            </w:r>
          </w:p>
        </w:tc>
        <w:tc>
          <w:tcPr>
            <w:tcW w:w="526" w:type="pct"/>
            <w:tcBorders>
              <w:top w:val="double" w:sz="6" w:space="0" w:color="auto"/>
              <w:left w:val="double" w:sz="6" w:space="0" w:color="auto"/>
              <w:bottom w:val="double" w:sz="6" w:space="0" w:color="auto"/>
              <w:right w:val="double" w:sz="6" w:space="0" w:color="auto"/>
            </w:tcBorders>
            <w:shd w:val="clear" w:color="auto" w:fill="auto"/>
            <w:noWrap/>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 xml:space="preserve"> ±  S.D</w:t>
            </w:r>
          </w:p>
        </w:tc>
        <w:tc>
          <w:tcPr>
            <w:tcW w:w="517" w:type="pct"/>
            <w:tcBorders>
              <w:top w:val="double" w:sz="6"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Mean</w:t>
            </w:r>
          </w:p>
        </w:tc>
        <w:tc>
          <w:tcPr>
            <w:tcW w:w="523" w:type="pct"/>
            <w:tcBorders>
              <w:top w:val="double" w:sz="6"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 xml:space="preserve"> ±  S.D</w:t>
            </w:r>
          </w:p>
        </w:tc>
        <w:tc>
          <w:tcPr>
            <w:tcW w:w="517" w:type="pct"/>
            <w:tcBorders>
              <w:top w:val="double" w:sz="6"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Mean</w:t>
            </w:r>
          </w:p>
        </w:tc>
        <w:tc>
          <w:tcPr>
            <w:tcW w:w="522" w:type="pct"/>
            <w:tcBorders>
              <w:top w:val="double" w:sz="6"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 xml:space="preserve"> ±  S.D</w:t>
            </w:r>
          </w:p>
        </w:tc>
        <w:tc>
          <w:tcPr>
            <w:tcW w:w="520" w:type="pct"/>
            <w:vMerge/>
            <w:tcBorders>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p>
        </w:tc>
      </w:tr>
      <w:tr w:rsidR="004503F2" w:rsidRPr="004503F2" w:rsidTr="002C07D3">
        <w:trPr>
          <w:trHeight w:val="20"/>
          <w:jc w:val="center"/>
        </w:trPr>
        <w:tc>
          <w:tcPr>
            <w:tcW w:w="1353" w:type="pct"/>
            <w:tcBorders>
              <w:top w:val="single" w:sz="4" w:space="0" w:color="auto"/>
              <w:left w:val="double" w:sz="6" w:space="0" w:color="auto"/>
              <w:bottom w:val="single" w:sz="4" w:space="0" w:color="auto"/>
              <w:right w:val="double" w:sz="6" w:space="0" w:color="auto"/>
            </w:tcBorders>
            <w:shd w:val="clear" w:color="auto" w:fill="auto"/>
            <w:noWrap/>
            <w:vAlign w:val="center"/>
          </w:tcPr>
          <w:p w:rsidR="004503F2" w:rsidRPr="004503F2" w:rsidRDefault="004503F2" w:rsidP="008E41CA">
            <w:pPr>
              <w:widowControl w:val="0"/>
              <w:spacing w:after="0" w:line="240" w:lineRule="auto"/>
              <w:rPr>
                <w:rFonts w:ascii="Times New Roman" w:eastAsia="Times New Roman" w:hAnsi="Times New Roman" w:cs="Times New Roman"/>
                <w:lang w:val="en-US"/>
              </w:rPr>
            </w:pPr>
            <w:r w:rsidRPr="004503F2">
              <w:rPr>
                <w:rFonts w:ascii="Times New Roman" w:eastAsia="Times New Roman" w:hAnsi="Times New Roman" w:cs="Times New Roman"/>
                <w:lang w:val="en-US"/>
              </w:rPr>
              <w:t>Blood Urea (mg/dl)</w:t>
            </w:r>
          </w:p>
        </w:tc>
        <w:tc>
          <w:tcPr>
            <w:tcW w:w="523" w:type="pct"/>
            <w:tcBorders>
              <w:top w:val="single" w:sz="4" w:space="0" w:color="auto"/>
              <w:left w:val="double" w:sz="6" w:space="0" w:color="auto"/>
              <w:bottom w:val="single" w:sz="4" w:space="0" w:color="auto"/>
              <w:right w:val="double" w:sz="6" w:space="0" w:color="auto"/>
            </w:tcBorders>
            <w:shd w:val="clear" w:color="auto" w:fill="auto"/>
            <w:noWrap/>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143.64</w:t>
            </w:r>
          </w:p>
        </w:tc>
        <w:tc>
          <w:tcPr>
            <w:tcW w:w="526" w:type="pct"/>
            <w:tcBorders>
              <w:top w:val="single" w:sz="4" w:space="0" w:color="auto"/>
              <w:left w:val="double" w:sz="6" w:space="0" w:color="auto"/>
              <w:bottom w:val="single" w:sz="4"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47.05</w:t>
            </w:r>
          </w:p>
        </w:tc>
        <w:tc>
          <w:tcPr>
            <w:tcW w:w="517" w:type="pct"/>
            <w:tcBorders>
              <w:top w:val="single" w:sz="4" w:space="0" w:color="auto"/>
              <w:left w:val="double" w:sz="6" w:space="0" w:color="auto"/>
              <w:bottom w:val="single" w:sz="4"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141.20</w:t>
            </w:r>
          </w:p>
        </w:tc>
        <w:tc>
          <w:tcPr>
            <w:tcW w:w="523" w:type="pct"/>
            <w:tcBorders>
              <w:top w:val="single" w:sz="4" w:space="0" w:color="auto"/>
              <w:left w:val="double" w:sz="6" w:space="0" w:color="auto"/>
              <w:bottom w:val="single" w:sz="4"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41.18</w:t>
            </w:r>
          </w:p>
        </w:tc>
        <w:tc>
          <w:tcPr>
            <w:tcW w:w="517" w:type="pct"/>
            <w:tcBorders>
              <w:top w:val="single" w:sz="4" w:space="0" w:color="auto"/>
              <w:left w:val="double" w:sz="6" w:space="0" w:color="auto"/>
              <w:bottom w:val="single" w:sz="4"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151.18</w:t>
            </w:r>
          </w:p>
        </w:tc>
        <w:tc>
          <w:tcPr>
            <w:tcW w:w="522" w:type="pct"/>
            <w:tcBorders>
              <w:top w:val="single" w:sz="4" w:space="0" w:color="auto"/>
              <w:left w:val="double" w:sz="6" w:space="0" w:color="auto"/>
              <w:bottom w:val="single" w:sz="4"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39.91</w:t>
            </w:r>
          </w:p>
        </w:tc>
        <w:tc>
          <w:tcPr>
            <w:tcW w:w="520" w:type="pct"/>
            <w:tcBorders>
              <w:top w:val="single" w:sz="4" w:space="0" w:color="auto"/>
              <w:left w:val="double" w:sz="6" w:space="0" w:color="auto"/>
              <w:bottom w:val="single" w:sz="4" w:space="0" w:color="auto"/>
              <w:right w:val="double" w:sz="6" w:space="0" w:color="auto"/>
            </w:tcBorders>
            <w:shd w:val="clear" w:color="auto" w:fill="auto"/>
          </w:tcPr>
          <w:p w:rsidR="004503F2" w:rsidRPr="004503F2" w:rsidRDefault="004503F2" w:rsidP="008E41CA">
            <w:pPr>
              <w:spacing w:after="0" w:line="240" w:lineRule="auto"/>
              <w:jc w:val="center"/>
              <w:rPr>
                <w:rFonts w:ascii="Souvenir" w:eastAsia="Times New Roman" w:hAnsi="Souvenir" w:cs="Times New Roman"/>
                <w:spacing w:val="20"/>
                <w:sz w:val="24"/>
                <w:szCs w:val="24"/>
                <w:lang w:val="en-US"/>
              </w:rPr>
            </w:pPr>
            <w:r w:rsidRPr="004503F2">
              <w:rPr>
                <w:rFonts w:ascii="Times New Roman" w:eastAsia="Times New Roman" w:hAnsi="Times New Roman" w:cs="Times New Roman"/>
                <w:lang w:val="en-US"/>
              </w:rPr>
              <w:t>0.8059</w:t>
            </w:r>
          </w:p>
        </w:tc>
      </w:tr>
      <w:tr w:rsidR="004503F2" w:rsidRPr="004503F2" w:rsidTr="002C07D3">
        <w:trPr>
          <w:trHeight w:val="20"/>
          <w:jc w:val="center"/>
        </w:trPr>
        <w:tc>
          <w:tcPr>
            <w:tcW w:w="1353" w:type="pct"/>
            <w:tcBorders>
              <w:top w:val="single" w:sz="4" w:space="0" w:color="auto"/>
              <w:left w:val="double" w:sz="6" w:space="0" w:color="auto"/>
              <w:bottom w:val="double" w:sz="6" w:space="0" w:color="auto"/>
              <w:right w:val="double" w:sz="6" w:space="0" w:color="auto"/>
            </w:tcBorders>
            <w:shd w:val="clear" w:color="auto" w:fill="auto"/>
            <w:noWrap/>
            <w:vAlign w:val="center"/>
          </w:tcPr>
          <w:p w:rsidR="004503F2" w:rsidRPr="004503F2" w:rsidRDefault="004503F2" w:rsidP="008E41CA">
            <w:pPr>
              <w:widowControl w:val="0"/>
              <w:spacing w:after="0" w:line="240" w:lineRule="auto"/>
              <w:rPr>
                <w:rFonts w:ascii="Times New Roman" w:eastAsia="Times New Roman" w:hAnsi="Times New Roman" w:cs="Times New Roman"/>
                <w:lang w:val="en-US"/>
              </w:rPr>
            </w:pPr>
            <w:r w:rsidRPr="004503F2">
              <w:rPr>
                <w:rFonts w:ascii="Times New Roman" w:eastAsia="Times New Roman" w:hAnsi="Times New Roman" w:cs="Times New Roman"/>
                <w:lang w:val="en-US"/>
              </w:rPr>
              <w:t xml:space="preserve">Serum </w:t>
            </w:r>
            <w:proofErr w:type="spellStart"/>
            <w:r w:rsidRPr="004503F2">
              <w:rPr>
                <w:rFonts w:ascii="Times New Roman" w:eastAsia="Times New Roman" w:hAnsi="Times New Roman" w:cs="Times New Roman"/>
                <w:lang w:val="en-US"/>
              </w:rPr>
              <w:t>Creatinine</w:t>
            </w:r>
            <w:proofErr w:type="spellEnd"/>
            <w:r w:rsidRPr="004503F2">
              <w:rPr>
                <w:rFonts w:ascii="Times New Roman" w:eastAsia="Times New Roman" w:hAnsi="Times New Roman" w:cs="Times New Roman"/>
                <w:lang w:val="en-US"/>
              </w:rPr>
              <w:t xml:space="preserve"> (mg/dl)</w:t>
            </w:r>
          </w:p>
        </w:tc>
        <w:tc>
          <w:tcPr>
            <w:tcW w:w="523" w:type="pct"/>
            <w:tcBorders>
              <w:top w:val="single" w:sz="4" w:space="0" w:color="auto"/>
              <w:left w:val="double" w:sz="6" w:space="0" w:color="auto"/>
              <w:bottom w:val="double" w:sz="6" w:space="0" w:color="auto"/>
              <w:right w:val="double" w:sz="6" w:space="0" w:color="auto"/>
            </w:tcBorders>
            <w:shd w:val="clear" w:color="auto" w:fill="auto"/>
            <w:noWrap/>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7.60</w:t>
            </w:r>
          </w:p>
        </w:tc>
        <w:tc>
          <w:tcPr>
            <w:tcW w:w="526" w:type="pct"/>
            <w:tcBorders>
              <w:top w:val="single" w:sz="4"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3.70</w:t>
            </w:r>
          </w:p>
        </w:tc>
        <w:tc>
          <w:tcPr>
            <w:tcW w:w="517" w:type="pct"/>
            <w:tcBorders>
              <w:top w:val="single" w:sz="4"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6.66</w:t>
            </w:r>
          </w:p>
        </w:tc>
        <w:tc>
          <w:tcPr>
            <w:tcW w:w="523" w:type="pct"/>
            <w:tcBorders>
              <w:top w:val="single" w:sz="4"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3.33</w:t>
            </w:r>
          </w:p>
        </w:tc>
        <w:tc>
          <w:tcPr>
            <w:tcW w:w="517" w:type="pct"/>
            <w:tcBorders>
              <w:top w:val="single" w:sz="4"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7.51</w:t>
            </w:r>
          </w:p>
        </w:tc>
        <w:tc>
          <w:tcPr>
            <w:tcW w:w="522" w:type="pct"/>
            <w:tcBorders>
              <w:top w:val="single" w:sz="4" w:space="0" w:color="auto"/>
              <w:left w:val="double" w:sz="6" w:space="0" w:color="auto"/>
              <w:bottom w:val="double" w:sz="6" w:space="0" w:color="auto"/>
              <w:right w:val="double" w:sz="6" w:space="0" w:color="auto"/>
            </w:tcBorders>
            <w:shd w:val="clear" w:color="auto" w:fill="auto"/>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3.20</w:t>
            </w:r>
          </w:p>
        </w:tc>
        <w:tc>
          <w:tcPr>
            <w:tcW w:w="520" w:type="pct"/>
            <w:tcBorders>
              <w:top w:val="single" w:sz="4" w:space="0" w:color="auto"/>
              <w:left w:val="double" w:sz="6" w:space="0" w:color="auto"/>
              <w:bottom w:val="double" w:sz="6" w:space="0" w:color="auto"/>
              <w:right w:val="double" w:sz="6" w:space="0" w:color="auto"/>
            </w:tcBorders>
            <w:shd w:val="clear" w:color="auto" w:fill="auto"/>
          </w:tcPr>
          <w:p w:rsidR="004503F2" w:rsidRPr="004503F2" w:rsidRDefault="004503F2" w:rsidP="008E41CA">
            <w:pPr>
              <w:spacing w:after="0" w:line="240" w:lineRule="auto"/>
              <w:jc w:val="center"/>
              <w:rPr>
                <w:rFonts w:ascii="Souvenir" w:eastAsia="Times New Roman" w:hAnsi="Souvenir" w:cs="Times New Roman"/>
                <w:spacing w:val="20"/>
                <w:sz w:val="24"/>
                <w:szCs w:val="24"/>
                <w:lang w:val="en-US"/>
              </w:rPr>
            </w:pPr>
            <w:r w:rsidRPr="004503F2">
              <w:rPr>
                <w:rFonts w:ascii="Times New Roman" w:eastAsia="Times New Roman" w:hAnsi="Times New Roman" w:cs="Times New Roman"/>
                <w:lang w:val="en-US"/>
              </w:rPr>
              <w:t>0.3310</w:t>
            </w:r>
          </w:p>
        </w:tc>
      </w:tr>
    </w:tbl>
    <w:p w:rsidR="00AE39EB" w:rsidRPr="00AE39EB" w:rsidRDefault="00AE39EB" w:rsidP="008E41CA">
      <w:pPr>
        <w:widowControl w:val="0"/>
        <w:spacing w:before="240" w:after="240" w:line="240" w:lineRule="auto"/>
        <w:jc w:val="both"/>
        <w:rPr>
          <w:rFonts w:ascii="Times New Roman" w:eastAsia="Times New Roman" w:hAnsi="Times New Roman" w:cs="Times New Roman"/>
          <w:bCs/>
          <w:sz w:val="24"/>
          <w:szCs w:val="24"/>
          <w:lang w:val="en-US"/>
        </w:rPr>
      </w:pPr>
    </w:p>
    <w:p w:rsidR="00AE39EB" w:rsidRDefault="00AE39EB" w:rsidP="008E41CA">
      <w:pPr>
        <w:pStyle w:val="Style9"/>
        <w:tabs>
          <w:tab w:val="left" w:pos="720"/>
        </w:tabs>
        <w:spacing w:before="0" w:line="240" w:lineRule="auto"/>
        <w:ind w:firstLine="0"/>
      </w:pPr>
    </w:p>
    <w:p w:rsidR="004503F2" w:rsidRPr="004503F2" w:rsidRDefault="00A3414A" w:rsidP="008E41CA">
      <w:pPr>
        <w:widowControl w:val="0"/>
        <w:autoSpaceDE w:val="0"/>
        <w:autoSpaceDN w:val="0"/>
        <w:adjustRightInd w:val="0"/>
        <w:spacing w:before="240" w:after="120" w:line="240" w:lineRule="auto"/>
        <w:jc w:val="center"/>
        <w:rPr>
          <w:rFonts w:ascii="Times New Roman" w:eastAsiaTheme="minorEastAsia" w:hAnsi="Times New Roman" w:cs="Times New Roman"/>
          <w:b/>
          <w:color w:val="000000" w:themeColor="text1"/>
          <w:lang w:eastAsia="en-IN"/>
        </w:rPr>
      </w:pPr>
      <w:r>
        <w:rPr>
          <w:rFonts w:ascii="Times New Roman" w:eastAsiaTheme="minorEastAsia" w:hAnsi="Times New Roman" w:cs="Times New Roman"/>
          <w:b/>
          <w:color w:val="000000" w:themeColor="text1"/>
          <w:lang w:eastAsia="en-IN"/>
        </w:rPr>
        <w:t xml:space="preserve">Table </w:t>
      </w:r>
      <w:proofErr w:type="gramStart"/>
      <w:r>
        <w:rPr>
          <w:rFonts w:ascii="Times New Roman" w:eastAsiaTheme="minorEastAsia" w:hAnsi="Times New Roman" w:cs="Times New Roman"/>
          <w:b/>
          <w:color w:val="000000" w:themeColor="text1"/>
          <w:lang w:eastAsia="en-IN"/>
        </w:rPr>
        <w:t xml:space="preserve">-2 </w:t>
      </w:r>
      <w:r w:rsidR="004503F2" w:rsidRPr="004503F2">
        <w:rPr>
          <w:rFonts w:ascii="Times New Roman" w:eastAsiaTheme="minorEastAsia" w:hAnsi="Times New Roman" w:cs="Times New Roman"/>
          <w:b/>
          <w:color w:val="000000" w:themeColor="text1"/>
          <w:lang w:eastAsia="en-IN"/>
        </w:rPr>
        <w:t>THYROID DYSFUNCTION</w:t>
      </w:r>
      <w:proofErr w:type="gramEnd"/>
      <w:r w:rsidR="004503F2" w:rsidRPr="004503F2">
        <w:rPr>
          <w:rFonts w:ascii="Times New Roman" w:eastAsiaTheme="minorEastAsia" w:hAnsi="Times New Roman" w:cs="Times New Roman"/>
          <w:b/>
          <w:color w:val="000000" w:themeColor="text1"/>
          <w:lang w:eastAsia="en-IN"/>
        </w:rPr>
        <w:t xml:space="preserve"> IN VARIOUS STAGES OF CKD</w:t>
      </w:r>
    </w:p>
    <w:tbl>
      <w:tblPr>
        <w:tblW w:w="92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2" w:type="dxa"/>
          <w:right w:w="72" w:type="dxa"/>
        </w:tblCellMar>
        <w:tblLook w:val="04A0" w:firstRow="1" w:lastRow="0" w:firstColumn="1" w:lastColumn="0" w:noHBand="0" w:noVBand="1"/>
      </w:tblPr>
      <w:tblGrid>
        <w:gridCol w:w="947"/>
        <w:gridCol w:w="1440"/>
        <w:gridCol w:w="1152"/>
        <w:gridCol w:w="1152"/>
        <w:gridCol w:w="1152"/>
        <w:gridCol w:w="1152"/>
        <w:gridCol w:w="1152"/>
        <w:gridCol w:w="1152"/>
      </w:tblGrid>
      <w:tr w:rsidR="004503F2" w:rsidRPr="004503F2" w:rsidTr="002C07D3">
        <w:trPr>
          <w:trHeight w:val="20"/>
          <w:jc w:val="center"/>
        </w:trPr>
        <w:tc>
          <w:tcPr>
            <w:tcW w:w="947" w:type="dxa"/>
            <w:vMerge w:val="restart"/>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STAGE</w:t>
            </w:r>
          </w:p>
        </w:tc>
        <w:tc>
          <w:tcPr>
            <w:tcW w:w="1440" w:type="dxa"/>
            <w:vMerge w:val="restart"/>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 xml:space="preserve">ESTIMATED GFR </w:t>
            </w:r>
            <w:r w:rsidRPr="004503F2">
              <w:rPr>
                <w:rFonts w:ascii="Times New Roman" w:eastAsia="Times New Roman" w:hAnsi="Times New Roman" w:cs="Times New Roman"/>
                <w:i/>
                <w:color w:val="000000"/>
                <w:lang w:eastAsia="en-IN"/>
              </w:rPr>
              <w:t>(ml/min /1.73m</w:t>
            </w:r>
            <w:r w:rsidRPr="004503F2">
              <w:rPr>
                <w:rFonts w:ascii="Times New Roman" w:eastAsia="Times New Roman" w:hAnsi="Times New Roman" w:cs="Times New Roman"/>
                <w:color w:val="000000"/>
                <w:vertAlign w:val="superscript"/>
                <w:lang w:eastAsia="en-IN"/>
              </w:rPr>
              <w:t>2</w:t>
            </w:r>
            <w:r w:rsidRPr="004503F2">
              <w:rPr>
                <w:rFonts w:ascii="Times New Roman" w:eastAsia="Times New Roman" w:hAnsi="Times New Roman" w:cs="Times New Roman"/>
                <w:b/>
                <w:bCs/>
                <w:i/>
                <w:color w:val="000000"/>
                <w:lang w:eastAsia="en-IN"/>
              </w:rPr>
              <w:t>)</w:t>
            </w:r>
          </w:p>
        </w:tc>
        <w:tc>
          <w:tcPr>
            <w:tcW w:w="2304" w:type="dxa"/>
            <w:gridSpan w:val="2"/>
            <w:tcBorders>
              <w:bottom w:val="double" w:sz="6" w:space="0" w:color="auto"/>
            </w:tcBorders>
            <w:shd w:val="clear" w:color="auto" w:fill="auto"/>
            <w:noWrap/>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EUTHYROID</w:t>
            </w:r>
          </w:p>
        </w:tc>
        <w:tc>
          <w:tcPr>
            <w:tcW w:w="2304" w:type="dxa"/>
            <w:gridSpan w:val="2"/>
            <w:tcBorders>
              <w:bottom w:val="double" w:sz="6" w:space="0" w:color="auto"/>
            </w:tcBorders>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SUBCLINICAL HYPOTHYROID</w:t>
            </w:r>
          </w:p>
        </w:tc>
        <w:tc>
          <w:tcPr>
            <w:tcW w:w="2304" w:type="dxa"/>
            <w:gridSpan w:val="2"/>
            <w:tcBorders>
              <w:bottom w:val="double" w:sz="6" w:space="0" w:color="auto"/>
            </w:tcBorders>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OVERT HYPOTHYROID</w:t>
            </w:r>
          </w:p>
        </w:tc>
      </w:tr>
      <w:tr w:rsidR="004503F2" w:rsidRPr="004503F2" w:rsidTr="002C07D3">
        <w:trPr>
          <w:trHeight w:val="20"/>
          <w:jc w:val="center"/>
        </w:trPr>
        <w:tc>
          <w:tcPr>
            <w:tcW w:w="947" w:type="dxa"/>
            <w:vMerge/>
            <w:shd w:val="clear" w:color="auto" w:fill="auto"/>
            <w:noWrap/>
            <w:vAlign w:val="center"/>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p>
        </w:tc>
        <w:tc>
          <w:tcPr>
            <w:tcW w:w="1440" w:type="dxa"/>
            <w:vMerge/>
            <w:shd w:val="clear" w:color="auto" w:fill="auto"/>
            <w:noWrap/>
            <w:vAlign w:val="center"/>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p>
        </w:tc>
        <w:tc>
          <w:tcPr>
            <w:tcW w:w="1152" w:type="dxa"/>
            <w:tcBorders>
              <w:top w:val="double" w:sz="6" w:space="0" w:color="auto"/>
            </w:tcBorders>
            <w:shd w:val="clear" w:color="auto" w:fill="auto"/>
            <w:noWrap/>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N</w:t>
            </w:r>
          </w:p>
        </w:tc>
        <w:tc>
          <w:tcPr>
            <w:tcW w:w="1152" w:type="dxa"/>
            <w:tcBorders>
              <w:top w:val="double" w:sz="6" w:space="0" w:color="auto"/>
            </w:tcBorders>
            <w:shd w:val="clear" w:color="auto" w:fill="auto"/>
            <w:noWrap/>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w:t>
            </w:r>
          </w:p>
        </w:tc>
        <w:tc>
          <w:tcPr>
            <w:tcW w:w="1152" w:type="dxa"/>
            <w:tcBorders>
              <w:top w:val="double" w:sz="6" w:space="0" w:color="auto"/>
            </w:tcBorders>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N</w:t>
            </w:r>
          </w:p>
        </w:tc>
        <w:tc>
          <w:tcPr>
            <w:tcW w:w="1152" w:type="dxa"/>
            <w:tcBorders>
              <w:top w:val="double" w:sz="6" w:space="0" w:color="auto"/>
            </w:tcBorders>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w:t>
            </w:r>
          </w:p>
        </w:tc>
        <w:tc>
          <w:tcPr>
            <w:tcW w:w="1152" w:type="dxa"/>
            <w:tcBorders>
              <w:top w:val="double" w:sz="6" w:space="0" w:color="auto"/>
            </w:tcBorders>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N</w:t>
            </w:r>
          </w:p>
        </w:tc>
        <w:tc>
          <w:tcPr>
            <w:tcW w:w="1152" w:type="dxa"/>
            <w:tcBorders>
              <w:top w:val="double" w:sz="6" w:space="0" w:color="auto"/>
            </w:tcBorders>
            <w:vAlign w:val="center"/>
          </w:tcPr>
          <w:p w:rsidR="004503F2" w:rsidRPr="004503F2" w:rsidRDefault="004503F2" w:rsidP="008E41CA">
            <w:pPr>
              <w:widowControl w:val="0"/>
              <w:spacing w:after="0" w:line="240" w:lineRule="auto"/>
              <w:jc w:val="center"/>
              <w:rPr>
                <w:rFonts w:ascii="Times New Roman" w:eastAsia="Times New Roman" w:hAnsi="Times New Roman" w:cs="Times New Roman"/>
                <w:i/>
                <w:lang w:val="en-US"/>
              </w:rPr>
            </w:pPr>
            <w:r w:rsidRPr="004503F2">
              <w:rPr>
                <w:rFonts w:ascii="Times New Roman" w:eastAsia="Times New Roman" w:hAnsi="Times New Roman" w:cs="Times New Roman"/>
                <w:i/>
                <w:lang w:val="en-US"/>
              </w:rPr>
              <w:t>%</w:t>
            </w:r>
          </w:p>
        </w:tc>
      </w:tr>
      <w:tr w:rsidR="004503F2" w:rsidRPr="004503F2" w:rsidTr="002C07D3">
        <w:trPr>
          <w:trHeight w:val="240"/>
          <w:jc w:val="center"/>
        </w:trPr>
        <w:tc>
          <w:tcPr>
            <w:tcW w:w="947"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1</w:t>
            </w:r>
          </w:p>
        </w:tc>
        <w:tc>
          <w:tcPr>
            <w:tcW w:w="1440"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&gt;90</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0.00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0.00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0.00</w:t>
            </w:r>
          </w:p>
        </w:tc>
      </w:tr>
      <w:tr w:rsidR="004503F2" w:rsidRPr="004503F2" w:rsidTr="002C07D3">
        <w:trPr>
          <w:trHeight w:val="240"/>
          <w:jc w:val="center"/>
        </w:trPr>
        <w:tc>
          <w:tcPr>
            <w:tcW w:w="947"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2</w:t>
            </w:r>
          </w:p>
        </w:tc>
        <w:tc>
          <w:tcPr>
            <w:tcW w:w="1440"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60–89</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2</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1.71</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0.00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0.00</w:t>
            </w:r>
          </w:p>
        </w:tc>
      </w:tr>
      <w:tr w:rsidR="004503F2" w:rsidRPr="004503F2" w:rsidTr="002C07D3">
        <w:trPr>
          <w:trHeight w:val="240"/>
          <w:jc w:val="center"/>
        </w:trPr>
        <w:tc>
          <w:tcPr>
            <w:tcW w:w="947"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lastRenderedPageBreak/>
              <w:t>3</w:t>
            </w:r>
          </w:p>
        </w:tc>
        <w:tc>
          <w:tcPr>
            <w:tcW w:w="1440"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30–59</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8</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6.84</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2</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4.55</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0.00</w:t>
            </w:r>
          </w:p>
        </w:tc>
      </w:tr>
      <w:tr w:rsidR="004503F2" w:rsidRPr="004503F2" w:rsidTr="002C07D3">
        <w:trPr>
          <w:trHeight w:val="240"/>
          <w:jc w:val="center"/>
        </w:trPr>
        <w:tc>
          <w:tcPr>
            <w:tcW w:w="947"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4</w:t>
            </w:r>
          </w:p>
        </w:tc>
        <w:tc>
          <w:tcPr>
            <w:tcW w:w="1440"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15–29</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20</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17.09</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5</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11.36</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2</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18.18</w:t>
            </w:r>
          </w:p>
        </w:tc>
      </w:tr>
      <w:tr w:rsidR="004503F2" w:rsidRPr="004503F2" w:rsidTr="002C07D3">
        <w:trPr>
          <w:trHeight w:val="240"/>
          <w:jc w:val="center"/>
        </w:trPr>
        <w:tc>
          <w:tcPr>
            <w:tcW w:w="947"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5</w:t>
            </w:r>
          </w:p>
        </w:tc>
        <w:tc>
          <w:tcPr>
            <w:tcW w:w="1440" w:type="dxa"/>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&lt;15</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87</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74.36</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37</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84.09</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9</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81.82</w:t>
            </w:r>
          </w:p>
        </w:tc>
      </w:tr>
      <w:tr w:rsidR="004503F2" w:rsidRPr="004503F2" w:rsidTr="002C07D3">
        <w:trPr>
          <w:trHeight w:val="240"/>
          <w:jc w:val="center"/>
        </w:trPr>
        <w:tc>
          <w:tcPr>
            <w:tcW w:w="2387" w:type="dxa"/>
            <w:gridSpan w:val="2"/>
            <w:shd w:val="clear" w:color="auto" w:fill="auto"/>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TOTAL</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117</w:t>
            </w:r>
          </w:p>
        </w:tc>
        <w:tc>
          <w:tcPr>
            <w:tcW w:w="1152" w:type="dxa"/>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100.00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44</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100.00</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11</w:t>
            </w:r>
          </w:p>
        </w:tc>
        <w:tc>
          <w:tcPr>
            <w:tcW w:w="1152" w:type="dxa"/>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100.00</w:t>
            </w:r>
          </w:p>
        </w:tc>
      </w:tr>
      <w:tr w:rsidR="004503F2" w:rsidRPr="004503F2" w:rsidTr="002C07D3">
        <w:trPr>
          <w:trHeight w:val="240"/>
          <w:jc w:val="center"/>
        </w:trPr>
        <w:tc>
          <w:tcPr>
            <w:tcW w:w="2387" w:type="dxa"/>
            <w:gridSpan w:val="2"/>
            <w:shd w:val="clear" w:color="auto" w:fill="auto"/>
            <w:noWrap/>
            <w:vAlign w:val="center"/>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i/>
                <w:color w:val="000000"/>
                <w:lang w:eastAsia="en-IN"/>
              </w:rPr>
              <w:t>Mean  ±  S.D.</w:t>
            </w:r>
          </w:p>
        </w:tc>
        <w:tc>
          <w:tcPr>
            <w:tcW w:w="2304" w:type="dxa"/>
            <w:gridSpan w:val="2"/>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12.61  ±  10.96</w:t>
            </w:r>
          </w:p>
        </w:tc>
        <w:tc>
          <w:tcPr>
            <w:tcW w:w="2304" w:type="dxa"/>
            <w:gridSpan w:val="2"/>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12.55  ±  8.00</w:t>
            </w:r>
          </w:p>
        </w:tc>
        <w:tc>
          <w:tcPr>
            <w:tcW w:w="2304" w:type="dxa"/>
            <w:gridSpan w:val="2"/>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9.45  ±  5.99</w:t>
            </w:r>
          </w:p>
        </w:tc>
      </w:tr>
      <w:tr w:rsidR="004503F2" w:rsidRPr="004503F2" w:rsidTr="002C07D3">
        <w:trPr>
          <w:trHeight w:val="240"/>
          <w:jc w:val="center"/>
        </w:trPr>
        <w:tc>
          <w:tcPr>
            <w:tcW w:w="2387" w:type="dxa"/>
            <w:gridSpan w:val="2"/>
            <w:shd w:val="clear" w:color="auto" w:fill="auto"/>
            <w:noWrap/>
            <w:vAlign w:val="center"/>
          </w:tcPr>
          <w:p w:rsidR="004503F2" w:rsidRPr="004503F2" w:rsidRDefault="004503F2" w:rsidP="008E41CA">
            <w:pPr>
              <w:spacing w:after="0" w:line="240" w:lineRule="auto"/>
              <w:jc w:val="center"/>
              <w:rPr>
                <w:rFonts w:ascii="Times New Roman" w:eastAsia="Times New Roman" w:hAnsi="Times New Roman" w:cs="Times New Roman"/>
                <w:i/>
                <w:color w:val="000000"/>
                <w:lang w:eastAsia="en-IN"/>
              </w:rPr>
            </w:pPr>
            <w:r w:rsidRPr="004503F2">
              <w:rPr>
                <w:rFonts w:ascii="Times New Roman" w:eastAsia="Times New Roman" w:hAnsi="Times New Roman" w:cs="Times New Roman"/>
                <w:i/>
                <w:lang w:val="en-US"/>
              </w:rPr>
              <w:t>p value</w:t>
            </w:r>
          </w:p>
        </w:tc>
        <w:tc>
          <w:tcPr>
            <w:tcW w:w="6912" w:type="dxa"/>
            <w:gridSpan w:val="6"/>
            <w:shd w:val="clear" w:color="auto" w:fill="auto"/>
            <w:noWrap/>
            <w:vAlign w:val="bottom"/>
          </w:tcPr>
          <w:p w:rsidR="004503F2" w:rsidRPr="004503F2" w:rsidRDefault="004503F2" w:rsidP="008E41CA">
            <w:pPr>
              <w:widowControl w:val="0"/>
              <w:spacing w:after="0" w:line="240" w:lineRule="auto"/>
              <w:jc w:val="center"/>
              <w:rPr>
                <w:rFonts w:ascii="Times New Roman" w:eastAsia="Times New Roman" w:hAnsi="Times New Roman" w:cs="Times New Roman"/>
                <w:lang w:val="en-US"/>
              </w:rPr>
            </w:pPr>
            <w:r w:rsidRPr="004503F2">
              <w:rPr>
                <w:rFonts w:ascii="Times New Roman" w:eastAsia="Times New Roman" w:hAnsi="Times New Roman" w:cs="Times New Roman"/>
                <w:lang w:val="en-US"/>
              </w:rPr>
              <w:t>0.6044</w:t>
            </w:r>
          </w:p>
        </w:tc>
      </w:tr>
    </w:tbl>
    <w:p w:rsidR="00AE39EB" w:rsidRDefault="00AE39EB" w:rsidP="008E41CA">
      <w:pPr>
        <w:pStyle w:val="Style9"/>
        <w:tabs>
          <w:tab w:val="left" w:pos="720"/>
        </w:tabs>
        <w:spacing w:before="0" w:line="240" w:lineRule="auto"/>
        <w:ind w:firstLine="0"/>
      </w:pPr>
    </w:p>
    <w:p w:rsidR="004503F2" w:rsidRPr="004503F2" w:rsidRDefault="00A3414A" w:rsidP="008E41CA">
      <w:pPr>
        <w:widowControl w:val="0"/>
        <w:autoSpaceDE w:val="0"/>
        <w:autoSpaceDN w:val="0"/>
        <w:adjustRightInd w:val="0"/>
        <w:spacing w:before="240" w:after="120" w:line="240" w:lineRule="auto"/>
        <w:jc w:val="center"/>
        <w:rPr>
          <w:rFonts w:ascii="Times New Roman" w:eastAsiaTheme="minorEastAsia" w:hAnsi="Times New Roman" w:cs="Times New Roman"/>
          <w:b/>
          <w:color w:val="000000" w:themeColor="text1"/>
          <w:lang w:eastAsia="en-IN"/>
        </w:rPr>
      </w:pPr>
      <w:r>
        <w:rPr>
          <w:rFonts w:ascii="Times New Roman" w:eastAsiaTheme="minorEastAsia" w:hAnsi="Times New Roman" w:cs="Times New Roman"/>
          <w:b/>
          <w:color w:val="000000" w:themeColor="text1"/>
          <w:lang w:eastAsia="en-IN"/>
        </w:rPr>
        <w:t xml:space="preserve">Table 3- </w:t>
      </w:r>
      <w:r w:rsidR="004503F2" w:rsidRPr="004503F2">
        <w:rPr>
          <w:rFonts w:ascii="Times New Roman" w:eastAsiaTheme="minorEastAsia" w:hAnsi="Times New Roman" w:cs="Times New Roman"/>
          <w:b/>
          <w:color w:val="000000" w:themeColor="text1"/>
          <w:lang w:eastAsia="en-IN"/>
        </w:rPr>
        <w:t xml:space="preserve">CORRELATION BETWEEN THYROID DYSFUNCTION </w:t>
      </w:r>
      <w:r w:rsidR="004503F2" w:rsidRPr="004503F2">
        <w:rPr>
          <w:rFonts w:ascii="Times New Roman" w:eastAsiaTheme="minorEastAsia" w:hAnsi="Times New Roman" w:cs="Times New Roman"/>
          <w:b/>
          <w:color w:val="000000" w:themeColor="text1"/>
          <w:lang w:eastAsia="en-IN"/>
        </w:rPr>
        <w:br/>
        <w:t>AND STAGES OF CKD</w:t>
      </w:r>
    </w:p>
    <w:tbl>
      <w:tblPr>
        <w:tblW w:w="4102"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1800"/>
        <w:gridCol w:w="1151"/>
        <w:gridCol w:w="1151"/>
      </w:tblGrid>
      <w:tr w:rsidR="004503F2" w:rsidRPr="004503F2" w:rsidTr="002C07D3">
        <w:trPr>
          <w:trHeight w:val="20"/>
          <w:jc w:val="center"/>
        </w:trPr>
        <w:tc>
          <w:tcPr>
            <w:tcW w:w="1800" w:type="dxa"/>
            <w:vMerge w:val="restart"/>
            <w:tcBorders>
              <w:top w:val="double" w:sz="6" w:space="0" w:color="auto"/>
              <w:left w:val="double" w:sz="6" w:space="0" w:color="auto"/>
              <w:right w:val="double" w:sz="6" w:space="0" w:color="auto"/>
            </w:tcBorders>
            <w:noWrap/>
            <w:vAlign w:val="center"/>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THYROID DYSFUNCTION</w:t>
            </w:r>
          </w:p>
        </w:tc>
        <w:tc>
          <w:tcPr>
            <w:tcW w:w="2302" w:type="dxa"/>
            <w:gridSpan w:val="2"/>
            <w:tcBorders>
              <w:top w:val="double" w:sz="6" w:space="0" w:color="auto"/>
              <w:left w:val="double" w:sz="6" w:space="0" w:color="auto"/>
              <w:bottom w:val="double" w:sz="6" w:space="0" w:color="auto"/>
              <w:right w:val="double" w:sz="6" w:space="0" w:color="auto"/>
            </w:tcBorders>
            <w:noWrap/>
            <w:vAlign w:val="center"/>
          </w:tcPr>
          <w:p w:rsidR="004503F2" w:rsidRPr="004503F2" w:rsidRDefault="004503F2" w:rsidP="008E41CA">
            <w:pPr>
              <w:spacing w:after="0" w:line="240" w:lineRule="auto"/>
              <w:jc w:val="center"/>
              <w:rPr>
                <w:rFonts w:ascii="Times New Roman" w:eastAsia="Times New Roman" w:hAnsi="Times New Roman" w:cs="Times New Roman"/>
                <w:i/>
                <w:lang w:val="en-US"/>
              </w:rPr>
            </w:pPr>
            <w:proofErr w:type="spellStart"/>
            <w:r w:rsidRPr="004503F2">
              <w:rPr>
                <w:rFonts w:ascii="Times New Roman" w:eastAsia="Times New Roman" w:hAnsi="Times New Roman" w:cs="Times New Roman"/>
                <w:color w:val="000000"/>
                <w:lang w:eastAsia="en-IN"/>
              </w:rPr>
              <w:t>eGFR</w:t>
            </w:r>
            <w:proofErr w:type="spellEnd"/>
            <w:r w:rsidRPr="004503F2">
              <w:rPr>
                <w:rFonts w:ascii="Times New Roman" w:eastAsia="Times New Roman" w:hAnsi="Times New Roman" w:cs="Times New Roman"/>
                <w:color w:val="000000"/>
                <w:lang w:eastAsia="en-IN"/>
              </w:rPr>
              <w:t xml:space="preserve"> </w:t>
            </w:r>
            <w:r w:rsidRPr="004503F2">
              <w:rPr>
                <w:rFonts w:ascii="Times New Roman" w:eastAsia="Times New Roman" w:hAnsi="Times New Roman" w:cs="Times New Roman"/>
                <w:i/>
                <w:color w:val="000000"/>
                <w:lang w:eastAsia="en-IN"/>
              </w:rPr>
              <w:t>(ml/min /1.73m</w:t>
            </w:r>
            <w:r w:rsidRPr="004503F2">
              <w:rPr>
                <w:rFonts w:ascii="Times New Roman" w:eastAsia="Times New Roman" w:hAnsi="Times New Roman" w:cs="Times New Roman"/>
                <w:color w:val="000000"/>
                <w:vertAlign w:val="superscript"/>
                <w:lang w:eastAsia="en-IN"/>
              </w:rPr>
              <w:t>2</w:t>
            </w:r>
            <w:r w:rsidRPr="004503F2">
              <w:rPr>
                <w:rFonts w:ascii="Times New Roman" w:eastAsia="Times New Roman" w:hAnsi="Times New Roman" w:cs="Times New Roman"/>
                <w:b/>
                <w:bCs/>
                <w:i/>
                <w:color w:val="000000"/>
                <w:lang w:eastAsia="en-IN"/>
              </w:rPr>
              <w:t>)</w:t>
            </w:r>
          </w:p>
        </w:tc>
      </w:tr>
      <w:tr w:rsidR="004503F2" w:rsidRPr="004503F2" w:rsidTr="002C07D3">
        <w:trPr>
          <w:trHeight w:val="20"/>
          <w:jc w:val="center"/>
        </w:trPr>
        <w:tc>
          <w:tcPr>
            <w:tcW w:w="1800" w:type="dxa"/>
            <w:vMerge/>
            <w:tcBorders>
              <w:left w:val="double" w:sz="6" w:space="0" w:color="auto"/>
              <w:bottom w:val="double" w:sz="6" w:space="0" w:color="auto"/>
              <w:right w:val="double" w:sz="6" w:space="0" w:color="auto"/>
            </w:tcBorders>
            <w:noWrap/>
            <w:vAlign w:val="center"/>
            <w:hideMark/>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p>
        </w:tc>
        <w:tc>
          <w:tcPr>
            <w:tcW w:w="1151" w:type="dxa"/>
            <w:tcBorders>
              <w:top w:val="double" w:sz="6" w:space="0" w:color="auto"/>
              <w:left w:val="double" w:sz="6" w:space="0" w:color="auto"/>
              <w:bottom w:val="double" w:sz="6" w:space="0" w:color="auto"/>
              <w:right w:val="double" w:sz="6" w:space="0" w:color="auto"/>
            </w:tcBorders>
            <w:noWrap/>
            <w:vAlign w:val="center"/>
            <w:hideMark/>
          </w:tcPr>
          <w:p w:rsidR="004503F2" w:rsidRPr="004503F2" w:rsidRDefault="004503F2" w:rsidP="008E41CA">
            <w:pPr>
              <w:spacing w:after="0" w:line="240" w:lineRule="auto"/>
              <w:jc w:val="center"/>
              <w:rPr>
                <w:rFonts w:ascii="Times New Roman" w:eastAsia="Times New Roman" w:hAnsi="Times New Roman" w:cs="Times New Roman"/>
                <w:i/>
                <w:color w:val="000000"/>
                <w:lang w:eastAsia="en-IN"/>
              </w:rPr>
            </w:pPr>
            <w:r w:rsidRPr="004503F2">
              <w:rPr>
                <w:rFonts w:ascii="Times New Roman" w:eastAsia="Times New Roman" w:hAnsi="Times New Roman" w:cs="Times New Roman"/>
                <w:i/>
                <w:color w:val="000000"/>
                <w:lang w:eastAsia="en-IN"/>
              </w:rPr>
              <w:t>r value</w:t>
            </w:r>
          </w:p>
        </w:tc>
        <w:tc>
          <w:tcPr>
            <w:tcW w:w="1151" w:type="dxa"/>
            <w:tcBorders>
              <w:top w:val="double" w:sz="6" w:space="0" w:color="auto"/>
              <w:left w:val="double" w:sz="6" w:space="0" w:color="auto"/>
              <w:bottom w:val="double" w:sz="6" w:space="0" w:color="auto"/>
              <w:right w:val="double" w:sz="6" w:space="0" w:color="auto"/>
            </w:tcBorders>
            <w:vAlign w:val="center"/>
            <w:hideMark/>
          </w:tcPr>
          <w:p w:rsidR="004503F2" w:rsidRPr="004503F2" w:rsidRDefault="004503F2" w:rsidP="008E41CA">
            <w:pPr>
              <w:spacing w:after="0" w:line="240" w:lineRule="auto"/>
              <w:jc w:val="center"/>
              <w:rPr>
                <w:rFonts w:ascii="Times New Roman" w:eastAsia="Times New Roman" w:hAnsi="Times New Roman" w:cs="Times New Roman"/>
                <w:i/>
                <w:color w:val="000000"/>
                <w:lang w:eastAsia="en-IN"/>
              </w:rPr>
            </w:pPr>
            <w:r w:rsidRPr="004503F2">
              <w:rPr>
                <w:rFonts w:ascii="Times New Roman" w:eastAsia="Times New Roman" w:hAnsi="Times New Roman" w:cs="Times New Roman"/>
                <w:i/>
                <w:lang w:val="en-US"/>
              </w:rPr>
              <w:t>p value</w:t>
            </w:r>
          </w:p>
        </w:tc>
      </w:tr>
      <w:tr w:rsidR="004503F2" w:rsidRPr="004503F2" w:rsidTr="002C07D3">
        <w:trPr>
          <w:trHeight w:val="20"/>
          <w:jc w:val="center"/>
        </w:trPr>
        <w:tc>
          <w:tcPr>
            <w:tcW w:w="1800" w:type="dxa"/>
            <w:tcBorders>
              <w:top w:val="single" w:sz="4" w:space="0" w:color="auto"/>
              <w:left w:val="double" w:sz="6" w:space="0" w:color="auto"/>
              <w:bottom w:val="single" w:sz="4" w:space="0" w:color="auto"/>
              <w:right w:val="double" w:sz="6" w:space="0" w:color="auto"/>
            </w:tcBorders>
            <w:noWrap/>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T3</w:t>
            </w:r>
          </w:p>
        </w:tc>
        <w:tc>
          <w:tcPr>
            <w:tcW w:w="1151" w:type="dxa"/>
            <w:tcBorders>
              <w:top w:val="single" w:sz="4" w:space="0" w:color="auto"/>
              <w:left w:val="double" w:sz="6" w:space="0" w:color="auto"/>
              <w:bottom w:val="single" w:sz="4" w:space="0" w:color="auto"/>
              <w:right w:val="double" w:sz="6" w:space="0" w:color="auto"/>
            </w:tcBorders>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0.1860</w:t>
            </w:r>
          </w:p>
        </w:tc>
        <w:tc>
          <w:tcPr>
            <w:tcW w:w="1151" w:type="dxa"/>
            <w:tcBorders>
              <w:top w:val="single" w:sz="4" w:space="0" w:color="auto"/>
              <w:left w:val="double" w:sz="6" w:space="0" w:color="auto"/>
              <w:bottom w:val="single" w:sz="4" w:space="0" w:color="auto"/>
              <w:right w:val="double" w:sz="6" w:space="0" w:color="auto"/>
            </w:tcBorders>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0.0146</w:t>
            </w:r>
          </w:p>
        </w:tc>
      </w:tr>
      <w:tr w:rsidR="004503F2" w:rsidRPr="004503F2" w:rsidTr="002C07D3">
        <w:trPr>
          <w:trHeight w:val="20"/>
          <w:jc w:val="center"/>
        </w:trPr>
        <w:tc>
          <w:tcPr>
            <w:tcW w:w="1800" w:type="dxa"/>
            <w:tcBorders>
              <w:top w:val="single" w:sz="4" w:space="0" w:color="auto"/>
              <w:left w:val="double" w:sz="6" w:space="0" w:color="auto"/>
              <w:bottom w:val="single" w:sz="4" w:space="0" w:color="auto"/>
              <w:right w:val="double" w:sz="6" w:space="0" w:color="auto"/>
            </w:tcBorders>
            <w:noWrap/>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T4</w:t>
            </w:r>
          </w:p>
        </w:tc>
        <w:tc>
          <w:tcPr>
            <w:tcW w:w="1151" w:type="dxa"/>
            <w:tcBorders>
              <w:top w:val="single" w:sz="4" w:space="0" w:color="auto"/>
              <w:left w:val="double" w:sz="6" w:space="0" w:color="auto"/>
              <w:bottom w:val="single" w:sz="4" w:space="0" w:color="auto"/>
              <w:right w:val="double" w:sz="6" w:space="0" w:color="auto"/>
            </w:tcBorders>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0.2441</w:t>
            </w:r>
          </w:p>
        </w:tc>
        <w:tc>
          <w:tcPr>
            <w:tcW w:w="1151" w:type="dxa"/>
            <w:tcBorders>
              <w:top w:val="single" w:sz="4" w:space="0" w:color="auto"/>
              <w:left w:val="double" w:sz="6" w:space="0" w:color="auto"/>
              <w:bottom w:val="single" w:sz="4" w:space="0" w:color="auto"/>
              <w:right w:val="double" w:sz="6" w:space="0" w:color="auto"/>
            </w:tcBorders>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0.0013</w:t>
            </w:r>
          </w:p>
        </w:tc>
      </w:tr>
      <w:tr w:rsidR="004503F2" w:rsidRPr="004503F2" w:rsidTr="002C07D3">
        <w:trPr>
          <w:trHeight w:val="20"/>
          <w:jc w:val="center"/>
        </w:trPr>
        <w:tc>
          <w:tcPr>
            <w:tcW w:w="1800" w:type="dxa"/>
            <w:tcBorders>
              <w:top w:val="single" w:sz="4" w:space="0" w:color="auto"/>
              <w:left w:val="double" w:sz="6" w:space="0" w:color="auto"/>
              <w:bottom w:val="double" w:sz="6" w:space="0" w:color="auto"/>
              <w:right w:val="double" w:sz="6" w:space="0" w:color="auto"/>
            </w:tcBorders>
            <w:noWrap/>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TSH</w:t>
            </w:r>
          </w:p>
        </w:tc>
        <w:tc>
          <w:tcPr>
            <w:tcW w:w="1151" w:type="dxa"/>
            <w:tcBorders>
              <w:top w:val="single" w:sz="4" w:space="0" w:color="auto"/>
              <w:left w:val="double" w:sz="6" w:space="0" w:color="auto"/>
              <w:bottom w:val="double" w:sz="6" w:space="0" w:color="auto"/>
              <w:right w:val="double" w:sz="6" w:space="0" w:color="auto"/>
            </w:tcBorders>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-0.0412</w:t>
            </w:r>
          </w:p>
        </w:tc>
        <w:tc>
          <w:tcPr>
            <w:tcW w:w="1151" w:type="dxa"/>
            <w:tcBorders>
              <w:top w:val="single" w:sz="4" w:space="0" w:color="auto"/>
              <w:left w:val="double" w:sz="6" w:space="0" w:color="auto"/>
              <w:bottom w:val="double" w:sz="6" w:space="0" w:color="auto"/>
              <w:right w:val="double" w:sz="6" w:space="0" w:color="auto"/>
            </w:tcBorders>
            <w:vAlign w:val="bottom"/>
          </w:tcPr>
          <w:p w:rsidR="004503F2" w:rsidRPr="004503F2" w:rsidRDefault="004503F2" w:rsidP="008E41CA">
            <w:pPr>
              <w:spacing w:after="0" w:line="240" w:lineRule="auto"/>
              <w:jc w:val="center"/>
              <w:rPr>
                <w:rFonts w:ascii="Times New Roman" w:eastAsia="Times New Roman" w:hAnsi="Times New Roman" w:cs="Times New Roman"/>
                <w:color w:val="000000"/>
                <w:lang w:eastAsia="en-IN"/>
              </w:rPr>
            </w:pPr>
            <w:r w:rsidRPr="004503F2">
              <w:rPr>
                <w:rFonts w:ascii="Times New Roman" w:eastAsia="Times New Roman" w:hAnsi="Times New Roman" w:cs="Times New Roman"/>
                <w:color w:val="000000"/>
                <w:lang w:eastAsia="en-IN"/>
              </w:rPr>
              <w:t>0.5933</w:t>
            </w:r>
          </w:p>
        </w:tc>
      </w:tr>
    </w:tbl>
    <w:p w:rsidR="00444D66" w:rsidRPr="00377D7D" w:rsidRDefault="00444D66" w:rsidP="008E41CA">
      <w:pPr>
        <w:pStyle w:val="Style9"/>
        <w:tabs>
          <w:tab w:val="left" w:pos="720"/>
        </w:tabs>
        <w:spacing w:before="0" w:line="240" w:lineRule="auto"/>
        <w:ind w:firstLine="0"/>
        <w:rPr>
          <w:rFonts w:eastAsiaTheme="minorHAnsi"/>
        </w:rPr>
      </w:pPr>
    </w:p>
    <w:p w:rsidR="004503F2" w:rsidRDefault="004503F2" w:rsidP="008E41CA">
      <w:pPr>
        <w:pStyle w:val="Style2"/>
        <w:spacing w:line="240" w:lineRule="auto"/>
      </w:pPr>
      <w:bookmarkStart w:id="0" w:name="_GoBack"/>
      <w:r>
        <w:rPr>
          <w:noProof/>
          <w:lang w:val="en-IN" w:eastAsia="en-IN"/>
        </w:rPr>
        <w:drawing>
          <wp:inline distT="0" distB="0" distL="0" distR="0" wp14:anchorId="56DF0BCE" wp14:editId="45D4B175">
            <wp:extent cx="5029200" cy="36576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377D7D" w:rsidRDefault="00377D7D" w:rsidP="008E41CA">
      <w:pPr>
        <w:pStyle w:val="Style2"/>
        <w:spacing w:line="240" w:lineRule="auto"/>
        <w:ind w:left="1418" w:firstLine="22"/>
      </w:pPr>
      <w:r>
        <w:t xml:space="preserve"> </w:t>
      </w:r>
      <w:r w:rsidRPr="008B3AFB">
        <w:t xml:space="preserve">. </w:t>
      </w:r>
    </w:p>
    <w:p w:rsidR="004503F2" w:rsidRDefault="004503F2" w:rsidP="008E41CA">
      <w:pPr>
        <w:pStyle w:val="Style2"/>
        <w:spacing w:line="240" w:lineRule="auto"/>
        <w:ind w:left="1418" w:firstLine="22"/>
      </w:pPr>
    </w:p>
    <w:p w:rsidR="004503F2" w:rsidRDefault="004503F2" w:rsidP="008E41CA">
      <w:pPr>
        <w:pStyle w:val="Style2"/>
        <w:spacing w:line="240" w:lineRule="auto"/>
        <w:ind w:left="1418" w:firstLine="22"/>
      </w:pPr>
      <w:r>
        <w:rPr>
          <w:noProof/>
          <w:lang w:val="en-IN" w:eastAsia="en-IN"/>
        </w:rPr>
        <w:lastRenderedPageBreak/>
        <w:drawing>
          <wp:inline distT="0" distB="0" distL="0" distR="0" wp14:anchorId="50ACF926" wp14:editId="16DF0A50">
            <wp:extent cx="5029200" cy="36576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03F2" w:rsidRDefault="00A3414A" w:rsidP="008E41CA">
      <w:pPr>
        <w:pStyle w:val="Style2"/>
        <w:spacing w:line="240" w:lineRule="auto"/>
        <w:ind w:left="1418" w:firstLine="22"/>
      </w:pPr>
      <w:r>
        <w:rPr>
          <w:noProof/>
          <w:lang w:val="en-IN" w:eastAsia="en-IN"/>
        </w:rPr>
        <w:drawing>
          <wp:inline distT="0" distB="0" distL="0" distR="0" wp14:anchorId="1F312DAC" wp14:editId="3CB1E013">
            <wp:extent cx="4953000" cy="352425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03F2" w:rsidRPr="001B638A" w:rsidRDefault="004503F2" w:rsidP="008E41CA">
      <w:pPr>
        <w:pStyle w:val="Style2"/>
        <w:spacing w:line="240" w:lineRule="auto"/>
        <w:ind w:left="284" w:firstLine="22"/>
        <w:rPr>
          <w:b/>
        </w:rPr>
      </w:pPr>
      <w:r w:rsidRPr="001B638A">
        <w:rPr>
          <w:b/>
        </w:rPr>
        <w:t>DISCUSSION</w:t>
      </w:r>
    </w:p>
    <w:p w:rsidR="001B638A" w:rsidRDefault="001B638A" w:rsidP="008E41CA">
      <w:pPr>
        <w:pStyle w:val="Style2"/>
        <w:spacing w:line="240" w:lineRule="auto"/>
        <w:ind w:left="284" w:firstLine="22"/>
      </w:pPr>
      <w:r>
        <w:t xml:space="preserve">The prevalence of thyroid dysfunction in our study was 31.98%, of which 25.58% had subclinical hypothyroidism, 6.4% had overt hypothyroidism. Thus our study showed an increased prevalence of subclinical and overt hypothyroidism in patients with </w:t>
      </w:r>
      <w:proofErr w:type="spellStart"/>
      <w:r>
        <w:t>non diabetic</w:t>
      </w:r>
      <w:proofErr w:type="spellEnd"/>
      <w:r>
        <w:t xml:space="preserve"> CKD. Our study results were in concordance with study done by Bajaj S, et al. In their study the prevalence of subclinical hypothyroidism and overt hypothyroidism was 41.1% </w:t>
      </w:r>
      <w:r w:rsidR="00BA7C8A">
        <w:lastRenderedPageBreak/>
        <w:t>and 2.7% respectively</w:t>
      </w:r>
      <w:r w:rsidR="00BA7C8A">
        <w:rPr>
          <w:vertAlign w:val="superscript"/>
        </w:rPr>
        <w:t>11</w:t>
      </w:r>
      <w:r>
        <w:t>.</w:t>
      </w:r>
    </w:p>
    <w:p w:rsidR="001B638A" w:rsidRDefault="001B638A" w:rsidP="008E41CA">
      <w:pPr>
        <w:pStyle w:val="Style2"/>
        <w:tabs>
          <w:tab w:val="left" w:pos="142"/>
        </w:tabs>
        <w:spacing w:line="240" w:lineRule="auto"/>
        <w:ind w:left="284" w:firstLine="22"/>
      </w:pPr>
      <w:r>
        <w:t>Chandra A did a cross sectional study from September 2013 to Octob</w:t>
      </w:r>
      <w:r w:rsidR="003920D6">
        <w:t>er 2015. In his study, among 1,</w:t>
      </w:r>
      <w:r>
        <w:t>863 CKD patients, 358 patients underwent biochemical analysis for hypothyroidism. Among these, 143 had biochemical subclinical hypothyroidism and 59 had overt hypothyroidism. The prevalence of subclinical and overt primary hypothyroidism together in the total CKD population was 10.84%, whereas it was 56.42% in the subj</w:t>
      </w:r>
      <w:r w:rsidR="00BA7C8A">
        <w:t>ects tested for hypothyroidism</w:t>
      </w:r>
      <w:r w:rsidR="00BA7C8A">
        <w:rPr>
          <w:vertAlign w:val="superscript"/>
        </w:rPr>
        <w:t>12</w:t>
      </w:r>
      <w:r>
        <w:t>.</w:t>
      </w:r>
    </w:p>
    <w:p w:rsidR="001B638A" w:rsidRDefault="001B638A" w:rsidP="008E41CA">
      <w:pPr>
        <w:pStyle w:val="Style2"/>
        <w:spacing w:line="240" w:lineRule="auto"/>
        <w:ind w:left="284" w:firstLine="22"/>
      </w:pPr>
      <w:proofErr w:type="spellStart"/>
      <w:r>
        <w:t>Shantha</w:t>
      </w:r>
      <w:proofErr w:type="spellEnd"/>
      <w:r>
        <w:t xml:space="preserve"> GPS, et al conducted a study on the prevalence of subclinical hypothyroidism in patients with end-stage renal disease and the role of serum albumin which</w:t>
      </w:r>
      <w:r w:rsidR="00BA7C8A">
        <w:t xml:space="preserve"> demonstrated 24.8% prevalence</w:t>
      </w:r>
      <w:r w:rsidR="00BA7C8A">
        <w:rPr>
          <w:vertAlign w:val="superscript"/>
        </w:rPr>
        <w:t>13</w:t>
      </w:r>
      <w:r>
        <w:t>.</w:t>
      </w:r>
    </w:p>
    <w:p w:rsidR="004503F2" w:rsidRDefault="001B638A" w:rsidP="008E41CA">
      <w:pPr>
        <w:pStyle w:val="Style2"/>
        <w:spacing w:line="240" w:lineRule="auto"/>
        <w:ind w:left="284" w:firstLine="22"/>
      </w:pPr>
      <w:r>
        <w:t xml:space="preserve">Study conducted by </w:t>
      </w:r>
      <w:proofErr w:type="spellStart"/>
      <w:r>
        <w:t>Chonchol</w:t>
      </w:r>
      <w:proofErr w:type="spellEnd"/>
      <w:r>
        <w:t xml:space="preserve"> M, et al among 3089 adult 293 (9.5%) had subclinical primary hypothyroidism and 277 (9%) had an estimat</w:t>
      </w:r>
      <w:r w:rsidR="00BA7C8A">
        <w:t xml:space="preserve">ed GFR &lt;60 ml/min per 1.73 m2 </w:t>
      </w:r>
      <w:r w:rsidR="00BA7C8A">
        <w:rPr>
          <w:vertAlign w:val="superscript"/>
        </w:rPr>
        <w:t>14</w:t>
      </w:r>
      <w:r>
        <w:t>.</w:t>
      </w:r>
    </w:p>
    <w:p w:rsidR="00C910F3" w:rsidRDefault="00C910F3" w:rsidP="008E41CA">
      <w:pPr>
        <w:pStyle w:val="Style2"/>
        <w:spacing w:line="240" w:lineRule="auto"/>
        <w:ind w:left="284" w:firstLine="22"/>
      </w:pPr>
      <w:r>
        <w:t xml:space="preserve">The mean </w:t>
      </w:r>
      <w:proofErr w:type="spellStart"/>
      <w:r>
        <w:t>eGFR</w:t>
      </w:r>
      <w:proofErr w:type="spellEnd"/>
      <w:r>
        <w:t xml:space="preserve"> in our study was </w:t>
      </w:r>
      <w:proofErr w:type="gramStart"/>
      <w:r>
        <w:t>12.39  ±</w:t>
      </w:r>
      <w:proofErr w:type="gramEnd"/>
      <w:r>
        <w:t xml:space="preserve">  10.01 ml/min/1.73m2. Out of 11 patients with overt hypothyroidism 9 (81.82%) were in CKD stage 5 and 2 (18.18%) were in CKD stage 4.</w:t>
      </w:r>
    </w:p>
    <w:p w:rsidR="00C910F3" w:rsidRDefault="00C910F3" w:rsidP="008E41CA">
      <w:pPr>
        <w:pStyle w:val="Style2"/>
        <w:spacing w:line="240" w:lineRule="auto"/>
        <w:ind w:left="284" w:firstLine="0"/>
      </w:pPr>
      <w:r>
        <w:t>In patients with subclinical hypothyroidism 84.09% were in CKD stage 5, 11.36% were in CKD stage 4 and 4.55% were in CKD stage 3.</w:t>
      </w:r>
    </w:p>
    <w:p w:rsidR="00C910F3" w:rsidRDefault="00C910F3" w:rsidP="008E41CA">
      <w:pPr>
        <w:pStyle w:val="Style2"/>
        <w:spacing w:line="240" w:lineRule="auto"/>
        <w:ind w:left="284" w:firstLine="0"/>
      </w:pPr>
      <w:r>
        <w:t xml:space="preserve">The mean serum T3, T4 and TSH in the overt hypothyroidism was 0.15 ± 0.07ng/ml, </w:t>
      </w:r>
      <w:proofErr w:type="gramStart"/>
      <w:r>
        <w:t>16.55 ± 9.92ng/ml</w:t>
      </w:r>
      <w:proofErr w:type="gramEnd"/>
      <w:r>
        <w:t xml:space="preserve"> and 33.73 ± 10.54µIU/ml respectively.</w:t>
      </w:r>
    </w:p>
    <w:p w:rsidR="00C910F3" w:rsidRDefault="00C910F3" w:rsidP="008E41CA">
      <w:pPr>
        <w:pStyle w:val="Style2"/>
        <w:spacing w:line="240" w:lineRule="auto"/>
        <w:ind w:left="284" w:firstLine="0"/>
      </w:pPr>
      <w:r>
        <w:t>Thus, in our study, with increase in the stage of CKD, there was increase in the prevalence of hypothyroidism. But the statistical significance could not be established because of comparatively small sample size and shorter duration of the study.</w:t>
      </w:r>
    </w:p>
    <w:p w:rsidR="00C910F3" w:rsidRDefault="00C910F3" w:rsidP="008E41CA">
      <w:pPr>
        <w:pStyle w:val="Style2"/>
        <w:spacing w:line="240" w:lineRule="auto"/>
        <w:ind w:left="284" w:firstLine="0"/>
      </w:pPr>
      <w:r>
        <w:t>The present study is comparable to that conducted by Chandra A</w:t>
      </w:r>
      <w:r w:rsidR="00741918">
        <w:rPr>
          <w:vertAlign w:val="superscript"/>
        </w:rPr>
        <w:t>12</w:t>
      </w:r>
      <w:r>
        <w:t xml:space="preserve">, which showed that the prevalence of hypothyroidism was increased in subjects with reduced GFR, ranging from 32.68% for persons with </w:t>
      </w:r>
      <w:proofErr w:type="spellStart"/>
      <w:r>
        <w:t>eGFR</w:t>
      </w:r>
      <w:proofErr w:type="spellEnd"/>
      <w:r>
        <w:t xml:space="preserve"> &gt;30 ml/min/1.73 m2 to 67.32% in patients with </w:t>
      </w:r>
      <w:proofErr w:type="spellStart"/>
      <w:r>
        <w:t>eGFR</w:t>
      </w:r>
      <w:proofErr w:type="spellEnd"/>
      <w:r>
        <w:t xml:space="preserve"> &lt; 30 mL/min/1.73 m2.</w:t>
      </w:r>
    </w:p>
    <w:p w:rsidR="00C910F3" w:rsidRDefault="00741918" w:rsidP="008E41CA">
      <w:pPr>
        <w:pStyle w:val="Style2"/>
        <w:spacing w:line="240" w:lineRule="auto"/>
        <w:ind w:left="284" w:firstLine="22"/>
      </w:pPr>
      <w:r>
        <w:t>In the study by Lo JC, et al</w:t>
      </w:r>
      <w:r>
        <w:rPr>
          <w:vertAlign w:val="superscript"/>
        </w:rPr>
        <w:t>15</w:t>
      </w:r>
      <w:r w:rsidR="00C910F3">
        <w:t xml:space="preserve"> the prevalence of hypothyroidism was 5.4% in subjects with GFR≥90 ml/min/1.73 m2, 10.9% with GFR 60–89 ml/min/1.73 m2, 20.4% with GFR 45–59 mL/min/1.73 m2, 23.0% with GFR 30–44 ml/min/1.73 m2, and 23.1% with GFR &lt;30 ml/min/1.73 m2.</w:t>
      </w:r>
    </w:p>
    <w:p w:rsidR="00C910F3" w:rsidRDefault="00C910F3" w:rsidP="008E41CA">
      <w:pPr>
        <w:pStyle w:val="Style2"/>
        <w:spacing w:line="240" w:lineRule="auto"/>
        <w:ind w:left="284" w:firstLine="22"/>
      </w:pPr>
      <w:r>
        <w:t>Studie</w:t>
      </w:r>
      <w:r w:rsidR="00741918">
        <w:t xml:space="preserve">s conducted by Bajaj S, et al </w:t>
      </w:r>
      <w:r w:rsidR="00741918">
        <w:rPr>
          <w:vertAlign w:val="superscript"/>
        </w:rPr>
        <w:t>11</w:t>
      </w:r>
      <w:r w:rsidR="00741918">
        <w:t xml:space="preserve"> and </w:t>
      </w:r>
      <w:proofErr w:type="spellStart"/>
      <w:r w:rsidR="00741918">
        <w:t>Chonchol</w:t>
      </w:r>
      <w:proofErr w:type="spellEnd"/>
      <w:r w:rsidR="00741918">
        <w:t xml:space="preserve"> M, </w:t>
      </w:r>
      <w:proofErr w:type="gramStart"/>
      <w:r w:rsidR="00741918">
        <w:t>et</w:t>
      </w:r>
      <w:proofErr w:type="gramEnd"/>
      <w:r w:rsidR="00741918">
        <w:t xml:space="preserve"> al</w:t>
      </w:r>
      <w:r w:rsidR="00741918">
        <w:rPr>
          <w:vertAlign w:val="superscript"/>
        </w:rPr>
        <w:t>14</w:t>
      </w:r>
      <w:r>
        <w:t xml:space="preserve"> also demonstrated an increase in prevalence of hypothyroidism with reduction of GFR.</w:t>
      </w:r>
    </w:p>
    <w:p w:rsidR="008E41CA" w:rsidRDefault="00C910F3" w:rsidP="008E41CA">
      <w:pPr>
        <w:widowControl w:val="0"/>
        <w:spacing w:before="240" w:after="240" w:line="240" w:lineRule="auto"/>
        <w:ind w:left="284"/>
        <w:jc w:val="both"/>
        <w:rPr>
          <w:rFonts w:ascii="Times New Roman" w:eastAsia="Times New Roman" w:hAnsi="Times New Roman" w:cs="Times New Roman"/>
          <w:bCs/>
          <w:sz w:val="24"/>
          <w:szCs w:val="24"/>
          <w:lang w:val="en-US"/>
        </w:rPr>
      </w:pPr>
      <w:r w:rsidRPr="00C910F3">
        <w:rPr>
          <w:rFonts w:ascii="Times New Roman" w:eastAsia="Times New Roman" w:hAnsi="Times New Roman" w:cs="Times New Roman"/>
          <w:bCs/>
          <w:sz w:val="24"/>
          <w:szCs w:val="24"/>
          <w:lang w:val="en-US"/>
        </w:rPr>
        <w:t xml:space="preserve">Our study showed that there is a positive correlation between serum T3 (r = 0.1860, p = 0.0146) and serum T4 (r = 0.2441, p = 0.0013) with </w:t>
      </w:r>
      <w:proofErr w:type="spellStart"/>
      <w:r w:rsidRPr="00C910F3">
        <w:rPr>
          <w:rFonts w:ascii="Times New Roman" w:eastAsia="Times New Roman" w:hAnsi="Times New Roman" w:cs="Times New Roman"/>
          <w:bCs/>
          <w:sz w:val="24"/>
          <w:szCs w:val="24"/>
          <w:lang w:val="en-US"/>
        </w:rPr>
        <w:t>eGFR</w:t>
      </w:r>
      <w:proofErr w:type="spellEnd"/>
      <w:r w:rsidRPr="00C910F3">
        <w:rPr>
          <w:rFonts w:ascii="Times New Roman" w:eastAsia="Times New Roman" w:hAnsi="Times New Roman" w:cs="Times New Roman"/>
          <w:bCs/>
          <w:sz w:val="24"/>
          <w:szCs w:val="24"/>
          <w:lang w:val="en-US"/>
        </w:rPr>
        <w:t xml:space="preserve"> and was statistically significant. </w:t>
      </w:r>
    </w:p>
    <w:p w:rsidR="00C910F3" w:rsidRDefault="00C910F3" w:rsidP="008E41CA">
      <w:pPr>
        <w:widowControl w:val="0"/>
        <w:spacing w:before="240" w:after="240" w:line="240" w:lineRule="auto"/>
        <w:ind w:left="284"/>
        <w:jc w:val="both"/>
        <w:rPr>
          <w:rFonts w:ascii="Times New Roman" w:eastAsia="Times New Roman" w:hAnsi="Times New Roman" w:cs="Times New Roman"/>
          <w:bCs/>
          <w:sz w:val="24"/>
          <w:szCs w:val="24"/>
          <w:lang w:val="en-US"/>
        </w:rPr>
      </w:pPr>
      <w:r w:rsidRPr="00C910F3">
        <w:rPr>
          <w:rFonts w:ascii="Times New Roman" w:eastAsia="Times New Roman" w:hAnsi="Times New Roman" w:cs="Times New Roman"/>
          <w:bCs/>
          <w:sz w:val="24"/>
          <w:szCs w:val="24"/>
          <w:lang w:val="en-US"/>
        </w:rPr>
        <w:t xml:space="preserve">There was a negative correlation between serum TSH and </w:t>
      </w:r>
      <w:proofErr w:type="spellStart"/>
      <w:r w:rsidRPr="00C910F3">
        <w:rPr>
          <w:rFonts w:ascii="Times New Roman" w:eastAsia="Times New Roman" w:hAnsi="Times New Roman" w:cs="Times New Roman"/>
          <w:bCs/>
          <w:sz w:val="24"/>
          <w:szCs w:val="24"/>
          <w:lang w:val="en-US"/>
        </w:rPr>
        <w:t>eGFR</w:t>
      </w:r>
      <w:proofErr w:type="spellEnd"/>
      <w:r w:rsidRPr="00C910F3">
        <w:rPr>
          <w:rFonts w:ascii="Times New Roman" w:eastAsia="Times New Roman" w:hAnsi="Times New Roman" w:cs="Times New Roman"/>
          <w:bCs/>
          <w:sz w:val="24"/>
          <w:szCs w:val="24"/>
          <w:lang w:val="en-US"/>
        </w:rPr>
        <w:t xml:space="preserve"> (r = -0.0412, p = 0.5933</w:t>
      </w:r>
      <w:proofErr w:type="gramStart"/>
      <w:r w:rsidRPr="00C910F3">
        <w:rPr>
          <w:rFonts w:ascii="Times New Roman" w:eastAsia="Times New Roman" w:hAnsi="Times New Roman" w:cs="Times New Roman"/>
          <w:bCs/>
          <w:sz w:val="24"/>
          <w:szCs w:val="24"/>
          <w:lang w:val="en-US"/>
        </w:rPr>
        <w:t>)but</w:t>
      </w:r>
      <w:proofErr w:type="gramEnd"/>
      <w:r w:rsidRPr="00C910F3">
        <w:rPr>
          <w:rFonts w:ascii="Times New Roman" w:eastAsia="Times New Roman" w:hAnsi="Times New Roman" w:cs="Times New Roman"/>
          <w:bCs/>
          <w:sz w:val="24"/>
          <w:szCs w:val="24"/>
          <w:lang w:val="en-US"/>
        </w:rPr>
        <w:t xml:space="preserve"> it was not statistically significant. This is in accordance to the study conducted by </w:t>
      </w:r>
      <w:proofErr w:type="spellStart"/>
      <w:r w:rsidRPr="00C910F3">
        <w:rPr>
          <w:rFonts w:ascii="Times New Roman" w:eastAsia="Times New Roman" w:hAnsi="Times New Roman" w:cs="Times New Roman"/>
          <w:bCs/>
          <w:sz w:val="24"/>
          <w:szCs w:val="24"/>
          <w:lang w:val="en-US"/>
        </w:rPr>
        <w:t>Asvold</w:t>
      </w:r>
      <w:proofErr w:type="spellEnd"/>
      <w:r w:rsidRPr="00C910F3">
        <w:rPr>
          <w:rFonts w:ascii="Times New Roman" w:eastAsia="Times New Roman" w:hAnsi="Times New Roman" w:cs="Times New Roman"/>
          <w:bCs/>
          <w:sz w:val="24"/>
          <w:szCs w:val="24"/>
          <w:lang w:val="en-US"/>
        </w:rPr>
        <w:t xml:space="preserve"> BO, </w:t>
      </w:r>
      <w:proofErr w:type="gramStart"/>
      <w:r w:rsidRPr="00C910F3">
        <w:rPr>
          <w:rFonts w:ascii="Times New Roman" w:eastAsia="Times New Roman" w:hAnsi="Times New Roman" w:cs="Times New Roman"/>
          <w:bCs/>
          <w:i/>
          <w:sz w:val="24"/>
          <w:szCs w:val="24"/>
          <w:lang w:val="en-US"/>
        </w:rPr>
        <w:t>et</w:t>
      </w:r>
      <w:proofErr w:type="gramEnd"/>
      <w:r w:rsidRPr="00C910F3">
        <w:rPr>
          <w:rFonts w:ascii="Times New Roman" w:eastAsia="Times New Roman" w:hAnsi="Times New Roman" w:cs="Times New Roman"/>
          <w:bCs/>
          <w:i/>
          <w:sz w:val="24"/>
          <w:szCs w:val="24"/>
          <w:lang w:val="en-US"/>
        </w:rPr>
        <w:t xml:space="preserve"> al</w:t>
      </w:r>
      <w:r w:rsidR="00741918">
        <w:rPr>
          <w:rFonts w:ascii="Times New Roman" w:eastAsia="Times New Roman" w:hAnsi="Times New Roman" w:cs="Times New Roman"/>
          <w:bCs/>
          <w:sz w:val="24"/>
          <w:szCs w:val="24"/>
          <w:vertAlign w:val="superscript"/>
          <w:lang w:val="en-US"/>
        </w:rPr>
        <w:t>16</w:t>
      </w:r>
      <w:r w:rsidRPr="00C910F3">
        <w:rPr>
          <w:rFonts w:ascii="Times New Roman" w:eastAsia="Times New Roman" w:hAnsi="Times New Roman" w:cs="Times New Roman"/>
          <w:bCs/>
          <w:sz w:val="24"/>
          <w:szCs w:val="24"/>
          <w:lang w:val="en-US"/>
        </w:rPr>
        <w:t xml:space="preserve">.The study by Bajaj S, </w:t>
      </w:r>
      <w:r w:rsidRPr="00C910F3">
        <w:rPr>
          <w:rFonts w:ascii="Times New Roman" w:eastAsia="Times New Roman" w:hAnsi="Times New Roman" w:cs="Times New Roman"/>
          <w:bCs/>
          <w:i/>
          <w:sz w:val="24"/>
          <w:szCs w:val="24"/>
          <w:lang w:val="en-US"/>
        </w:rPr>
        <w:t>et al</w:t>
      </w:r>
      <w:r w:rsidR="00741918">
        <w:rPr>
          <w:rFonts w:ascii="Times New Roman" w:eastAsia="Times New Roman" w:hAnsi="Times New Roman" w:cs="Times New Roman"/>
          <w:bCs/>
          <w:sz w:val="24"/>
          <w:szCs w:val="24"/>
          <w:vertAlign w:val="superscript"/>
          <w:lang w:val="en-US"/>
        </w:rPr>
        <w:t>11</w:t>
      </w:r>
      <w:r w:rsidRPr="00C910F3">
        <w:rPr>
          <w:rFonts w:ascii="Times New Roman" w:eastAsia="Times New Roman" w:hAnsi="Times New Roman" w:cs="Times New Roman"/>
          <w:bCs/>
          <w:sz w:val="24"/>
          <w:szCs w:val="24"/>
          <w:lang w:val="en-US"/>
        </w:rPr>
        <w:t xml:space="preserve"> showed a strong negative correlation between the above variable. (r =−0.07).A strong negative correlation between TSH and </w:t>
      </w:r>
      <w:proofErr w:type="spellStart"/>
      <w:r w:rsidRPr="00C910F3">
        <w:rPr>
          <w:rFonts w:ascii="Times New Roman" w:eastAsia="Times New Roman" w:hAnsi="Times New Roman" w:cs="Times New Roman"/>
          <w:bCs/>
          <w:sz w:val="24"/>
          <w:szCs w:val="24"/>
          <w:lang w:val="en-US"/>
        </w:rPr>
        <w:t>eGFR</w:t>
      </w:r>
      <w:proofErr w:type="spellEnd"/>
      <w:r w:rsidRPr="00C910F3">
        <w:rPr>
          <w:rFonts w:ascii="Times New Roman" w:eastAsia="Times New Roman" w:hAnsi="Times New Roman" w:cs="Times New Roman"/>
          <w:bCs/>
          <w:sz w:val="24"/>
          <w:szCs w:val="24"/>
          <w:lang w:val="en-US"/>
        </w:rPr>
        <w:t xml:space="preserve"> could not be established in our study due to </w:t>
      </w:r>
      <w:r w:rsidR="0004047C" w:rsidRPr="00C910F3">
        <w:rPr>
          <w:rFonts w:ascii="Times New Roman" w:eastAsia="Times New Roman" w:hAnsi="Times New Roman" w:cs="Times New Roman"/>
          <w:bCs/>
          <w:sz w:val="24"/>
          <w:szCs w:val="24"/>
          <w:lang w:val="en-US"/>
        </w:rPr>
        <w:t>comparatively shorter</w:t>
      </w:r>
      <w:r w:rsidRPr="00C910F3">
        <w:rPr>
          <w:rFonts w:ascii="Times New Roman" w:eastAsia="Times New Roman" w:hAnsi="Times New Roman" w:cs="Times New Roman"/>
          <w:bCs/>
          <w:sz w:val="24"/>
          <w:szCs w:val="24"/>
          <w:lang w:val="en-US"/>
        </w:rPr>
        <w:t xml:space="preserve"> time period.</w:t>
      </w:r>
      <w:r w:rsidRPr="00C910F3">
        <w:rPr>
          <w:rFonts w:ascii="Times New Roman" w:eastAsia="Times New Roman" w:hAnsi="Times New Roman" w:cs="Times New Roman"/>
          <w:bCs/>
          <w:sz w:val="24"/>
          <w:szCs w:val="24"/>
          <w:lang w:val="en-US"/>
        </w:rPr>
        <w:tab/>
      </w:r>
    </w:p>
    <w:p w:rsidR="008E41CA" w:rsidRPr="00FB2914" w:rsidRDefault="00C910F3" w:rsidP="008E41CA">
      <w:pPr>
        <w:widowControl w:val="0"/>
        <w:spacing w:before="240" w:after="240" w:line="240" w:lineRule="auto"/>
        <w:jc w:val="both"/>
        <w:rPr>
          <w:rFonts w:ascii="Times New Roman" w:eastAsia="Times New Roman" w:hAnsi="Times New Roman" w:cs="Times New Roman"/>
          <w:b/>
          <w:bCs/>
          <w:sz w:val="24"/>
          <w:szCs w:val="24"/>
          <w:lang w:val="en-US"/>
        </w:rPr>
      </w:pPr>
      <w:r w:rsidRPr="00FB2914">
        <w:rPr>
          <w:rFonts w:ascii="Times New Roman" w:eastAsia="Times New Roman" w:hAnsi="Times New Roman" w:cs="Times New Roman"/>
          <w:b/>
          <w:bCs/>
          <w:sz w:val="24"/>
          <w:szCs w:val="24"/>
          <w:lang w:val="en-US"/>
        </w:rPr>
        <w:lastRenderedPageBreak/>
        <w:t>CONCLUSION</w:t>
      </w:r>
    </w:p>
    <w:p w:rsidR="00C910F3" w:rsidRPr="00C910F3" w:rsidRDefault="00C910F3" w:rsidP="008E41CA">
      <w:pPr>
        <w:widowControl w:val="0"/>
        <w:spacing w:before="240" w:after="240" w:line="240" w:lineRule="auto"/>
        <w:ind w:left="284"/>
        <w:jc w:val="both"/>
        <w:rPr>
          <w:rFonts w:ascii="Times New Roman" w:eastAsia="Times New Roman" w:hAnsi="Times New Roman" w:cs="Times New Roman"/>
          <w:bCs/>
          <w:sz w:val="24"/>
          <w:szCs w:val="24"/>
          <w:lang w:val="en-US"/>
        </w:rPr>
      </w:pPr>
      <w:r w:rsidRPr="00C910F3">
        <w:rPr>
          <w:rFonts w:ascii="Times New Roman" w:eastAsia="Times New Roman" w:hAnsi="Times New Roman" w:cs="Times New Roman"/>
          <w:bCs/>
          <w:sz w:val="24"/>
          <w:szCs w:val="24"/>
          <w:lang w:val="en-US"/>
        </w:rPr>
        <w:t xml:space="preserve">The course, progression and outcome of chronic kidney disease </w:t>
      </w:r>
      <w:proofErr w:type="gramStart"/>
      <w:r w:rsidRPr="00C910F3">
        <w:rPr>
          <w:rFonts w:ascii="Times New Roman" w:eastAsia="Times New Roman" w:hAnsi="Times New Roman" w:cs="Times New Roman"/>
          <w:bCs/>
          <w:sz w:val="24"/>
          <w:szCs w:val="24"/>
          <w:lang w:val="en-US"/>
        </w:rPr>
        <w:t>is</w:t>
      </w:r>
      <w:proofErr w:type="gramEnd"/>
      <w:r w:rsidRPr="00C910F3">
        <w:rPr>
          <w:rFonts w:ascii="Times New Roman" w:eastAsia="Times New Roman" w:hAnsi="Times New Roman" w:cs="Times New Roman"/>
          <w:bCs/>
          <w:sz w:val="24"/>
          <w:szCs w:val="24"/>
          <w:lang w:val="en-US"/>
        </w:rPr>
        <w:t xml:space="preserve"> thought to be affected, to a large extent by the status of thyroid function of the patient. Both CKD and hypothyroidism will increase the cardiovascular mortality </w:t>
      </w:r>
      <w:proofErr w:type="gramStart"/>
      <w:r w:rsidRPr="00C910F3">
        <w:rPr>
          <w:rFonts w:ascii="Times New Roman" w:eastAsia="Times New Roman" w:hAnsi="Times New Roman" w:cs="Times New Roman"/>
          <w:bCs/>
          <w:sz w:val="24"/>
          <w:szCs w:val="24"/>
          <w:lang w:val="en-US"/>
        </w:rPr>
        <w:t>Since</w:t>
      </w:r>
      <w:proofErr w:type="gramEnd"/>
      <w:r w:rsidRPr="00C910F3">
        <w:rPr>
          <w:rFonts w:ascii="Times New Roman" w:eastAsia="Times New Roman" w:hAnsi="Times New Roman" w:cs="Times New Roman"/>
          <w:bCs/>
          <w:sz w:val="24"/>
          <w:szCs w:val="24"/>
          <w:lang w:val="en-US"/>
        </w:rPr>
        <w:t xml:space="preserve"> there are various overlaps between the clinical features of CKD and hypothyroidism, pure clinical differentiation will be difficult, so it is advisable to do thyroid function test in a patient with CKD. Early detection and treatment of hypothyroidism would be beneficial in reducing the mortality and morbidity in CKD. However we reinforce that prospective studies with more patients are necessary to give a better picture on the prevalence of hypothyroidism in </w:t>
      </w:r>
      <w:proofErr w:type="spellStart"/>
      <w:r w:rsidRPr="00C910F3">
        <w:rPr>
          <w:rFonts w:ascii="Times New Roman" w:eastAsia="Times New Roman" w:hAnsi="Times New Roman" w:cs="Times New Roman"/>
          <w:bCs/>
          <w:sz w:val="24"/>
          <w:szCs w:val="24"/>
          <w:lang w:val="en-US"/>
        </w:rPr>
        <w:t>non diabetic</w:t>
      </w:r>
      <w:proofErr w:type="spellEnd"/>
      <w:r w:rsidRPr="00C910F3">
        <w:rPr>
          <w:rFonts w:ascii="Times New Roman" w:eastAsia="Times New Roman" w:hAnsi="Times New Roman" w:cs="Times New Roman"/>
          <w:bCs/>
          <w:sz w:val="24"/>
          <w:szCs w:val="24"/>
          <w:lang w:val="en-US"/>
        </w:rPr>
        <w:t xml:space="preserve"> CKD.</w:t>
      </w:r>
    </w:p>
    <w:p w:rsidR="00C910F3" w:rsidRDefault="00C910F3" w:rsidP="008E41CA">
      <w:pPr>
        <w:widowControl w:val="0"/>
        <w:spacing w:before="240" w:after="240" w:line="240" w:lineRule="auto"/>
        <w:ind w:left="284"/>
        <w:jc w:val="both"/>
        <w:rPr>
          <w:rFonts w:ascii="Times New Roman" w:eastAsia="Times New Roman" w:hAnsi="Times New Roman" w:cs="Times New Roman"/>
          <w:bCs/>
          <w:sz w:val="24"/>
          <w:szCs w:val="24"/>
          <w:lang w:val="en-US"/>
        </w:rPr>
      </w:pPr>
      <w:r w:rsidRPr="00C910F3">
        <w:rPr>
          <w:rFonts w:ascii="Times New Roman" w:eastAsia="Times New Roman" w:hAnsi="Times New Roman" w:cs="Times New Roman"/>
          <w:bCs/>
          <w:sz w:val="24"/>
          <w:szCs w:val="24"/>
          <w:lang w:val="en-US"/>
        </w:rPr>
        <w:t>This is a cross sectional study, so causality cannot be established. Since the study was conducted in a tertiary care center, majority of the patients were in CKD stage 5.</w:t>
      </w:r>
      <w:r w:rsidR="00E34E9D">
        <w:rPr>
          <w:rFonts w:ascii="Times New Roman" w:eastAsia="Times New Roman" w:hAnsi="Times New Roman" w:cs="Times New Roman"/>
          <w:bCs/>
          <w:sz w:val="24"/>
          <w:szCs w:val="24"/>
          <w:lang w:val="en-US"/>
        </w:rPr>
        <w:t xml:space="preserve"> </w:t>
      </w:r>
      <w:r w:rsidRPr="00C910F3">
        <w:rPr>
          <w:rFonts w:ascii="Times New Roman" w:eastAsia="Times New Roman" w:hAnsi="Times New Roman" w:cs="Times New Roman"/>
          <w:bCs/>
          <w:sz w:val="24"/>
          <w:szCs w:val="24"/>
          <w:lang w:val="en-US"/>
        </w:rPr>
        <w:t>This could be due to the fact that most of the CKD patients referred to this center have low GFR. Our study had com</w:t>
      </w:r>
      <w:r>
        <w:rPr>
          <w:rFonts w:ascii="Times New Roman" w:eastAsia="Times New Roman" w:hAnsi="Times New Roman" w:cs="Times New Roman"/>
          <w:bCs/>
          <w:sz w:val="24"/>
          <w:szCs w:val="24"/>
          <w:lang w:val="en-US"/>
        </w:rPr>
        <w:t>paratively shorter</w:t>
      </w:r>
      <w:r w:rsidRPr="00C910F3">
        <w:rPr>
          <w:rFonts w:ascii="Times New Roman" w:eastAsia="Times New Roman" w:hAnsi="Times New Roman" w:cs="Times New Roman"/>
          <w:bCs/>
          <w:sz w:val="24"/>
          <w:szCs w:val="24"/>
          <w:lang w:val="en-US"/>
        </w:rPr>
        <w:t xml:space="preserve"> duration.</w:t>
      </w:r>
    </w:p>
    <w:p w:rsidR="00C910F3" w:rsidRDefault="00FB2914" w:rsidP="008E41CA">
      <w:pPr>
        <w:widowControl w:val="0"/>
        <w:spacing w:before="240" w:after="240" w:line="240" w:lineRule="auto"/>
        <w:jc w:val="both"/>
        <w:rPr>
          <w:rFonts w:ascii="Times New Roman" w:eastAsia="Times New Roman" w:hAnsi="Times New Roman" w:cs="Times New Roman"/>
          <w:bCs/>
          <w:sz w:val="24"/>
          <w:szCs w:val="24"/>
          <w:lang w:val="en-US"/>
        </w:rPr>
      </w:pPr>
      <w:r w:rsidRPr="00FB2914">
        <w:rPr>
          <w:rFonts w:ascii="Times New Roman" w:eastAsia="Times New Roman" w:hAnsi="Times New Roman" w:cs="Times New Roman"/>
          <w:b/>
          <w:bCs/>
          <w:sz w:val="24"/>
          <w:szCs w:val="24"/>
          <w:lang w:val="en-US"/>
        </w:rPr>
        <w:t>Conflict of interest</w:t>
      </w:r>
      <w:r>
        <w:rPr>
          <w:rFonts w:ascii="Times New Roman" w:eastAsia="Times New Roman" w:hAnsi="Times New Roman" w:cs="Times New Roman"/>
          <w:bCs/>
          <w:sz w:val="24"/>
          <w:szCs w:val="24"/>
          <w:lang w:val="en-US"/>
        </w:rPr>
        <w:t xml:space="preserve">: </w:t>
      </w:r>
      <w:r w:rsidR="000B3965">
        <w:rPr>
          <w:rFonts w:ascii="Times New Roman" w:eastAsia="Times New Roman" w:hAnsi="Times New Roman" w:cs="Times New Roman"/>
          <w:bCs/>
          <w:sz w:val="24"/>
          <w:szCs w:val="24"/>
          <w:lang w:val="en-US"/>
        </w:rPr>
        <w:t>None Declared</w:t>
      </w:r>
    </w:p>
    <w:p w:rsidR="000B3965" w:rsidRDefault="00FB2914" w:rsidP="008E41CA">
      <w:pPr>
        <w:widowControl w:val="0"/>
        <w:spacing w:before="240" w:after="240" w:line="240" w:lineRule="auto"/>
        <w:jc w:val="both"/>
        <w:rPr>
          <w:rFonts w:ascii="Times New Roman" w:eastAsia="Times New Roman" w:hAnsi="Times New Roman" w:cs="Times New Roman"/>
          <w:bCs/>
          <w:sz w:val="24"/>
          <w:szCs w:val="24"/>
          <w:lang w:val="en-US"/>
        </w:rPr>
      </w:pPr>
      <w:r w:rsidRPr="00FB2914">
        <w:rPr>
          <w:rFonts w:ascii="Times New Roman" w:eastAsia="Times New Roman" w:hAnsi="Times New Roman" w:cs="Times New Roman"/>
          <w:b/>
          <w:bCs/>
          <w:sz w:val="24"/>
          <w:szCs w:val="24"/>
          <w:lang w:val="en-US"/>
        </w:rPr>
        <w:t>Ethical clearance</w:t>
      </w:r>
      <w:r>
        <w:rPr>
          <w:rFonts w:ascii="Times New Roman" w:eastAsia="Times New Roman" w:hAnsi="Times New Roman" w:cs="Times New Roman"/>
          <w:bCs/>
          <w:sz w:val="24"/>
          <w:szCs w:val="24"/>
          <w:lang w:val="en-US"/>
        </w:rPr>
        <w:t xml:space="preserve">: </w:t>
      </w:r>
      <w:r w:rsidR="000B3965">
        <w:rPr>
          <w:rFonts w:ascii="Times New Roman" w:eastAsia="Times New Roman" w:hAnsi="Times New Roman" w:cs="Times New Roman"/>
          <w:bCs/>
          <w:sz w:val="24"/>
          <w:szCs w:val="24"/>
          <w:lang w:val="en-US"/>
        </w:rPr>
        <w:t>Taken</w:t>
      </w:r>
    </w:p>
    <w:p w:rsidR="000B3965" w:rsidRDefault="00FB2914" w:rsidP="008E41CA">
      <w:pPr>
        <w:widowControl w:val="0"/>
        <w:spacing w:before="240" w:after="240" w:line="240" w:lineRule="auto"/>
        <w:jc w:val="both"/>
        <w:rPr>
          <w:rFonts w:ascii="Times New Roman" w:eastAsia="Times New Roman" w:hAnsi="Times New Roman" w:cs="Times New Roman"/>
          <w:bCs/>
          <w:sz w:val="24"/>
          <w:szCs w:val="24"/>
          <w:lang w:val="en-US"/>
        </w:rPr>
      </w:pPr>
      <w:r w:rsidRPr="00FB2914">
        <w:rPr>
          <w:rFonts w:ascii="Times New Roman" w:eastAsia="Times New Roman" w:hAnsi="Times New Roman" w:cs="Times New Roman"/>
          <w:b/>
          <w:bCs/>
          <w:sz w:val="24"/>
          <w:szCs w:val="24"/>
          <w:lang w:val="en-US"/>
        </w:rPr>
        <w:t>Source of funding</w:t>
      </w:r>
      <w:r>
        <w:rPr>
          <w:rFonts w:ascii="Times New Roman" w:eastAsia="Times New Roman" w:hAnsi="Times New Roman" w:cs="Times New Roman"/>
          <w:bCs/>
          <w:sz w:val="24"/>
          <w:szCs w:val="24"/>
          <w:lang w:val="en-US"/>
        </w:rPr>
        <w:t xml:space="preserve">: </w:t>
      </w:r>
      <w:r w:rsidR="006F42B4">
        <w:rPr>
          <w:rFonts w:ascii="Times New Roman" w:eastAsia="Times New Roman" w:hAnsi="Times New Roman" w:cs="Times New Roman"/>
          <w:bCs/>
          <w:sz w:val="24"/>
          <w:szCs w:val="24"/>
          <w:lang w:val="en-US"/>
        </w:rPr>
        <w:t>None declared</w:t>
      </w:r>
    </w:p>
    <w:p w:rsidR="00FB2914" w:rsidRDefault="00FB2914" w:rsidP="008E41CA">
      <w:pPr>
        <w:widowControl w:val="0"/>
        <w:spacing w:before="240" w:after="240" w:line="240" w:lineRule="auto"/>
        <w:jc w:val="both"/>
        <w:rPr>
          <w:rFonts w:ascii="Times New Roman" w:eastAsia="Times New Roman" w:hAnsi="Times New Roman" w:cs="Times New Roman"/>
          <w:bCs/>
          <w:sz w:val="24"/>
          <w:szCs w:val="24"/>
          <w:lang w:val="en-US"/>
        </w:rPr>
      </w:pPr>
      <w:r w:rsidRPr="00FB2914">
        <w:rPr>
          <w:rFonts w:ascii="Times New Roman" w:eastAsia="Times New Roman" w:hAnsi="Times New Roman" w:cs="Times New Roman"/>
          <w:bCs/>
          <w:sz w:val="24"/>
          <w:szCs w:val="24"/>
        </w:rPr>
        <w:t xml:space="preserve">Author disclosure: (1) </w:t>
      </w:r>
      <w:proofErr w:type="gramStart"/>
      <w:r w:rsidRPr="00FB2914">
        <w:rPr>
          <w:rFonts w:ascii="Times New Roman" w:eastAsia="Times New Roman" w:hAnsi="Times New Roman" w:cs="Times New Roman"/>
          <w:bCs/>
          <w:sz w:val="24"/>
          <w:szCs w:val="24"/>
        </w:rPr>
        <w:t>The</w:t>
      </w:r>
      <w:proofErr w:type="gramEnd"/>
      <w:r w:rsidRPr="00FB2914">
        <w:rPr>
          <w:rFonts w:ascii="Times New Roman" w:eastAsia="Times New Roman" w:hAnsi="Times New Roman" w:cs="Times New Roman"/>
          <w:bCs/>
          <w:sz w:val="24"/>
          <w:szCs w:val="24"/>
        </w:rPr>
        <w:t xml:space="preserve"> article is original with the author(s) and does not infringe any copyright or violate any other right of any third party. (2) The article has not been published (whole or in part) elsewhere, and is not being considered for publication elsewhere in any form, except as provided herein. (3) All author(s) have contributed sufficiently in the article to take public responsibility for it and (4) </w:t>
      </w:r>
      <w:proofErr w:type="gramStart"/>
      <w:r w:rsidRPr="00FB2914">
        <w:rPr>
          <w:rFonts w:ascii="Times New Roman" w:eastAsia="Times New Roman" w:hAnsi="Times New Roman" w:cs="Times New Roman"/>
          <w:bCs/>
          <w:sz w:val="24"/>
          <w:szCs w:val="24"/>
        </w:rPr>
        <w:t>All</w:t>
      </w:r>
      <w:proofErr w:type="gramEnd"/>
      <w:r w:rsidRPr="00FB2914">
        <w:rPr>
          <w:rFonts w:ascii="Times New Roman" w:eastAsia="Times New Roman" w:hAnsi="Times New Roman" w:cs="Times New Roman"/>
          <w:bCs/>
          <w:sz w:val="24"/>
          <w:szCs w:val="24"/>
        </w:rPr>
        <w:t xml:space="preserve"> author(s) have reviewed the final version of the above manuscript and approved it for publication.</w:t>
      </w:r>
    </w:p>
    <w:p w:rsidR="00B95F7B" w:rsidRPr="00FB2914" w:rsidRDefault="00B95F7B" w:rsidP="008E41CA">
      <w:pPr>
        <w:widowControl w:val="0"/>
        <w:spacing w:before="240" w:after="240" w:line="240" w:lineRule="auto"/>
        <w:jc w:val="both"/>
        <w:rPr>
          <w:rFonts w:ascii="Times New Roman" w:eastAsia="Times New Roman" w:hAnsi="Times New Roman" w:cs="Times New Roman"/>
          <w:b/>
          <w:bCs/>
          <w:sz w:val="24"/>
          <w:szCs w:val="24"/>
          <w:lang w:val="en-US"/>
        </w:rPr>
      </w:pPr>
      <w:r w:rsidRPr="00FB2914">
        <w:rPr>
          <w:rFonts w:ascii="Times New Roman" w:eastAsia="Times New Roman" w:hAnsi="Times New Roman" w:cs="Times New Roman"/>
          <w:b/>
          <w:bCs/>
          <w:sz w:val="24"/>
          <w:szCs w:val="24"/>
          <w:lang w:val="en-US"/>
        </w:rPr>
        <w:t>REFERENCES</w:t>
      </w:r>
    </w:p>
    <w:p w:rsidR="00823818" w:rsidRDefault="003770F6" w:rsidP="00AE369E">
      <w:pPr>
        <w:widowControl w:val="0"/>
        <w:numPr>
          <w:ilvl w:val="0"/>
          <w:numId w:val="4"/>
        </w:numPr>
        <w:spacing w:before="240" w:after="24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23818" w:rsidRPr="00823818">
        <w:rPr>
          <w:rFonts w:ascii="Times New Roman" w:eastAsia="Times New Roman" w:hAnsi="Times New Roman" w:cs="Times New Roman"/>
          <w:bCs/>
          <w:sz w:val="24"/>
          <w:szCs w:val="24"/>
        </w:rPr>
        <w:t xml:space="preserve">Iglesias P, </w:t>
      </w:r>
      <w:proofErr w:type="spellStart"/>
      <w:r w:rsidR="00823818" w:rsidRPr="00823818">
        <w:rPr>
          <w:rFonts w:ascii="Times New Roman" w:eastAsia="Times New Roman" w:hAnsi="Times New Roman" w:cs="Times New Roman"/>
          <w:bCs/>
          <w:sz w:val="24"/>
          <w:szCs w:val="24"/>
        </w:rPr>
        <w:t>Díez</w:t>
      </w:r>
      <w:proofErr w:type="spellEnd"/>
      <w:r w:rsidR="00823818" w:rsidRPr="00823818">
        <w:rPr>
          <w:rFonts w:ascii="Times New Roman" w:eastAsia="Times New Roman" w:hAnsi="Times New Roman" w:cs="Times New Roman"/>
          <w:bCs/>
          <w:sz w:val="24"/>
          <w:szCs w:val="24"/>
        </w:rPr>
        <w:t xml:space="preserve"> JJ. Thyroid dysfunction and kidney disease. </w:t>
      </w:r>
      <w:proofErr w:type="spellStart"/>
      <w:r w:rsidR="00823818" w:rsidRPr="00823818">
        <w:rPr>
          <w:rFonts w:ascii="Times New Roman" w:eastAsia="Times New Roman" w:hAnsi="Times New Roman" w:cs="Times New Roman"/>
          <w:bCs/>
          <w:sz w:val="24"/>
          <w:szCs w:val="24"/>
        </w:rPr>
        <w:t>Eur</w:t>
      </w:r>
      <w:proofErr w:type="spellEnd"/>
      <w:r w:rsidR="00823818" w:rsidRPr="00823818">
        <w:rPr>
          <w:rFonts w:ascii="Times New Roman" w:eastAsia="Times New Roman" w:hAnsi="Times New Roman" w:cs="Times New Roman"/>
          <w:bCs/>
          <w:sz w:val="24"/>
          <w:szCs w:val="24"/>
        </w:rPr>
        <w:t xml:space="preserve"> J </w:t>
      </w:r>
      <w:proofErr w:type="spellStart"/>
      <w:r w:rsidR="00823818" w:rsidRPr="00823818">
        <w:rPr>
          <w:rFonts w:ascii="Times New Roman" w:eastAsia="Times New Roman" w:hAnsi="Times New Roman" w:cs="Times New Roman"/>
          <w:bCs/>
          <w:sz w:val="24"/>
          <w:szCs w:val="24"/>
        </w:rPr>
        <w:t>Endocrinol</w:t>
      </w:r>
      <w:proofErr w:type="spellEnd"/>
      <w:r w:rsidR="00823818" w:rsidRPr="00823818">
        <w:rPr>
          <w:rFonts w:ascii="Times New Roman" w:eastAsia="Times New Roman" w:hAnsi="Times New Roman" w:cs="Times New Roman"/>
          <w:bCs/>
          <w:sz w:val="24"/>
          <w:szCs w:val="24"/>
        </w:rPr>
        <w:t>. 2009;160 (4):503–15</w:t>
      </w:r>
    </w:p>
    <w:p w:rsidR="00823818" w:rsidRPr="00823818" w:rsidRDefault="003770F6" w:rsidP="00AE369E">
      <w:pPr>
        <w:pStyle w:val="ListParagraph"/>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spellStart"/>
      <w:r w:rsidR="00823818" w:rsidRPr="00823818">
        <w:rPr>
          <w:rFonts w:ascii="Times New Roman" w:eastAsia="Times New Roman" w:hAnsi="Times New Roman" w:cs="Times New Roman"/>
          <w:bCs/>
          <w:sz w:val="24"/>
          <w:szCs w:val="24"/>
        </w:rPr>
        <w:t>Bargman</w:t>
      </w:r>
      <w:proofErr w:type="spellEnd"/>
      <w:r w:rsidR="00823818" w:rsidRPr="00823818">
        <w:rPr>
          <w:rFonts w:ascii="Times New Roman" w:eastAsia="Times New Roman" w:hAnsi="Times New Roman" w:cs="Times New Roman"/>
          <w:bCs/>
          <w:sz w:val="24"/>
          <w:szCs w:val="24"/>
        </w:rPr>
        <w:t xml:space="preserve"> JM, </w:t>
      </w:r>
      <w:proofErr w:type="spellStart"/>
      <w:r w:rsidR="00823818" w:rsidRPr="00823818">
        <w:rPr>
          <w:rFonts w:ascii="Times New Roman" w:eastAsia="Times New Roman" w:hAnsi="Times New Roman" w:cs="Times New Roman"/>
          <w:bCs/>
          <w:sz w:val="24"/>
          <w:szCs w:val="24"/>
        </w:rPr>
        <w:t>Skorecki</w:t>
      </w:r>
      <w:proofErr w:type="spellEnd"/>
      <w:r w:rsidR="00823818" w:rsidRPr="00823818">
        <w:rPr>
          <w:rFonts w:ascii="Times New Roman" w:eastAsia="Times New Roman" w:hAnsi="Times New Roman" w:cs="Times New Roman"/>
          <w:bCs/>
          <w:sz w:val="24"/>
          <w:szCs w:val="24"/>
        </w:rPr>
        <w:t xml:space="preserve"> K. Chronic kidney disease. In: Longo DL, </w:t>
      </w:r>
      <w:proofErr w:type="spellStart"/>
      <w:r w:rsidR="00823818" w:rsidRPr="00823818">
        <w:rPr>
          <w:rFonts w:ascii="Times New Roman" w:eastAsia="Times New Roman" w:hAnsi="Times New Roman" w:cs="Times New Roman"/>
          <w:bCs/>
          <w:sz w:val="24"/>
          <w:szCs w:val="24"/>
        </w:rPr>
        <w:t>Fauci</w:t>
      </w:r>
      <w:proofErr w:type="spellEnd"/>
      <w:r w:rsidR="00823818" w:rsidRPr="00823818">
        <w:rPr>
          <w:rFonts w:ascii="Times New Roman" w:eastAsia="Times New Roman" w:hAnsi="Times New Roman" w:cs="Times New Roman"/>
          <w:bCs/>
          <w:sz w:val="24"/>
          <w:szCs w:val="24"/>
        </w:rPr>
        <w:t xml:space="preserve"> AS, Kasper DL, Hauser SL, Jameson JL, </w:t>
      </w:r>
      <w:proofErr w:type="spellStart"/>
      <w:r w:rsidR="00823818" w:rsidRPr="00823818">
        <w:rPr>
          <w:rFonts w:ascii="Times New Roman" w:eastAsia="Times New Roman" w:hAnsi="Times New Roman" w:cs="Times New Roman"/>
          <w:bCs/>
          <w:sz w:val="24"/>
          <w:szCs w:val="24"/>
        </w:rPr>
        <w:t>Loscalzo</w:t>
      </w:r>
      <w:proofErr w:type="spellEnd"/>
      <w:r w:rsidR="00823818" w:rsidRPr="00823818">
        <w:rPr>
          <w:rFonts w:ascii="Times New Roman" w:eastAsia="Times New Roman" w:hAnsi="Times New Roman" w:cs="Times New Roman"/>
          <w:bCs/>
          <w:sz w:val="24"/>
          <w:szCs w:val="24"/>
        </w:rPr>
        <w:t xml:space="preserve"> J, editors. Harrison‘s principles of internal medicine. 19th </w:t>
      </w:r>
      <w:proofErr w:type="gramStart"/>
      <w:r w:rsidR="00823818" w:rsidRPr="00823818">
        <w:rPr>
          <w:rFonts w:ascii="Times New Roman" w:eastAsia="Times New Roman" w:hAnsi="Times New Roman" w:cs="Times New Roman"/>
          <w:bCs/>
          <w:sz w:val="24"/>
          <w:szCs w:val="24"/>
        </w:rPr>
        <w:t>ed</w:t>
      </w:r>
      <w:proofErr w:type="gramEnd"/>
      <w:r w:rsidR="00823818" w:rsidRPr="00823818">
        <w:rPr>
          <w:rFonts w:ascii="Times New Roman" w:eastAsia="Times New Roman" w:hAnsi="Times New Roman" w:cs="Times New Roman"/>
          <w:bCs/>
          <w:sz w:val="24"/>
          <w:szCs w:val="24"/>
        </w:rPr>
        <w:t>. New York: McGraw Hill; 2015</w:t>
      </w:r>
      <w:proofErr w:type="gramStart"/>
      <w:r w:rsidR="00823818" w:rsidRPr="00823818">
        <w:rPr>
          <w:rFonts w:ascii="Times New Roman" w:eastAsia="Times New Roman" w:hAnsi="Times New Roman" w:cs="Times New Roman"/>
          <w:bCs/>
          <w:sz w:val="24"/>
          <w:szCs w:val="24"/>
        </w:rPr>
        <w:t>;p</w:t>
      </w:r>
      <w:proofErr w:type="gramEnd"/>
      <w:r w:rsidR="00823818" w:rsidRPr="00823818">
        <w:rPr>
          <w:rFonts w:ascii="Times New Roman" w:eastAsia="Times New Roman" w:hAnsi="Times New Roman" w:cs="Times New Roman"/>
          <w:bCs/>
          <w:sz w:val="24"/>
          <w:szCs w:val="24"/>
        </w:rPr>
        <w:t>. 1811-21.</w:t>
      </w:r>
    </w:p>
    <w:p w:rsidR="00823818" w:rsidRPr="00823818" w:rsidRDefault="003770F6" w:rsidP="00AE369E">
      <w:pPr>
        <w:pStyle w:val="ListParagraph"/>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spellStart"/>
      <w:r w:rsidR="00823818" w:rsidRPr="00823818">
        <w:rPr>
          <w:rFonts w:ascii="Times New Roman" w:eastAsia="Times New Roman" w:hAnsi="Times New Roman" w:cs="Times New Roman"/>
          <w:bCs/>
          <w:sz w:val="24"/>
          <w:szCs w:val="24"/>
        </w:rPr>
        <w:t>Rao</w:t>
      </w:r>
      <w:proofErr w:type="spellEnd"/>
      <w:r w:rsidR="00823818" w:rsidRPr="00823818">
        <w:rPr>
          <w:rFonts w:ascii="Times New Roman" w:eastAsia="Times New Roman" w:hAnsi="Times New Roman" w:cs="Times New Roman"/>
          <w:bCs/>
          <w:sz w:val="24"/>
          <w:szCs w:val="24"/>
        </w:rPr>
        <w:t xml:space="preserve"> M, </w:t>
      </w:r>
      <w:proofErr w:type="spellStart"/>
      <w:r w:rsidR="00823818" w:rsidRPr="00823818">
        <w:rPr>
          <w:rFonts w:ascii="Times New Roman" w:eastAsia="Times New Roman" w:hAnsi="Times New Roman" w:cs="Times New Roman"/>
          <w:bCs/>
          <w:sz w:val="24"/>
          <w:szCs w:val="24"/>
        </w:rPr>
        <w:t>PereiraBJ</w:t>
      </w:r>
      <w:proofErr w:type="spellEnd"/>
      <w:r w:rsidR="00823818" w:rsidRPr="00823818">
        <w:rPr>
          <w:rFonts w:ascii="Times New Roman" w:eastAsia="Times New Roman" w:hAnsi="Times New Roman" w:cs="Times New Roman"/>
          <w:bCs/>
          <w:sz w:val="24"/>
          <w:szCs w:val="24"/>
        </w:rPr>
        <w:t>. Chronic kidney disease in India – a hidden epidemic. Indian J Med Res. 2007</w:t>
      </w:r>
      <w:proofErr w:type="gramStart"/>
      <w:r w:rsidR="00823818" w:rsidRPr="00823818">
        <w:rPr>
          <w:rFonts w:ascii="Times New Roman" w:eastAsia="Times New Roman" w:hAnsi="Times New Roman" w:cs="Times New Roman"/>
          <w:bCs/>
          <w:sz w:val="24"/>
          <w:szCs w:val="24"/>
        </w:rPr>
        <w:t>;5</w:t>
      </w:r>
      <w:proofErr w:type="gramEnd"/>
      <w:r w:rsidR="00823818" w:rsidRPr="00823818">
        <w:rPr>
          <w:rFonts w:ascii="Times New Roman" w:eastAsia="Times New Roman" w:hAnsi="Times New Roman" w:cs="Times New Roman"/>
          <w:bCs/>
          <w:sz w:val="24"/>
          <w:szCs w:val="24"/>
        </w:rPr>
        <w:t xml:space="preserve"> (7):6–9.</w:t>
      </w:r>
    </w:p>
    <w:p w:rsidR="00705E91" w:rsidRPr="00705E91" w:rsidRDefault="003770F6" w:rsidP="00AE369E">
      <w:pPr>
        <w:pStyle w:val="ListParagraph"/>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spellStart"/>
      <w:r w:rsidR="00705E91" w:rsidRPr="00705E91">
        <w:rPr>
          <w:rFonts w:ascii="Times New Roman" w:eastAsia="Times New Roman" w:hAnsi="Times New Roman" w:cs="Times New Roman"/>
          <w:bCs/>
          <w:sz w:val="24"/>
          <w:szCs w:val="24"/>
        </w:rPr>
        <w:t>Modi</w:t>
      </w:r>
      <w:proofErr w:type="spellEnd"/>
      <w:r w:rsidR="00705E91" w:rsidRPr="00705E91">
        <w:rPr>
          <w:rFonts w:ascii="Times New Roman" w:eastAsia="Times New Roman" w:hAnsi="Times New Roman" w:cs="Times New Roman"/>
          <w:bCs/>
          <w:sz w:val="24"/>
          <w:szCs w:val="24"/>
        </w:rPr>
        <w:t xml:space="preserve"> GK, </w:t>
      </w:r>
      <w:proofErr w:type="spellStart"/>
      <w:r w:rsidR="00705E91" w:rsidRPr="00705E91">
        <w:rPr>
          <w:rFonts w:ascii="Times New Roman" w:eastAsia="Times New Roman" w:hAnsi="Times New Roman" w:cs="Times New Roman"/>
          <w:bCs/>
          <w:sz w:val="24"/>
          <w:szCs w:val="24"/>
        </w:rPr>
        <w:t>Jha</w:t>
      </w:r>
      <w:proofErr w:type="spellEnd"/>
      <w:r w:rsidR="00705E91" w:rsidRPr="00705E91">
        <w:rPr>
          <w:rFonts w:ascii="Times New Roman" w:eastAsia="Times New Roman" w:hAnsi="Times New Roman" w:cs="Times New Roman"/>
          <w:bCs/>
          <w:sz w:val="24"/>
          <w:szCs w:val="24"/>
        </w:rPr>
        <w:t xml:space="preserve"> V. The incidence of end-stage renal disease in India : A population-based study. Kidney </w:t>
      </w:r>
      <w:proofErr w:type="spellStart"/>
      <w:r w:rsidR="00705E91" w:rsidRPr="00705E91">
        <w:rPr>
          <w:rFonts w:ascii="Times New Roman" w:eastAsia="Times New Roman" w:hAnsi="Times New Roman" w:cs="Times New Roman"/>
          <w:bCs/>
          <w:sz w:val="24"/>
          <w:szCs w:val="24"/>
        </w:rPr>
        <w:t>Int</w:t>
      </w:r>
      <w:proofErr w:type="spellEnd"/>
      <w:r w:rsidR="00705E91" w:rsidRPr="00705E91">
        <w:rPr>
          <w:rFonts w:ascii="Times New Roman" w:eastAsia="Times New Roman" w:hAnsi="Times New Roman" w:cs="Times New Roman"/>
          <w:bCs/>
          <w:sz w:val="24"/>
          <w:szCs w:val="24"/>
        </w:rPr>
        <w:t xml:space="preserve"> [Internet]. 2006</w:t>
      </w:r>
      <w:proofErr w:type="gramStart"/>
      <w:r w:rsidR="00705E91" w:rsidRPr="00705E91">
        <w:rPr>
          <w:rFonts w:ascii="Times New Roman" w:eastAsia="Times New Roman" w:hAnsi="Times New Roman" w:cs="Times New Roman"/>
          <w:bCs/>
          <w:sz w:val="24"/>
          <w:szCs w:val="24"/>
        </w:rPr>
        <w:t>;70</w:t>
      </w:r>
      <w:proofErr w:type="gramEnd"/>
      <w:r w:rsidR="00705E91" w:rsidRPr="00705E91">
        <w:rPr>
          <w:rFonts w:ascii="Times New Roman" w:eastAsia="Times New Roman" w:hAnsi="Times New Roman" w:cs="Times New Roman"/>
          <w:bCs/>
          <w:sz w:val="24"/>
          <w:szCs w:val="24"/>
        </w:rPr>
        <w:t xml:space="preserve"> (12):2131–3. Available from: http://dx.doi.org/10.1038/sj.ki.5001958</w:t>
      </w:r>
    </w:p>
    <w:p w:rsidR="00705E91" w:rsidRPr="00705E91" w:rsidRDefault="003770F6" w:rsidP="00AE369E">
      <w:pPr>
        <w:pStyle w:val="ListParagraph"/>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05E91" w:rsidRPr="00705E91">
        <w:rPr>
          <w:rFonts w:ascii="Times New Roman" w:eastAsia="Times New Roman" w:hAnsi="Times New Roman" w:cs="Times New Roman"/>
          <w:bCs/>
          <w:sz w:val="24"/>
          <w:szCs w:val="24"/>
        </w:rPr>
        <w:t xml:space="preserve">Wu P. </w:t>
      </w:r>
      <w:proofErr w:type="spellStart"/>
      <w:r w:rsidR="00705E91" w:rsidRPr="00705E91">
        <w:rPr>
          <w:rFonts w:ascii="Times New Roman" w:eastAsia="Times New Roman" w:hAnsi="Times New Roman" w:cs="Times New Roman"/>
          <w:bCs/>
          <w:sz w:val="24"/>
          <w:szCs w:val="24"/>
        </w:rPr>
        <w:t>Tyroid</w:t>
      </w:r>
      <w:proofErr w:type="spellEnd"/>
      <w:r w:rsidR="00705E91" w:rsidRPr="00705E91">
        <w:rPr>
          <w:rFonts w:ascii="Times New Roman" w:eastAsia="Times New Roman" w:hAnsi="Times New Roman" w:cs="Times New Roman"/>
          <w:bCs/>
          <w:sz w:val="24"/>
          <w:szCs w:val="24"/>
        </w:rPr>
        <w:t xml:space="preserve"> disease and diabetes. </w:t>
      </w:r>
      <w:proofErr w:type="spellStart"/>
      <w:r w:rsidR="00705E91" w:rsidRPr="00705E91">
        <w:rPr>
          <w:rFonts w:ascii="Times New Roman" w:eastAsia="Times New Roman" w:hAnsi="Times New Roman" w:cs="Times New Roman"/>
          <w:bCs/>
          <w:sz w:val="24"/>
          <w:szCs w:val="24"/>
        </w:rPr>
        <w:t>Clin</w:t>
      </w:r>
      <w:proofErr w:type="spellEnd"/>
      <w:r w:rsidR="00705E91" w:rsidRPr="00705E91">
        <w:rPr>
          <w:rFonts w:ascii="Times New Roman" w:eastAsia="Times New Roman" w:hAnsi="Times New Roman" w:cs="Times New Roman"/>
          <w:bCs/>
          <w:sz w:val="24"/>
          <w:szCs w:val="24"/>
        </w:rPr>
        <w:t xml:space="preserve"> Diabetes. 2000;18 (1):38-41</w:t>
      </w:r>
    </w:p>
    <w:p w:rsidR="00705E91" w:rsidRPr="00705E91" w:rsidRDefault="003770F6" w:rsidP="00AE369E">
      <w:pPr>
        <w:pStyle w:val="ListParagraph"/>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05E91" w:rsidRPr="00705E91">
        <w:rPr>
          <w:rFonts w:ascii="Times New Roman" w:eastAsia="Times New Roman" w:hAnsi="Times New Roman" w:cs="Times New Roman"/>
          <w:bCs/>
          <w:sz w:val="24"/>
          <w:szCs w:val="24"/>
        </w:rPr>
        <w:t xml:space="preserve">Jameson. J.L, </w:t>
      </w:r>
      <w:proofErr w:type="spellStart"/>
      <w:r w:rsidR="00705E91" w:rsidRPr="00705E91">
        <w:rPr>
          <w:rFonts w:ascii="Times New Roman" w:eastAsia="Times New Roman" w:hAnsi="Times New Roman" w:cs="Times New Roman"/>
          <w:bCs/>
          <w:sz w:val="24"/>
          <w:szCs w:val="24"/>
        </w:rPr>
        <w:t>Weetman</w:t>
      </w:r>
      <w:proofErr w:type="spellEnd"/>
      <w:r w:rsidR="00705E91" w:rsidRPr="00705E91">
        <w:rPr>
          <w:rFonts w:ascii="Times New Roman" w:eastAsia="Times New Roman" w:hAnsi="Times New Roman" w:cs="Times New Roman"/>
          <w:bCs/>
          <w:sz w:val="24"/>
          <w:szCs w:val="24"/>
        </w:rPr>
        <w:t xml:space="preserve"> A.P. Disorders of the Thyroid Gland. In: Longo DL, Kasper DL, Jameson JL, </w:t>
      </w:r>
      <w:proofErr w:type="spellStart"/>
      <w:r w:rsidR="00705E91" w:rsidRPr="00705E91">
        <w:rPr>
          <w:rFonts w:ascii="Times New Roman" w:eastAsia="Times New Roman" w:hAnsi="Times New Roman" w:cs="Times New Roman"/>
          <w:bCs/>
          <w:sz w:val="24"/>
          <w:szCs w:val="24"/>
        </w:rPr>
        <w:t>Fauci</w:t>
      </w:r>
      <w:proofErr w:type="spellEnd"/>
      <w:r w:rsidR="00705E91" w:rsidRPr="00705E91">
        <w:rPr>
          <w:rFonts w:ascii="Times New Roman" w:eastAsia="Times New Roman" w:hAnsi="Times New Roman" w:cs="Times New Roman"/>
          <w:bCs/>
          <w:sz w:val="24"/>
          <w:szCs w:val="24"/>
        </w:rPr>
        <w:t xml:space="preserve"> AS, Hauser SL, </w:t>
      </w:r>
      <w:proofErr w:type="spellStart"/>
      <w:r w:rsidR="00705E91" w:rsidRPr="00705E91">
        <w:rPr>
          <w:rFonts w:ascii="Times New Roman" w:eastAsia="Times New Roman" w:hAnsi="Times New Roman" w:cs="Times New Roman"/>
          <w:bCs/>
          <w:sz w:val="24"/>
          <w:szCs w:val="24"/>
        </w:rPr>
        <w:t>Loscalzo</w:t>
      </w:r>
      <w:proofErr w:type="spellEnd"/>
      <w:r w:rsidR="00705E91" w:rsidRPr="00705E91">
        <w:rPr>
          <w:rFonts w:ascii="Times New Roman" w:eastAsia="Times New Roman" w:hAnsi="Times New Roman" w:cs="Times New Roman"/>
          <w:bCs/>
          <w:sz w:val="24"/>
          <w:szCs w:val="24"/>
        </w:rPr>
        <w:t xml:space="preserve"> J (</w:t>
      </w:r>
      <w:proofErr w:type="spellStart"/>
      <w:r w:rsidR="00705E91" w:rsidRPr="00705E91">
        <w:rPr>
          <w:rFonts w:ascii="Times New Roman" w:eastAsia="Times New Roman" w:hAnsi="Times New Roman" w:cs="Times New Roman"/>
          <w:bCs/>
          <w:sz w:val="24"/>
          <w:szCs w:val="24"/>
        </w:rPr>
        <w:t>Eds</w:t>
      </w:r>
      <w:proofErr w:type="spellEnd"/>
      <w:r w:rsidR="00705E91" w:rsidRPr="00705E91">
        <w:rPr>
          <w:rFonts w:ascii="Times New Roman" w:eastAsia="Times New Roman" w:hAnsi="Times New Roman" w:cs="Times New Roman"/>
          <w:bCs/>
          <w:sz w:val="24"/>
          <w:szCs w:val="24"/>
        </w:rPr>
        <w:t xml:space="preserve">). Harrison’s Principles of Internal Medicine. 19th </w:t>
      </w:r>
      <w:proofErr w:type="spellStart"/>
      <w:r w:rsidR="00705E91" w:rsidRPr="00705E91">
        <w:rPr>
          <w:rFonts w:ascii="Times New Roman" w:eastAsia="Times New Roman" w:hAnsi="Times New Roman" w:cs="Times New Roman"/>
          <w:bCs/>
          <w:sz w:val="24"/>
          <w:szCs w:val="24"/>
        </w:rPr>
        <w:t>ed.New</w:t>
      </w:r>
      <w:proofErr w:type="spellEnd"/>
      <w:r w:rsidR="00705E91" w:rsidRPr="00705E91">
        <w:rPr>
          <w:rFonts w:ascii="Times New Roman" w:eastAsia="Times New Roman" w:hAnsi="Times New Roman" w:cs="Times New Roman"/>
          <w:bCs/>
          <w:sz w:val="24"/>
          <w:szCs w:val="24"/>
        </w:rPr>
        <w:t xml:space="preserve"> York: McGraw Hill.2015.p2290-91.</w:t>
      </w:r>
    </w:p>
    <w:p w:rsidR="005827DF" w:rsidRPr="005827DF" w:rsidRDefault="003770F6" w:rsidP="00AE369E">
      <w:pPr>
        <w:pStyle w:val="ListParagraph"/>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proofErr w:type="spellStart"/>
      <w:r w:rsidR="005827DF" w:rsidRPr="005827DF">
        <w:rPr>
          <w:rFonts w:ascii="Times New Roman" w:eastAsia="Times New Roman" w:hAnsi="Times New Roman" w:cs="Times New Roman"/>
          <w:bCs/>
          <w:sz w:val="24"/>
          <w:szCs w:val="24"/>
        </w:rPr>
        <w:t>Kher</w:t>
      </w:r>
      <w:proofErr w:type="spellEnd"/>
      <w:r w:rsidR="005827DF" w:rsidRPr="005827DF">
        <w:rPr>
          <w:rFonts w:ascii="Times New Roman" w:eastAsia="Times New Roman" w:hAnsi="Times New Roman" w:cs="Times New Roman"/>
          <w:bCs/>
          <w:sz w:val="24"/>
          <w:szCs w:val="24"/>
        </w:rPr>
        <w:t xml:space="preserve"> V. End-stage renal disease in developing countries. Kidney </w:t>
      </w:r>
      <w:proofErr w:type="spellStart"/>
      <w:r w:rsidR="005827DF" w:rsidRPr="005827DF">
        <w:rPr>
          <w:rFonts w:ascii="Times New Roman" w:eastAsia="Times New Roman" w:hAnsi="Times New Roman" w:cs="Times New Roman"/>
          <w:bCs/>
          <w:sz w:val="24"/>
          <w:szCs w:val="24"/>
        </w:rPr>
        <w:t>Int</w:t>
      </w:r>
      <w:proofErr w:type="spellEnd"/>
      <w:r w:rsidR="005827DF" w:rsidRPr="005827DF">
        <w:rPr>
          <w:rFonts w:ascii="Times New Roman" w:eastAsia="Times New Roman" w:hAnsi="Times New Roman" w:cs="Times New Roman"/>
          <w:bCs/>
          <w:sz w:val="24"/>
          <w:szCs w:val="24"/>
        </w:rPr>
        <w:t xml:space="preserve"> [Internet]. 2002</w:t>
      </w:r>
      <w:proofErr w:type="gramStart"/>
      <w:r w:rsidR="005827DF" w:rsidRPr="005827DF">
        <w:rPr>
          <w:rFonts w:ascii="Times New Roman" w:eastAsia="Times New Roman" w:hAnsi="Times New Roman" w:cs="Times New Roman"/>
          <w:bCs/>
          <w:sz w:val="24"/>
          <w:szCs w:val="24"/>
        </w:rPr>
        <w:t>;62</w:t>
      </w:r>
      <w:proofErr w:type="gramEnd"/>
      <w:r w:rsidR="005827DF" w:rsidRPr="005827DF">
        <w:rPr>
          <w:rFonts w:ascii="Times New Roman" w:eastAsia="Times New Roman" w:hAnsi="Times New Roman" w:cs="Times New Roman"/>
          <w:bCs/>
          <w:sz w:val="24"/>
          <w:szCs w:val="24"/>
        </w:rPr>
        <w:t xml:space="preserve"> (1):350–62. Available from: http://dx.doi.org/10.1046/j.1523-1755.2002.00426.x</w:t>
      </w:r>
    </w:p>
    <w:p w:rsidR="00465BD9" w:rsidRPr="00465BD9" w:rsidRDefault="003770F6" w:rsidP="00AE369E">
      <w:pPr>
        <w:widowControl w:val="0"/>
        <w:numPr>
          <w:ilvl w:val="0"/>
          <w:numId w:val="4"/>
        </w:numPr>
        <w:spacing w:before="240" w:after="24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spellStart"/>
      <w:r w:rsidR="00465BD9" w:rsidRPr="00465BD9">
        <w:rPr>
          <w:rFonts w:ascii="Times New Roman" w:eastAsia="Times New Roman" w:hAnsi="Times New Roman" w:cs="Times New Roman"/>
          <w:bCs/>
          <w:sz w:val="24"/>
          <w:szCs w:val="24"/>
        </w:rPr>
        <w:t>Papazafiropoulou</w:t>
      </w:r>
      <w:proofErr w:type="spellEnd"/>
      <w:r w:rsidR="00465BD9" w:rsidRPr="00465BD9">
        <w:rPr>
          <w:rFonts w:ascii="Times New Roman" w:eastAsia="Times New Roman" w:hAnsi="Times New Roman" w:cs="Times New Roman"/>
          <w:bCs/>
          <w:sz w:val="24"/>
          <w:szCs w:val="24"/>
        </w:rPr>
        <w:t xml:space="preserve"> A, </w:t>
      </w:r>
      <w:proofErr w:type="spellStart"/>
      <w:r w:rsidR="00465BD9" w:rsidRPr="00465BD9">
        <w:rPr>
          <w:rFonts w:ascii="Times New Roman" w:eastAsia="Times New Roman" w:hAnsi="Times New Roman" w:cs="Times New Roman"/>
          <w:bCs/>
          <w:sz w:val="24"/>
          <w:szCs w:val="24"/>
        </w:rPr>
        <w:t>Sotiropoulos</w:t>
      </w:r>
      <w:proofErr w:type="spellEnd"/>
      <w:r w:rsidR="00465BD9" w:rsidRPr="00465BD9">
        <w:rPr>
          <w:rFonts w:ascii="Times New Roman" w:eastAsia="Times New Roman" w:hAnsi="Times New Roman" w:cs="Times New Roman"/>
          <w:bCs/>
          <w:sz w:val="24"/>
          <w:szCs w:val="24"/>
        </w:rPr>
        <w:t xml:space="preserve">  A, </w:t>
      </w:r>
      <w:proofErr w:type="spellStart"/>
      <w:r w:rsidR="00465BD9" w:rsidRPr="00465BD9">
        <w:rPr>
          <w:rFonts w:ascii="Times New Roman" w:eastAsia="Times New Roman" w:hAnsi="Times New Roman" w:cs="Times New Roman"/>
          <w:bCs/>
          <w:sz w:val="24"/>
          <w:szCs w:val="24"/>
        </w:rPr>
        <w:t>Kokolaki</w:t>
      </w:r>
      <w:proofErr w:type="spellEnd"/>
      <w:r w:rsidR="00465BD9" w:rsidRPr="00465BD9">
        <w:rPr>
          <w:rFonts w:ascii="Times New Roman" w:eastAsia="Times New Roman" w:hAnsi="Times New Roman" w:cs="Times New Roman"/>
          <w:bCs/>
          <w:sz w:val="24"/>
          <w:szCs w:val="24"/>
        </w:rPr>
        <w:t xml:space="preserve">  A, </w:t>
      </w:r>
      <w:proofErr w:type="spellStart"/>
      <w:r w:rsidR="00465BD9" w:rsidRPr="00465BD9">
        <w:rPr>
          <w:rFonts w:ascii="Times New Roman" w:eastAsia="Times New Roman" w:hAnsi="Times New Roman" w:cs="Times New Roman"/>
          <w:bCs/>
          <w:sz w:val="24"/>
          <w:szCs w:val="24"/>
        </w:rPr>
        <w:t>Kardara</w:t>
      </w:r>
      <w:proofErr w:type="spellEnd"/>
      <w:r w:rsidR="00465BD9" w:rsidRPr="00465BD9">
        <w:rPr>
          <w:rFonts w:ascii="Times New Roman" w:eastAsia="Times New Roman" w:hAnsi="Times New Roman" w:cs="Times New Roman"/>
          <w:bCs/>
          <w:sz w:val="24"/>
          <w:szCs w:val="24"/>
        </w:rPr>
        <w:t xml:space="preserve"> M, </w:t>
      </w:r>
      <w:proofErr w:type="spellStart"/>
      <w:r w:rsidR="00465BD9" w:rsidRPr="00465BD9">
        <w:rPr>
          <w:rFonts w:ascii="Times New Roman" w:eastAsia="Times New Roman" w:hAnsi="Times New Roman" w:cs="Times New Roman"/>
          <w:bCs/>
          <w:sz w:val="24"/>
          <w:szCs w:val="24"/>
        </w:rPr>
        <w:t>Stamataki</w:t>
      </w:r>
      <w:proofErr w:type="spellEnd"/>
      <w:r w:rsidR="00465BD9" w:rsidRPr="00465BD9">
        <w:rPr>
          <w:rFonts w:ascii="Times New Roman" w:eastAsia="Times New Roman" w:hAnsi="Times New Roman" w:cs="Times New Roman"/>
          <w:bCs/>
          <w:sz w:val="24"/>
          <w:szCs w:val="24"/>
        </w:rPr>
        <w:t xml:space="preserve"> P, </w:t>
      </w:r>
      <w:proofErr w:type="spellStart"/>
      <w:r w:rsidR="00465BD9" w:rsidRPr="00465BD9">
        <w:rPr>
          <w:rFonts w:ascii="Times New Roman" w:eastAsia="Times New Roman" w:hAnsi="Times New Roman" w:cs="Times New Roman"/>
          <w:bCs/>
          <w:sz w:val="24"/>
          <w:szCs w:val="24"/>
        </w:rPr>
        <w:t>Pappasa</w:t>
      </w:r>
      <w:proofErr w:type="spellEnd"/>
      <w:r w:rsidR="00465BD9" w:rsidRPr="00465BD9">
        <w:rPr>
          <w:rFonts w:ascii="Times New Roman" w:eastAsia="Times New Roman" w:hAnsi="Times New Roman" w:cs="Times New Roman"/>
          <w:bCs/>
          <w:sz w:val="24"/>
          <w:szCs w:val="24"/>
        </w:rPr>
        <w:t xml:space="preserve"> S. Prevalence of Thyroid Dysfunction Among Greek Type 2 diabetic patients attending  an outpatient clinic. J </w:t>
      </w:r>
      <w:proofErr w:type="spellStart"/>
      <w:r w:rsidR="00465BD9" w:rsidRPr="00465BD9">
        <w:rPr>
          <w:rFonts w:ascii="Times New Roman" w:eastAsia="Times New Roman" w:hAnsi="Times New Roman" w:cs="Times New Roman"/>
          <w:bCs/>
          <w:sz w:val="24"/>
          <w:szCs w:val="24"/>
        </w:rPr>
        <w:t>Clin</w:t>
      </w:r>
      <w:proofErr w:type="spellEnd"/>
      <w:r w:rsidR="00465BD9" w:rsidRPr="00465BD9">
        <w:rPr>
          <w:rFonts w:ascii="Times New Roman" w:eastAsia="Times New Roman" w:hAnsi="Times New Roman" w:cs="Times New Roman"/>
          <w:bCs/>
          <w:sz w:val="24"/>
          <w:szCs w:val="24"/>
        </w:rPr>
        <w:t xml:space="preserve"> Med Res. 2010;2(2):75-8</w:t>
      </w:r>
    </w:p>
    <w:p w:rsidR="00823818" w:rsidRDefault="003770F6" w:rsidP="00AE369E">
      <w:pPr>
        <w:widowControl w:val="0"/>
        <w:numPr>
          <w:ilvl w:val="0"/>
          <w:numId w:val="4"/>
        </w:numPr>
        <w:spacing w:before="240" w:after="24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B7D8A" w:rsidRPr="001B7D8A">
        <w:rPr>
          <w:rFonts w:ascii="Times New Roman" w:eastAsia="Times New Roman" w:hAnsi="Times New Roman" w:cs="Times New Roman"/>
          <w:bCs/>
          <w:sz w:val="24"/>
          <w:szCs w:val="24"/>
        </w:rPr>
        <w:t xml:space="preserve">Paul VK. Introduction to </w:t>
      </w:r>
      <w:proofErr w:type="spellStart"/>
      <w:r w:rsidR="001B7D8A" w:rsidRPr="001B7D8A">
        <w:rPr>
          <w:rFonts w:ascii="Times New Roman" w:eastAsia="Times New Roman" w:hAnsi="Times New Roman" w:cs="Times New Roman"/>
          <w:bCs/>
          <w:sz w:val="24"/>
          <w:szCs w:val="24"/>
        </w:rPr>
        <w:t>Pediatrics</w:t>
      </w:r>
      <w:proofErr w:type="spellEnd"/>
      <w:r w:rsidR="001B7D8A" w:rsidRPr="001B7D8A">
        <w:rPr>
          <w:rFonts w:ascii="Times New Roman" w:eastAsia="Times New Roman" w:hAnsi="Times New Roman" w:cs="Times New Roman"/>
          <w:bCs/>
          <w:sz w:val="24"/>
          <w:szCs w:val="24"/>
        </w:rPr>
        <w:t xml:space="preserve">. In: Paul VK, </w:t>
      </w:r>
      <w:proofErr w:type="spellStart"/>
      <w:r w:rsidR="001B7D8A" w:rsidRPr="001B7D8A">
        <w:rPr>
          <w:rFonts w:ascii="Times New Roman" w:eastAsia="Times New Roman" w:hAnsi="Times New Roman" w:cs="Times New Roman"/>
          <w:bCs/>
          <w:sz w:val="24"/>
          <w:szCs w:val="24"/>
        </w:rPr>
        <w:t>Bagga</w:t>
      </w:r>
      <w:proofErr w:type="spellEnd"/>
      <w:r w:rsidR="001B7D8A" w:rsidRPr="001B7D8A">
        <w:rPr>
          <w:rFonts w:ascii="Times New Roman" w:eastAsia="Times New Roman" w:hAnsi="Times New Roman" w:cs="Times New Roman"/>
          <w:bCs/>
          <w:sz w:val="24"/>
          <w:szCs w:val="24"/>
        </w:rPr>
        <w:t xml:space="preserve"> A editors. </w:t>
      </w:r>
      <w:proofErr w:type="spellStart"/>
      <w:r w:rsidR="001B7D8A" w:rsidRPr="001B7D8A">
        <w:rPr>
          <w:rFonts w:ascii="Times New Roman" w:eastAsia="Times New Roman" w:hAnsi="Times New Roman" w:cs="Times New Roman"/>
          <w:bCs/>
          <w:sz w:val="24"/>
          <w:szCs w:val="24"/>
        </w:rPr>
        <w:t>Ghai</w:t>
      </w:r>
      <w:proofErr w:type="spellEnd"/>
      <w:r w:rsidR="001B7D8A" w:rsidRPr="001B7D8A">
        <w:rPr>
          <w:rFonts w:ascii="Times New Roman" w:eastAsia="Times New Roman" w:hAnsi="Times New Roman" w:cs="Times New Roman"/>
          <w:bCs/>
          <w:sz w:val="24"/>
          <w:szCs w:val="24"/>
        </w:rPr>
        <w:t xml:space="preserve"> Essential Pediatrics.18th </w:t>
      </w:r>
      <w:proofErr w:type="spellStart"/>
      <w:r w:rsidR="001B7D8A" w:rsidRPr="001B7D8A">
        <w:rPr>
          <w:rFonts w:ascii="Times New Roman" w:eastAsia="Times New Roman" w:hAnsi="Times New Roman" w:cs="Times New Roman"/>
          <w:bCs/>
          <w:sz w:val="24"/>
          <w:szCs w:val="24"/>
        </w:rPr>
        <w:t>ed</w:t>
      </w:r>
      <w:proofErr w:type="gramStart"/>
      <w:r w:rsidR="001B7D8A" w:rsidRPr="001B7D8A">
        <w:rPr>
          <w:rFonts w:ascii="Times New Roman" w:eastAsia="Times New Roman" w:hAnsi="Times New Roman" w:cs="Times New Roman"/>
          <w:bCs/>
          <w:sz w:val="24"/>
          <w:szCs w:val="24"/>
        </w:rPr>
        <w:t>;New</w:t>
      </w:r>
      <w:proofErr w:type="spellEnd"/>
      <w:proofErr w:type="gramEnd"/>
      <w:r w:rsidR="001B7D8A" w:rsidRPr="001B7D8A">
        <w:rPr>
          <w:rFonts w:ascii="Times New Roman" w:eastAsia="Times New Roman" w:hAnsi="Times New Roman" w:cs="Times New Roman"/>
          <w:bCs/>
          <w:sz w:val="24"/>
          <w:szCs w:val="24"/>
        </w:rPr>
        <w:t xml:space="preserve"> Delhi: CBS;2013.p. 1-6.</w:t>
      </w:r>
    </w:p>
    <w:p w:rsidR="001B7D8A" w:rsidRDefault="001B7D8A" w:rsidP="00AE369E">
      <w:pPr>
        <w:widowControl w:val="0"/>
        <w:numPr>
          <w:ilvl w:val="0"/>
          <w:numId w:val="4"/>
        </w:numPr>
        <w:spacing w:before="240" w:after="240" w:line="240" w:lineRule="auto"/>
        <w:rPr>
          <w:rFonts w:ascii="Times New Roman" w:eastAsia="Times New Roman" w:hAnsi="Times New Roman" w:cs="Times New Roman"/>
          <w:bCs/>
          <w:sz w:val="24"/>
          <w:szCs w:val="24"/>
        </w:rPr>
      </w:pPr>
      <w:r w:rsidRPr="001B7D8A">
        <w:rPr>
          <w:rFonts w:ascii="Times New Roman" w:eastAsia="Times New Roman" w:hAnsi="Times New Roman" w:cs="Times New Roman"/>
          <w:bCs/>
          <w:sz w:val="24"/>
          <w:szCs w:val="24"/>
        </w:rPr>
        <w:t xml:space="preserve">Matsushita K, </w:t>
      </w:r>
      <w:proofErr w:type="spellStart"/>
      <w:r w:rsidRPr="001B7D8A">
        <w:rPr>
          <w:rFonts w:ascii="Times New Roman" w:eastAsia="Times New Roman" w:hAnsi="Times New Roman" w:cs="Times New Roman"/>
          <w:bCs/>
          <w:sz w:val="24"/>
          <w:szCs w:val="24"/>
        </w:rPr>
        <w:t>Tonelli</w:t>
      </w:r>
      <w:proofErr w:type="spellEnd"/>
      <w:r w:rsidRPr="001B7D8A">
        <w:rPr>
          <w:rFonts w:ascii="Times New Roman" w:eastAsia="Times New Roman" w:hAnsi="Times New Roman" w:cs="Times New Roman"/>
          <w:bCs/>
          <w:sz w:val="24"/>
          <w:szCs w:val="24"/>
        </w:rPr>
        <w:t xml:space="preserve"> M, Lloyd A, </w:t>
      </w:r>
      <w:proofErr w:type="spellStart"/>
      <w:r w:rsidRPr="001B7D8A">
        <w:rPr>
          <w:rFonts w:ascii="Times New Roman" w:eastAsia="Times New Roman" w:hAnsi="Times New Roman" w:cs="Times New Roman"/>
          <w:bCs/>
          <w:sz w:val="24"/>
          <w:szCs w:val="24"/>
        </w:rPr>
        <w:t>Levey</w:t>
      </w:r>
      <w:proofErr w:type="spellEnd"/>
      <w:r w:rsidRPr="001B7D8A">
        <w:rPr>
          <w:rFonts w:ascii="Times New Roman" w:eastAsia="Times New Roman" w:hAnsi="Times New Roman" w:cs="Times New Roman"/>
          <w:bCs/>
          <w:sz w:val="24"/>
          <w:szCs w:val="24"/>
        </w:rPr>
        <w:t xml:space="preserve"> AS, </w:t>
      </w:r>
      <w:proofErr w:type="spellStart"/>
      <w:r w:rsidRPr="001B7D8A">
        <w:rPr>
          <w:rFonts w:ascii="Times New Roman" w:eastAsia="Times New Roman" w:hAnsi="Times New Roman" w:cs="Times New Roman"/>
          <w:bCs/>
          <w:sz w:val="24"/>
          <w:szCs w:val="24"/>
        </w:rPr>
        <w:t>Coresh</w:t>
      </w:r>
      <w:proofErr w:type="spellEnd"/>
      <w:r w:rsidRPr="001B7D8A">
        <w:rPr>
          <w:rFonts w:ascii="Times New Roman" w:eastAsia="Times New Roman" w:hAnsi="Times New Roman" w:cs="Times New Roman"/>
          <w:bCs/>
          <w:sz w:val="24"/>
          <w:szCs w:val="24"/>
        </w:rPr>
        <w:t xml:space="preserve"> J, </w:t>
      </w:r>
      <w:proofErr w:type="spellStart"/>
      <w:r w:rsidRPr="001B7D8A">
        <w:rPr>
          <w:rFonts w:ascii="Times New Roman" w:eastAsia="Times New Roman" w:hAnsi="Times New Roman" w:cs="Times New Roman"/>
          <w:bCs/>
          <w:sz w:val="24"/>
          <w:szCs w:val="24"/>
        </w:rPr>
        <w:t>Hemmelgarn</w:t>
      </w:r>
      <w:proofErr w:type="spellEnd"/>
      <w:r w:rsidRPr="001B7D8A">
        <w:rPr>
          <w:rFonts w:ascii="Times New Roman" w:eastAsia="Times New Roman" w:hAnsi="Times New Roman" w:cs="Times New Roman"/>
          <w:bCs/>
          <w:sz w:val="24"/>
          <w:szCs w:val="24"/>
        </w:rPr>
        <w:t xml:space="preserve"> BR. Clinical risk implications of the CKD epidemiology collaboration (CKD-EPI) equation compared with the modification of diet in renal disease (MDRD) study equation for estimated GFR. Am J Kidney Diseases. 2012 Aug 1</w:t>
      </w:r>
      <w:proofErr w:type="gramStart"/>
      <w:r w:rsidRPr="001B7D8A">
        <w:rPr>
          <w:rFonts w:ascii="Times New Roman" w:eastAsia="Times New Roman" w:hAnsi="Times New Roman" w:cs="Times New Roman"/>
          <w:bCs/>
          <w:sz w:val="24"/>
          <w:szCs w:val="24"/>
        </w:rPr>
        <w:t>;60</w:t>
      </w:r>
      <w:proofErr w:type="gramEnd"/>
      <w:r w:rsidRPr="001B7D8A">
        <w:rPr>
          <w:rFonts w:ascii="Times New Roman" w:eastAsia="Times New Roman" w:hAnsi="Times New Roman" w:cs="Times New Roman"/>
          <w:bCs/>
          <w:sz w:val="24"/>
          <w:szCs w:val="24"/>
        </w:rPr>
        <w:t xml:space="preserve"> (2):241-9.</w:t>
      </w:r>
    </w:p>
    <w:p w:rsidR="001B7D8A" w:rsidRDefault="001B7D8A" w:rsidP="00AE369E">
      <w:pPr>
        <w:widowControl w:val="0"/>
        <w:numPr>
          <w:ilvl w:val="0"/>
          <w:numId w:val="4"/>
        </w:numPr>
        <w:spacing w:before="240" w:after="240" w:line="240" w:lineRule="auto"/>
        <w:rPr>
          <w:rFonts w:ascii="Times New Roman" w:eastAsia="Times New Roman" w:hAnsi="Times New Roman" w:cs="Times New Roman"/>
          <w:bCs/>
          <w:sz w:val="24"/>
          <w:szCs w:val="24"/>
        </w:rPr>
      </w:pPr>
      <w:r w:rsidRPr="001B7D8A">
        <w:rPr>
          <w:rFonts w:ascii="Times New Roman" w:eastAsia="Times New Roman" w:hAnsi="Times New Roman" w:cs="Times New Roman"/>
          <w:bCs/>
          <w:sz w:val="24"/>
          <w:szCs w:val="24"/>
        </w:rPr>
        <w:t xml:space="preserve">Bajaj S, </w:t>
      </w:r>
      <w:proofErr w:type="spellStart"/>
      <w:r w:rsidRPr="001B7D8A">
        <w:rPr>
          <w:rFonts w:ascii="Times New Roman" w:eastAsia="Times New Roman" w:hAnsi="Times New Roman" w:cs="Times New Roman"/>
          <w:bCs/>
          <w:sz w:val="24"/>
          <w:szCs w:val="24"/>
        </w:rPr>
        <w:t>Purwar</w:t>
      </w:r>
      <w:proofErr w:type="spellEnd"/>
      <w:r w:rsidRPr="001B7D8A">
        <w:rPr>
          <w:rFonts w:ascii="Times New Roman" w:eastAsia="Times New Roman" w:hAnsi="Times New Roman" w:cs="Times New Roman"/>
          <w:bCs/>
          <w:sz w:val="24"/>
          <w:szCs w:val="24"/>
        </w:rPr>
        <w:t xml:space="preserve"> N, Gupta A, Gupta P, </w:t>
      </w:r>
      <w:proofErr w:type="spellStart"/>
      <w:r w:rsidRPr="001B7D8A">
        <w:rPr>
          <w:rFonts w:ascii="Times New Roman" w:eastAsia="Times New Roman" w:hAnsi="Times New Roman" w:cs="Times New Roman"/>
          <w:bCs/>
          <w:sz w:val="24"/>
          <w:szCs w:val="24"/>
        </w:rPr>
        <w:t>Srivastava</w:t>
      </w:r>
      <w:proofErr w:type="spellEnd"/>
      <w:r w:rsidRPr="001B7D8A">
        <w:rPr>
          <w:rFonts w:ascii="Times New Roman" w:eastAsia="Times New Roman" w:hAnsi="Times New Roman" w:cs="Times New Roman"/>
          <w:bCs/>
          <w:sz w:val="24"/>
          <w:szCs w:val="24"/>
        </w:rPr>
        <w:t xml:space="preserve"> A. Prevalence of hypothyroidism in </w:t>
      </w:r>
      <w:proofErr w:type="spellStart"/>
      <w:r w:rsidRPr="001B7D8A">
        <w:rPr>
          <w:rFonts w:ascii="Times New Roman" w:eastAsia="Times New Roman" w:hAnsi="Times New Roman" w:cs="Times New Roman"/>
          <w:bCs/>
          <w:sz w:val="24"/>
          <w:szCs w:val="24"/>
        </w:rPr>
        <w:t>nondiabetic</w:t>
      </w:r>
      <w:proofErr w:type="spellEnd"/>
      <w:r w:rsidRPr="001B7D8A">
        <w:rPr>
          <w:rFonts w:ascii="Times New Roman" w:eastAsia="Times New Roman" w:hAnsi="Times New Roman" w:cs="Times New Roman"/>
          <w:bCs/>
          <w:sz w:val="24"/>
          <w:szCs w:val="24"/>
        </w:rPr>
        <w:t xml:space="preserve"> chronic kidney disease and effect of </w:t>
      </w:r>
      <w:proofErr w:type="spellStart"/>
      <w:r w:rsidRPr="001B7D8A">
        <w:rPr>
          <w:rFonts w:ascii="Times New Roman" w:eastAsia="Times New Roman" w:hAnsi="Times New Roman" w:cs="Times New Roman"/>
          <w:bCs/>
          <w:sz w:val="24"/>
          <w:szCs w:val="24"/>
        </w:rPr>
        <w:t>thyroxine</w:t>
      </w:r>
      <w:proofErr w:type="spellEnd"/>
      <w:r w:rsidRPr="001B7D8A">
        <w:rPr>
          <w:rFonts w:ascii="Times New Roman" w:eastAsia="Times New Roman" w:hAnsi="Times New Roman" w:cs="Times New Roman"/>
          <w:bCs/>
          <w:sz w:val="24"/>
          <w:szCs w:val="24"/>
        </w:rPr>
        <w:t xml:space="preserve"> replacement on estimated glomerular filtration rate. Indian J </w:t>
      </w:r>
      <w:proofErr w:type="spellStart"/>
      <w:r w:rsidRPr="001B7D8A">
        <w:rPr>
          <w:rFonts w:ascii="Times New Roman" w:eastAsia="Times New Roman" w:hAnsi="Times New Roman" w:cs="Times New Roman"/>
          <w:bCs/>
          <w:sz w:val="24"/>
          <w:szCs w:val="24"/>
        </w:rPr>
        <w:t>nephrol</w:t>
      </w:r>
      <w:proofErr w:type="spellEnd"/>
      <w:r w:rsidRPr="001B7D8A">
        <w:rPr>
          <w:rFonts w:ascii="Times New Roman" w:eastAsia="Times New Roman" w:hAnsi="Times New Roman" w:cs="Times New Roman"/>
          <w:bCs/>
          <w:sz w:val="24"/>
          <w:szCs w:val="24"/>
        </w:rPr>
        <w:t>. 2017 Mar</w:t>
      </w:r>
      <w:proofErr w:type="gramStart"/>
      <w:r w:rsidRPr="001B7D8A">
        <w:rPr>
          <w:rFonts w:ascii="Times New Roman" w:eastAsia="Times New Roman" w:hAnsi="Times New Roman" w:cs="Times New Roman"/>
          <w:bCs/>
          <w:sz w:val="24"/>
          <w:szCs w:val="24"/>
        </w:rPr>
        <w:t>;27</w:t>
      </w:r>
      <w:proofErr w:type="gramEnd"/>
      <w:r w:rsidRPr="001B7D8A">
        <w:rPr>
          <w:rFonts w:ascii="Times New Roman" w:eastAsia="Times New Roman" w:hAnsi="Times New Roman" w:cs="Times New Roman"/>
          <w:bCs/>
          <w:sz w:val="24"/>
          <w:szCs w:val="24"/>
        </w:rPr>
        <w:t xml:space="preserve"> (2):104.</w:t>
      </w:r>
    </w:p>
    <w:p w:rsidR="001B7D8A" w:rsidRDefault="001B7D8A" w:rsidP="00AE369E">
      <w:pPr>
        <w:widowControl w:val="0"/>
        <w:numPr>
          <w:ilvl w:val="0"/>
          <w:numId w:val="4"/>
        </w:numPr>
        <w:spacing w:before="240" w:after="240" w:line="240" w:lineRule="auto"/>
        <w:rPr>
          <w:rFonts w:ascii="Times New Roman" w:eastAsia="Times New Roman" w:hAnsi="Times New Roman" w:cs="Times New Roman"/>
          <w:bCs/>
          <w:sz w:val="24"/>
          <w:szCs w:val="24"/>
        </w:rPr>
      </w:pPr>
      <w:r w:rsidRPr="001B7D8A">
        <w:rPr>
          <w:rFonts w:ascii="Times New Roman" w:eastAsia="Times New Roman" w:hAnsi="Times New Roman" w:cs="Times New Roman"/>
          <w:bCs/>
          <w:sz w:val="24"/>
          <w:szCs w:val="24"/>
        </w:rPr>
        <w:t xml:space="preserve">Chandra A. Prevalence of hypothyroidism in patients with chronic kidney disease: a cross-sectional study from North India. Kidney Res </w:t>
      </w:r>
      <w:proofErr w:type="spellStart"/>
      <w:r w:rsidRPr="001B7D8A">
        <w:rPr>
          <w:rFonts w:ascii="Times New Roman" w:eastAsia="Times New Roman" w:hAnsi="Times New Roman" w:cs="Times New Roman"/>
          <w:bCs/>
          <w:sz w:val="24"/>
          <w:szCs w:val="24"/>
        </w:rPr>
        <w:t>Clin</w:t>
      </w:r>
      <w:proofErr w:type="spellEnd"/>
      <w:r w:rsidRPr="001B7D8A">
        <w:rPr>
          <w:rFonts w:ascii="Times New Roman" w:eastAsia="Times New Roman" w:hAnsi="Times New Roman" w:cs="Times New Roman"/>
          <w:bCs/>
          <w:sz w:val="24"/>
          <w:szCs w:val="24"/>
        </w:rPr>
        <w:t xml:space="preserve"> </w:t>
      </w:r>
      <w:proofErr w:type="spellStart"/>
      <w:r w:rsidRPr="001B7D8A">
        <w:rPr>
          <w:rFonts w:ascii="Times New Roman" w:eastAsia="Times New Roman" w:hAnsi="Times New Roman" w:cs="Times New Roman"/>
          <w:bCs/>
          <w:sz w:val="24"/>
          <w:szCs w:val="24"/>
        </w:rPr>
        <w:t>Pract</w:t>
      </w:r>
      <w:proofErr w:type="spellEnd"/>
      <w:r w:rsidRPr="001B7D8A">
        <w:rPr>
          <w:rFonts w:ascii="Times New Roman" w:eastAsia="Times New Roman" w:hAnsi="Times New Roman" w:cs="Times New Roman"/>
          <w:bCs/>
          <w:sz w:val="24"/>
          <w:szCs w:val="24"/>
        </w:rPr>
        <w:t xml:space="preserve"> [Internet]. 2016</w:t>
      </w:r>
      <w:proofErr w:type="gramStart"/>
      <w:r w:rsidRPr="001B7D8A">
        <w:rPr>
          <w:rFonts w:ascii="Times New Roman" w:eastAsia="Times New Roman" w:hAnsi="Times New Roman" w:cs="Times New Roman"/>
          <w:bCs/>
          <w:sz w:val="24"/>
          <w:szCs w:val="24"/>
        </w:rPr>
        <w:t>;35</w:t>
      </w:r>
      <w:proofErr w:type="gramEnd"/>
      <w:r w:rsidRPr="001B7D8A">
        <w:rPr>
          <w:rFonts w:ascii="Times New Roman" w:eastAsia="Times New Roman" w:hAnsi="Times New Roman" w:cs="Times New Roman"/>
          <w:bCs/>
          <w:sz w:val="24"/>
          <w:szCs w:val="24"/>
        </w:rPr>
        <w:t xml:space="preserve"> (3):165–8. Available from: </w:t>
      </w:r>
      <w:hyperlink r:id="rId10" w:history="1">
        <w:r w:rsidRPr="00400448">
          <w:rPr>
            <w:rStyle w:val="Hyperlink"/>
            <w:rFonts w:ascii="Times New Roman" w:eastAsia="Times New Roman" w:hAnsi="Times New Roman" w:cs="Times New Roman"/>
            <w:bCs/>
            <w:sz w:val="24"/>
            <w:szCs w:val="24"/>
          </w:rPr>
          <w:t>http://dx.doi.org/10.1016/j.krcp.2016.06.003</w:t>
        </w:r>
      </w:hyperlink>
    </w:p>
    <w:p w:rsidR="001B7D8A" w:rsidRDefault="001B7D8A" w:rsidP="00AE369E">
      <w:pPr>
        <w:widowControl w:val="0"/>
        <w:numPr>
          <w:ilvl w:val="0"/>
          <w:numId w:val="4"/>
        </w:numPr>
        <w:spacing w:before="240" w:after="240" w:line="240" w:lineRule="auto"/>
        <w:rPr>
          <w:rFonts w:ascii="Times New Roman" w:eastAsia="Times New Roman" w:hAnsi="Times New Roman" w:cs="Times New Roman"/>
          <w:bCs/>
          <w:sz w:val="24"/>
          <w:szCs w:val="24"/>
        </w:rPr>
      </w:pPr>
      <w:proofErr w:type="spellStart"/>
      <w:r w:rsidRPr="001B7D8A">
        <w:rPr>
          <w:rFonts w:ascii="Times New Roman" w:eastAsia="Times New Roman" w:hAnsi="Times New Roman" w:cs="Times New Roman"/>
          <w:bCs/>
          <w:sz w:val="24"/>
          <w:szCs w:val="24"/>
        </w:rPr>
        <w:t>Shantha</w:t>
      </w:r>
      <w:proofErr w:type="spellEnd"/>
      <w:r w:rsidRPr="001B7D8A">
        <w:rPr>
          <w:rFonts w:ascii="Times New Roman" w:eastAsia="Times New Roman" w:hAnsi="Times New Roman" w:cs="Times New Roman"/>
          <w:bCs/>
          <w:sz w:val="24"/>
          <w:szCs w:val="24"/>
        </w:rPr>
        <w:t xml:space="preserve"> GPS, Kumar AA, </w:t>
      </w:r>
      <w:proofErr w:type="spellStart"/>
      <w:r w:rsidRPr="001B7D8A">
        <w:rPr>
          <w:rFonts w:ascii="Times New Roman" w:eastAsia="Times New Roman" w:hAnsi="Times New Roman" w:cs="Times New Roman"/>
          <w:bCs/>
          <w:sz w:val="24"/>
          <w:szCs w:val="24"/>
        </w:rPr>
        <w:t>Bhise</w:t>
      </w:r>
      <w:proofErr w:type="spellEnd"/>
      <w:r w:rsidRPr="001B7D8A">
        <w:rPr>
          <w:rFonts w:ascii="Times New Roman" w:eastAsia="Times New Roman" w:hAnsi="Times New Roman" w:cs="Times New Roman"/>
          <w:bCs/>
          <w:sz w:val="24"/>
          <w:szCs w:val="24"/>
        </w:rPr>
        <w:t xml:space="preserve"> V, </w:t>
      </w:r>
      <w:proofErr w:type="spellStart"/>
      <w:r w:rsidRPr="001B7D8A">
        <w:rPr>
          <w:rFonts w:ascii="Times New Roman" w:eastAsia="Times New Roman" w:hAnsi="Times New Roman" w:cs="Times New Roman"/>
          <w:bCs/>
          <w:sz w:val="24"/>
          <w:szCs w:val="24"/>
        </w:rPr>
        <w:t>Khanna</w:t>
      </w:r>
      <w:proofErr w:type="spellEnd"/>
      <w:r w:rsidRPr="001B7D8A">
        <w:rPr>
          <w:rFonts w:ascii="Times New Roman" w:eastAsia="Times New Roman" w:hAnsi="Times New Roman" w:cs="Times New Roman"/>
          <w:bCs/>
          <w:sz w:val="24"/>
          <w:szCs w:val="24"/>
        </w:rPr>
        <w:t xml:space="preserve"> R, </w:t>
      </w:r>
      <w:proofErr w:type="spellStart"/>
      <w:r w:rsidRPr="001B7D8A">
        <w:rPr>
          <w:rFonts w:ascii="Times New Roman" w:eastAsia="Times New Roman" w:hAnsi="Times New Roman" w:cs="Times New Roman"/>
          <w:bCs/>
          <w:sz w:val="24"/>
          <w:szCs w:val="24"/>
        </w:rPr>
        <w:t>Sivagnanam</w:t>
      </w:r>
      <w:proofErr w:type="spellEnd"/>
      <w:r w:rsidRPr="001B7D8A">
        <w:rPr>
          <w:rFonts w:ascii="Times New Roman" w:eastAsia="Times New Roman" w:hAnsi="Times New Roman" w:cs="Times New Roman"/>
          <w:bCs/>
          <w:sz w:val="24"/>
          <w:szCs w:val="24"/>
        </w:rPr>
        <w:t xml:space="preserve"> K, Subramanian KK. Prevalence of Subclinical Hypothyroidism in Patients with End-Stage Renal Disease and the Role of Serum Albumin: A Cross-Sectional Study from South India. </w:t>
      </w:r>
      <w:proofErr w:type="spellStart"/>
      <w:r w:rsidRPr="001B7D8A">
        <w:rPr>
          <w:rFonts w:ascii="Times New Roman" w:eastAsia="Times New Roman" w:hAnsi="Times New Roman" w:cs="Times New Roman"/>
          <w:bCs/>
          <w:sz w:val="24"/>
          <w:szCs w:val="24"/>
        </w:rPr>
        <w:t>Cardiorenal</w:t>
      </w:r>
      <w:proofErr w:type="spellEnd"/>
      <w:r w:rsidRPr="001B7D8A">
        <w:rPr>
          <w:rFonts w:ascii="Times New Roman" w:eastAsia="Times New Roman" w:hAnsi="Times New Roman" w:cs="Times New Roman"/>
          <w:bCs/>
          <w:sz w:val="24"/>
          <w:szCs w:val="24"/>
        </w:rPr>
        <w:t xml:space="preserve"> Med. 2011</w:t>
      </w:r>
      <w:proofErr w:type="gramStart"/>
      <w:r w:rsidRPr="001B7D8A">
        <w:rPr>
          <w:rFonts w:ascii="Times New Roman" w:eastAsia="Times New Roman" w:hAnsi="Times New Roman" w:cs="Times New Roman"/>
          <w:bCs/>
          <w:sz w:val="24"/>
          <w:szCs w:val="24"/>
        </w:rPr>
        <w:t>;1</w:t>
      </w:r>
      <w:proofErr w:type="gramEnd"/>
      <w:r w:rsidRPr="001B7D8A">
        <w:rPr>
          <w:rFonts w:ascii="Times New Roman" w:eastAsia="Times New Roman" w:hAnsi="Times New Roman" w:cs="Times New Roman"/>
          <w:bCs/>
          <w:sz w:val="24"/>
          <w:szCs w:val="24"/>
        </w:rPr>
        <w:t xml:space="preserve"> (4):255–60.</w:t>
      </w:r>
    </w:p>
    <w:p w:rsidR="00BA7C8A" w:rsidRPr="00741918" w:rsidRDefault="00BA7C8A" w:rsidP="00AE369E">
      <w:pPr>
        <w:widowControl w:val="0"/>
        <w:numPr>
          <w:ilvl w:val="0"/>
          <w:numId w:val="4"/>
        </w:numPr>
        <w:spacing w:before="240" w:after="240" w:line="240" w:lineRule="auto"/>
        <w:rPr>
          <w:rFonts w:ascii="Times New Roman" w:eastAsia="Times New Roman" w:hAnsi="Times New Roman" w:cs="Times New Roman"/>
          <w:bCs/>
          <w:sz w:val="24"/>
          <w:szCs w:val="24"/>
        </w:rPr>
      </w:pPr>
      <w:proofErr w:type="spellStart"/>
      <w:r w:rsidRPr="001B7D8A">
        <w:rPr>
          <w:rFonts w:ascii="Times New Roman" w:eastAsia="Times New Roman" w:hAnsi="Times New Roman" w:cs="Times New Roman"/>
          <w:bCs/>
          <w:sz w:val="24"/>
          <w:szCs w:val="24"/>
        </w:rPr>
        <w:t>Chonchol</w:t>
      </w:r>
      <w:proofErr w:type="spellEnd"/>
      <w:r w:rsidRPr="001B7D8A">
        <w:rPr>
          <w:rFonts w:ascii="Times New Roman" w:eastAsia="Times New Roman" w:hAnsi="Times New Roman" w:cs="Times New Roman"/>
          <w:bCs/>
          <w:sz w:val="24"/>
          <w:szCs w:val="24"/>
        </w:rPr>
        <w:t xml:space="preserve"> M, Lippi G, </w:t>
      </w:r>
      <w:proofErr w:type="spellStart"/>
      <w:r w:rsidRPr="001B7D8A">
        <w:rPr>
          <w:rFonts w:ascii="Times New Roman" w:eastAsia="Times New Roman" w:hAnsi="Times New Roman" w:cs="Times New Roman"/>
          <w:bCs/>
          <w:sz w:val="24"/>
          <w:szCs w:val="24"/>
        </w:rPr>
        <w:t>Salvagno</w:t>
      </w:r>
      <w:proofErr w:type="spellEnd"/>
      <w:r w:rsidRPr="001B7D8A">
        <w:rPr>
          <w:rFonts w:ascii="Times New Roman" w:eastAsia="Times New Roman" w:hAnsi="Times New Roman" w:cs="Times New Roman"/>
          <w:bCs/>
          <w:sz w:val="24"/>
          <w:szCs w:val="24"/>
        </w:rPr>
        <w:t xml:space="preserve"> G, </w:t>
      </w:r>
      <w:proofErr w:type="spellStart"/>
      <w:r w:rsidRPr="001B7D8A">
        <w:rPr>
          <w:rFonts w:ascii="Times New Roman" w:eastAsia="Times New Roman" w:hAnsi="Times New Roman" w:cs="Times New Roman"/>
          <w:bCs/>
          <w:sz w:val="24"/>
          <w:szCs w:val="24"/>
        </w:rPr>
        <w:t>Zoppini</w:t>
      </w:r>
      <w:proofErr w:type="spellEnd"/>
      <w:r w:rsidRPr="001B7D8A">
        <w:rPr>
          <w:rFonts w:ascii="Times New Roman" w:eastAsia="Times New Roman" w:hAnsi="Times New Roman" w:cs="Times New Roman"/>
          <w:bCs/>
          <w:sz w:val="24"/>
          <w:szCs w:val="24"/>
        </w:rPr>
        <w:t xml:space="preserve"> G, </w:t>
      </w:r>
      <w:proofErr w:type="spellStart"/>
      <w:r w:rsidRPr="001B7D8A">
        <w:rPr>
          <w:rFonts w:ascii="Times New Roman" w:eastAsia="Times New Roman" w:hAnsi="Times New Roman" w:cs="Times New Roman"/>
          <w:bCs/>
          <w:sz w:val="24"/>
          <w:szCs w:val="24"/>
        </w:rPr>
        <w:t>Muggeo</w:t>
      </w:r>
      <w:proofErr w:type="spellEnd"/>
      <w:r w:rsidRPr="001B7D8A">
        <w:rPr>
          <w:rFonts w:ascii="Times New Roman" w:eastAsia="Times New Roman" w:hAnsi="Times New Roman" w:cs="Times New Roman"/>
          <w:bCs/>
          <w:sz w:val="24"/>
          <w:szCs w:val="24"/>
        </w:rPr>
        <w:t xml:space="preserve"> M, </w:t>
      </w:r>
      <w:proofErr w:type="spellStart"/>
      <w:r w:rsidRPr="001B7D8A">
        <w:rPr>
          <w:rFonts w:ascii="Times New Roman" w:eastAsia="Times New Roman" w:hAnsi="Times New Roman" w:cs="Times New Roman"/>
          <w:bCs/>
          <w:sz w:val="24"/>
          <w:szCs w:val="24"/>
        </w:rPr>
        <w:t>Targher</w:t>
      </w:r>
      <w:proofErr w:type="spellEnd"/>
      <w:r w:rsidRPr="001B7D8A">
        <w:rPr>
          <w:rFonts w:ascii="Times New Roman" w:eastAsia="Times New Roman" w:hAnsi="Times New Roman" w:cs="Times New Roman"/>
          <w:bCs/>
          <w:sz w:val="24"/>
          <w:szCs w:val="24"/>
        </w:rPr>
        <w:t xml:space="preserve"> G. Prevalence of subclinical hypothyroidism in patients with chronic kidney disease. </w:t>
      </w:r>
      <w:proofErr w:type="spellStart"/>
      <w:r w:rsidRPr="001B7D8A">
        <w:rPr>
          <w:rFonts w:ascii="Times New Roman" w:eastAsia="Times New Roman" w:hAnsi="Times New Roman" w:cs="Times New Roman"/>
          <w:bCs/>
          <w:sz w:val="24"/>
          <w:szCs w:val="24"/>
        </w:rPr>
        <w:t>Clin</w:t>
      </w:r>
      <w:proofErr w:type="spellEnd"/>
      <w:r w:rsidRPr="001B7D8A">
        <w:rPr>
          <w:rFonts w:ascii="Times New Roman" w:eastAsia="Times New Roman" w:hAnsi="Times New Roman" w:cs="Times New Roman"/>
          <w:bCs/>
          <w:sz w:val="24"/>
          <w:szCs w:val="24"/>
        </w:rPr>
        <w:t xml:space="preserve"> J Am </w:t>
      </w:r>
      <w:proofErr w:type="spellStart"/>
      <w:r w:rsidRPr="001B7D8A">
        <w:rPr>
          <w:rFonts w:ascii="Times New Roman" w:eastAsia="Times New Roman" w:hAnsi="Times New Roman" w:cs="Times New Roman"/>
          <w:bCs/>
          <w:sz w:val="24"/>
          <w:szCs w:val="24"/>
        </w:rPr>
        <w:t>Soc</w:t>
      </w:r>
      <w:proofErr w:type="spellEnd"/>
      <w:r w:rsidRPr="001B7D8A">
        <w:rPr>
          <w:rFonts w:ascii="Times New Roman" w:eastAsia="Times New Roman" w:hAnsi="Times New Roman" w:cs="Times New Roman"/>
          <w:bCs/>
          <w:sz w:val="24"/>
          <w:szCs w:val="24"/>
        </w:rPr>
        <w:t xml:space="preserve"> </w:t>
      </w:r>
      <w:proofErr w:type="spellStart"/>
      <w:r w:rsidRPr="001B7D8A">
        <w:rPr>
          <w:rFonts w:ascii="Times New Roman" w:eastAsia="Times New Roman" w:hAnsi="Times New Roman" w:cs="Times New Roman"/>
          <w:bCs/>
          <w:sz w:val="24"/>
          <w:szCs w:val="24"/>
        </w:rPr>
        <w:t>Nephrol</w:t>
      </w:r>
      <w:proofErr w:type="spellEnd"/>
      <w:r w:rsidRPr="001B7D8A">
        <w:rPr>
          <w:rFonts w:ascii="Times New Roman" w:eastAsia="Times New Roman" w:hAnsi="Times New Roman" w:cs="Times New Roman"/>
          <w:bCs/>
          <w:sz w:val="24"/>
          <w:szCs w:val="24"/>
        </w:rPr>
        <w:t>. 2008</w:t>
      </w:r>
      <w:proofErr w:type="gramStart"/>
      <w:r w:rsidRPr="001B7D8A">
        <w:rPr>
          <w:rFonts w:ascii="Times New Roman" w:eastAsia="Times New Roman" w:hAnsi="Times New Roman" w:cs="Times New Roman"/>
          <w:bCs/>
          <w:sz w:val="24"/>
          <w:szCs w:val="24"/>
        </w:rPr>
        <w:t>;3</w:t>
      </w:r>
      <w:proofErr w:type="gramEnd"/>
      <w:r w:rsidRPr="001B7D8A">
        <w:rPr>
          <w:rFonts w:ascii="Times New Roman" w:eastAsia="Times New Roman" w:hAnsi="Times New Roman" w:cs="Times New Roman"/>
          <w:bCs/>
          <w:sz w:val="24"/>
          <w:szCs w:val="24"/>
        </w:rPr>
        <w:t xml:space="preserve"> (5):1296–300.</w:t>
      </w:r>
    </w:p>
    <w:p w:rsidR="00741918" w:rsidRPr="00741918" w:rsidRDefault="00BA7C8A" w:rsidP="00AE369E">
      <w:pPr>
        <w:widowControl w:val="0"/>
        <w:numPr>
          <w:ilvl w:val="0"/>
          <w:numId w:val="4"/>
        </w:numPr>
        <w:spacing w:before="240" w:after="240" w:line="240" w:lineRule="auto"/>
        <w:rPr>
          <w:rFonts w:ascii="Times New Roman" w:eastAsia="Times New Roman" w:hAnsi="Times New Roman" w:cs="Times New Roman"/>
          <w:bCs/>
          <w:sz w:val="24"/>
          <w:szCs w:val="24"/>
        </w:rPr>
      </w:pPr>
      <w:r w:rsidRPr="00BA7C8A">
        <w:rPr>
          <w:rFonts w:ascii="Times New Roman" w:eastAsia="Times New Roman" w:hAnsi="Times New Roman" w:cs="Times New Roman"/>
          <w:bCs/>
          <w:sz w:val="24"/>
          <w:szCs w:val="24"/>
        </w:rPr>
        <w:t xml:space="preserve">Lo JC, </w:t>
      </w:r>
      <w:proofErr w:type="spellStart"/>
      <w:r w:rsidRPr="00BA7C8A">
        <w:rPr>
          <w:rFonts w:ascii="Times New Roman" w:eastAsia="Times New Roman" w:hAnsi="Times New Roman" w:cs="Times New Roman"/>
          <w:bCs/>
          <w:sz w:val="24"/>
          <w:szCs w:val="24"/>
        </w:rPr>
        <w:t>Chertow</w:t>
      </w:r>
      <w:proofErr w:type="spellEnd"/>
      <w:r w:rsidRPr="00BA7C8A">
        <w:rPr>
          <w:rFonts w:ascii="Times New Roman" w:eastAsia="Times New Roman" w:hAnsi="Times New Roman" w:cs="Times New Roman"/>
          <w:bCs/>
          <w:sz w:val="24"/>
          <w:szCs w:val="24"/>
        </w:rPr>
        <w:t xml:space="preserve"> GM, Go AS, Hsu CY. Increased prevalence of subclinical and clinical hypothyroidism in persons with chronic kidney disease. Kidney Int. 2005</w:t>
      </w:r>
      <w:proofErr w:type="gramStart"/>
      <w:r w:rsidRPr="00BA7C8A">
        <w:rPr>
          <w:rFonts w:ascii="Times New Roman" w:eastAsia="Times New Roman" w:hAnsi="Times New Roman" w:cs="Times New Roman"/>
          <w:bCs/>
          <w:sz w:val="24"/>
          <w:szCs w:val="24"/>
        </w:rPr>
        <w:t>;67</w:t>
      </w:r>
      <w:proofErr w:type="gramEnd"/>
      <w:r w:rsidRPr="00BA7C8A">
        <w:rPr>
          <w:rFonts w:ascii="Times New Roman" w:eastAsia="Times New Roman" w:hAnsi="Times New Roman" w:cs="Times New Roman"/>
          <w:bCs/>
          <w:sz w:val="24"/>
          <w:szCs w:val="24"/>
        </w:rPr>
        <w:t xml:space="preserve"> (3):1047–52.</w:t>
      </w:r>
    </w:p>
    <w:p w:rsidR="00741918" w:rsidRPr="00BA7C8A" w:rsidRDefault="00741918" w:rsidP="00AE369E">
      <w:pPr>
        <w:widowControl w:val="0"/>
        <w:numPr>
          <w:ilvl w:val="0"/>
          <w:numId w:val="4"/>
        </w:numPr>
        <w:spacing w:before="240" w:after="240" w:line="240" w:lineRule="auto"/>
        <w:rPr>
          <w:rFonts w:ascii="Times New Roman" w:eastAsia="Times New Roman" w:hAnsi="Times New Roman" w:cs="Times New Roman"/>
          <w:bCs/>
          <w:sz w:val="24"/>
          <w:szCs w:val="24"/>
        </w:rPr>
      </w:pPr>
      <w:proofErr w:type="spellStart"/>
      <w:r w:rsidRPr="00741918">
        <w:rPr>
          <w:rFonts w:ascii="Times New Roman" w:eastAsia="Times New Roman" w:hAnsi="Times New Roman" w:cs="Times New Roman"/>
          <w:bCs/>
          <w:sz w:val="24"/>
          <w:szCs w:val="24"/>
        </w:rPr>
        <w:t>Asvold</w:t>
      </w:r>
      <w:proofErr w:type="spellEnd"/>
      <w:r w:rsidRPr="00741918">
        <w:rPr>
          <w:rFonts w:ascii="Times New Roman" w:eastAsia="Times New Roman" w:hAnsi="Times New Roman" w:cs="Times New Roman"/>
          <w:bCs/>
          <w:sz w:val="24"/>
          <w:szCs w:val="24"/>
        </w:rPr>
        <w:t xml:space="preserve"> BO, </w:t>
      </w:r>
      <w:proofErr w:type="spellStart"/>
      <w:r w:rsidRPr="00741918">
        <w:rPr>
          <w:rFonts w:ascii="Times New Roman" w:eastAsia="Times New Roman" w:hAnsi="Times New Roman" w:cs="Times New Roman"/>
          <w:bCs/>
          <w:sz w:val="24"/>
          <w:szCs w:val="24"/>
        </w:rPr>
        <w:t>Bjoro</w:t>
      </w:r>
      <w:proofErr w:type="spellEnd"/>
      <w:r w:rsidRPr="00741918">
        <w:rPr>
          <w:rFonts w:ascii="Times New Roman" w:eastAsia="Times New Roman" w:hAnsi="Times New Roman" w:cs="Times New Roman"/>
          <w:bCs/>
          <w:sz w:val="24"/>
          <w:szCs w:val="24"/>
        </w:rPr>
        <w:t xml:space="preserve"> T, </w:t>
      </w:r>
      <w:proofErr w:type="spellStart"/>
      <w:r w:rsidRPr="00741918">
        <w:rPr>
          <w:rFonts w:ascii="Times New Roman" w:eastAsia="Times New Roman" w:hAnsi="Times New Roman" w:cs="Times New Roman"/>
          <w:bCs/>
          <w:sz w:val="24"/>
          <w:szCs w:val="24"/>
        </w:rPr>
        <w:t>Vatten</w:t>
      </w:r>
      <w:proofErr w:type="spellEnd"/>
      <w:r w:rsidRPr="00741918">
        <w:rPr>
          <w:rFonts w:ascii="Times New Roman" w:eastAsia="Times New Roman" w:hAnsi="Times New Roman" w:cs="Times New Roman"/>
          <w:bCs/>
          <w:sz w:val="24"/>
          <w:szCs w:val="24"/>
        </w:rPr>
        <w:t xml:space="preserve"> LJ. Association of thyroid function with estimated glomerular filtration rate in a population-based study: The HUNT study. </w:t>
      </w:r>
      <w:proofErr w:type="spellStart"/>
      <w:r w:rsidRPr="00741918">
        <w:rPr>
          <w:rFonts w:ascii="Times New Roman" w:eastAsia="Times New Roman" w:hAnsi="Times New Roman" w:cs="Times New Roman"/>
          <w:bCs/>
          <w:sz w:val="24"/>
          <w:szCs w:val="24"/>
        </w:rPr>
        <w:t>Eur</w:t>
      </w:r>
      <w:proofErr w:type="spellEnd"/>
      <w:r w:rsidRPr="00741918">
        <w:rPr>
          <w:rFonts w:ascii="Times New Roman" w:eastAsia="Times New Roman" w:hAnsi="Times New Roman" w:cs="Times New Roman"/>
          <w:bCs/>
          <w:sz w:val="24"/>
          <w:szCs w:val="24"/>
        </w:rPr>
        <w:t xml:space="preserve"> J </w:t>
      </w:r>
      <w:proofErr w:type="spellStart"/>
      <w:r w:rsidRPr="00741918">
        <w:rPr>
          <w:rFonts w:ascii="Times New Roman" w:eastAsia="Times New Roman" w:hAnsi="Times New Roman" w:cs="Times New Roman"/>
          <w:bCs/>
          <w:sz w:val="24"/>
          <w:szCs w:val="24"/>
        </w:rPr>
        <w:t>Endocrinol</w:t>
      </w:r>
      <w:proofErr w:type="spellEnd"/>
      <w:r w:rsidRPr="00741918">
        <w:rPr>
          <w:rFonts w:ascii="Times New Roman" w:eastAsia="Times New Roman" w:hAnsi="Times New Roman" w:cs="Times New Roman"/>
          <w:bCs/>
          <w:sz w:val="24"/>
          <w:szCs w:val="24"/>
        </w:rPr>
        <w:t>. 2011</w:t>
      </w:r>
      <w:proofErr w:type="gramStart"/>
      <w:r w:rsidRPr="00741918">
        <w:rPr>
          <w:rFonts w:ascii="Times New Roman" w:eastAsia="Times New Roman" w:hAnsi="Times New Roman" w:cs="Times New Roman"/>
          <w:bCs/>
          <w:sz w:val="24"/>
          <w:szCs w:val="24"/>
        </w:rPr>
        <w:t>;164</w:t>
      </w:r>
      <w:proofErr w:type="gramEnd"/>
      <w:r w:rsidRPr="00741918">
        <w:rPr>
          <w:rFonts w:ascii="Times New Roman" w:eastAsia="Times New Roman" w:hAnsi="Times New Roman" w:cs="Times New Roman"/>
          <w:bCs/>
          <w:sz w:val="24"/>
          <w:szCs w:val="24"/>
        </w:rPr>
        <w:t xml:space="preserve"> (1):101–5.</w:t>
      </w:r>
    </w:p>
    <w:p w:rsidR="00BA7C8A" w:rsidRDefault="00BA7C8A" w:rsidP="0004047C">
      <w:pPr>
        <w:widowControl w:val="0"/>
        <w:spacing w:before="240" w:after="240" w:line="240" w:lineRule="auto"/>
        <w:ind w:left="720"/>
        <w:jc w:val="both"/>
        <w:rPr>
          <w:rFonts w:ascii="Times New Roman" w:eastAsia="Times New Roman" w:hAnsi="Times New Roman" w:cs="Times New Roman"/>
          <w:bCs/>
          <w:sz w:val="24"/>
          <w:szCs w:val="24"/>
        </w:rPr>
      </w:pPr>
    </w:p>
    <w:p w:rsidR="001B7D8A" w:rsidRDefault="001B7D8A" w:rsidP="0004047C">
      <w:pPr>
        <w:widowControl w:val="0"/>
        <w:spacing w:before="240" w:after="240" w:line="240" w:lineRule="auto"/>
        <w:ind w:left="720"/>
        <w:jc w:val="both"/>
        <w:rPr>
          <w:rFonts w:ascii="Times New Roman" w:eastAsia="Times New Roman" w:hAnsi="Times New Roman" w:cs="Times New Roman"/>
          <w:bCs/>
          <w:sz w:val="24"/>
          <w:szCs w:val="24"/>
        </w:rPr>
      </w:pPr>
    </w:p>
    <w:p w:rsidR="001B7D8A" w:rsidRPr="00823818" w:rsidRDefault="001B7D8A" w:rsidP="0004047C">
      <w:pPr>
        <w:widowControl w:val="0"/>
        <w:spacing w:before="240" w:after="240" w:line="240" w:lineRule="auto"/>
        <w:ind w:left="720"/>
        <w:jc w:val="both"/>
        <w:rPr>
          <w:rFonts w:ascii="Times New Roman" w:eastAsia="Times New Roman" w:hAnsi="Times New Roman" w:cs="Times New Roman"/>
          <w:bCs/>
          <w:sz w:val="24"/>
          <w:szCs w:val="24"/>
        </w:rPr>
      </w:pPr>
    </w:p>
    <w:p w:rsidR="00823818" w:rsidRDefault="00823818" w:rsidP="0004047C">
      <w:pPr>
        <w:widowControl w:val="0"/>
        <w:spacing w:before="240" w:after="240" w:line="240" w:lineRule="auto"/>
        <w:jc w:val="both"/>
        <w:rPr>
          <w:rFonts w:ascii="Times New Roman" w:eastAsia="Times New Roman" w:hAnsi="Times New Roman" w:cs="Times New Roman"/>
          <w:bCs/>
          <w:sz w:val="24"/>
          <w:szCs w:val="24"/>
          <w:lang w:val="en-US"/>
        </w:rPr>
      </w:pPr>
    </w:p>
    <w:p w:rsidR="00C910F3" w:rsidRPr="00C910F3" w:rsidRDefault="00C910F3" w:rsidP="0004047C">
      <w:pPr>
        <w:widowControl w:val="0"/>
        <w:spacing w:before="240" w:after="240" w:line="480" w:lineRule="auto"/>
        <w:jc w:val="both"/>
        <w:rPr>
          <w:rFonts w:ascii="Times New Roman" w:eastAsia="Times New Roman" w:hAnsi="Times New Roman" w:cs="Times New Roman"/>
          <w:bCs/>
          <w:sz w:val="24"/>
          <w:szCs w:val="24"/>
          <w:lang w:val="en-US"/>
        </w:rPr>
      </w:pPr>
    </w:p>
    <w:p w:rsidR="00C910F3" w:rsidRDefault="00C910F3" w:rsidP="00C910F3">
      <w:pPr>
        <w:pStyle w:val="Style2"/>
        <w:ind w:left="1418" w:firstLine="22"/>
      </w:pPr>
    </w:p>
    <w:p w:rsidR="00377D7D" w:rsidRDefault="00377D7D" w:rsidP="00377D7D"/>
    <w:sectPr w:rsidR="00377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04AA0"/>
    <w:multiLevelType w:val="hybridMultilevel"/>
    <w:tmpl w:val="1DFA8546"/>
    <w:lvl w:ilvl="0" w:tplc="31B2E7CE">
      <w:start w:val="1"/>
      <w:numFmt w:val="bullet"/>
      <w:lvlText w:val=""/>
      <w:lvlJc w:val="left"/>
      <w:pPr>
        <w:ind w:left="720" w:hanging="360"/>
      </w:pPr>
      <w:rPr>
        <w:rFonts w:ascii="Wingdings" w:hAnsi="Wingdings" w:hint="default"/>
        <w:spacing w:val="0"/>
        <w:w w:val="100"/>
        <w:position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7749B"/>
    <w:multiLevelType w:val="hybridMultilevel"/>
    <w:tmpl w:val="600C2BAC"/>
    <w:lvl w:ilvl="0" w:tplc="EB8E520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B4736B1"/>
    <w:multiLevelType w:val="hybridMultilevel"/>
    <w:tmpl w:val="E16EEA58"/>
    <w:lvl w:ilvl="0" w:tplc="53A41BE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4CD07B2"/>
    <w:multiLevelType w:val="hybridMultilevel"/>
    <w:tmpl w:val="B8C86CA6"/>
    <w:lvl w:ilvl="0" w:tplc="F8E649EE">
      <w:start w:val="1"/>
      <w:numFmt w:val="bullet"/>
      <w:lvlText w:val=""/>
      <w:lvlJc w:val="left"/>
      <w:pPr>
        <w:ind w:left="720" w:hanging="360"/>
      </w:pPr>
      <w:rPr>
        <w:rFonts w:ascii="Wingdings" w:hAnsi="Wingdings" w:hint="default"/>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BEC6138"/>
    <w:multiLevelType w:val="hybridMultilevel"/>
    <w:tmpl w:val="73A27DB6"/>
    <w:lvl w:ilvl="0" w:tplc="C026F26A">
      <w:start w:val="1"/>
      <w:numFmt w:val="decimal"/>
      <w:lvlText w:val="(%1)"/>
      <w:lvlJc w:val="left"/>
      <w:pPr>
        <w:ind w:left="720" w:hanging="360"/>
      </w:pPr>
      <w:rPr>
        <w:rFonts w:ascii="Times New Roman" w:hAnsi="Times New Roman" w:hint="default"/>
        <w:b w:val="0"/>
        <w:i w:val="0"/>
        <w:spacing w:val="0"/>
        <w:w w:val="100"/>
        <w:position w:val="0"/>
        <w:sz w:val="22"/>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D"/>
    <w:rsid w:val="00021595"/>
    <w:rsid w:val="0004047C"/>
    <w:rsid w:val="000B3965"/>
    <w:rsid w:val="001307C9"/>
    <w:rsid w:val="001B638A"/>
    <w:rsid w:val="001B7D8A"/>
    <w:rsid w:val="001F35F3"/>
    <w:rsid w:val="0023120D"/>
    <w:rsid w:val="002C07D3"/>
    <w:rsid w:val="00362696"/>
    <w:rsid w:val="003770F6"/>
    <w:rsid w:val="00377D7D"/>
    <w:rsid w:val="003920D6"/>
    <w:rsid w:val="00444D66"/>
    <w:rsid w:val="004503F2"/>
    <w:rsid w:val="00465BD9"/>
    <w:rsid w:val="004E5C45"/>
    <w:rsid w:val="00507D2E"/>
    <w:rsid w:val="005827DF"/>
    <w:rsid w:val="006B11F2"/>
    <w:rsid w:val="006F42B4"/>
    <w:rsid w:val="00705E91"/>
    <w:rsid w:val="00712A24"/>
    <w:rsid w:val="00741918"/>
    <w:rsid w:val="00804158"/>
    <w:rsid w:val="00804D0B"/>
    <w:rsid w:val="00810EF0"/>
    <w:rsid w:val="00823818"/>
    <w:rsid w:val="008611A9"/>
    <w:rsid w:val="00872B17"/>
    <w:rsid w:val="008B4B15"/>
    <w:rsid w:val="008E41CA"/>
    <w:rsid w:val="0096651A"/>
    <w:rsid w:val="009D5C8B"/>
    <w:rsid w:val="009E1F31"/>
    <w:rsid w:val="00A3414A"/>
    <w:rsid w:val="00AD6E34"/>
    <w:rsid w:val="00AE369E"/>
    <w:rsid w:val="00AE39EB"/>
    <w:rsid w:val="00B92890"/>
    <w:rsid w:val="00B95F7B"/>
    <w:rsid w:val="00BA7C8A"/>
    <w:rsid w:val="00C910F3"/>
    <w:rsid w:val="00CC2155"/>
    <w:rsid w:val="00CD350B"/>
    <w:rsid w:val="00D75133"/>
    <w:rsid w:val="00D76CEC"/>
    <w:rsid w:val="00D900F1"/>
    <w:rsid w:val="00DF1E72"/>
    <w:rsid w:val="00E03591"/>
    <w:rsid w:val="00E2140D"/>
    <w:rsid w:val="00E34E9D"/>
    <w:rsid w:val="00E55B4C"/>
    <w:rsid w:val="00F17184"/>
    <w:rsid w:val="00F97C60"/>
    <w:rsid w:val="00FB29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377D7D"/>
    <w:pPr>
      <w:widowControl w:val="0"/>
      <w:spacing w:before="240" w:after="240" w:line="480" w:lineRule="auto"/>
      <w:ind w:firstLine="1440"/>
      <w:jc w:val="both"/>
    </w:pPr>
    <w:rPr>
      <w:rFonts w:ascii="Times New Roman" w:eastAsia="Times New Roman" w:hAnsi="Times New Roman" w:cs="Times New Roman"/>
      <w:bCs/>
      <w:sz w:val="24"/>
      <w:szCs w:val="24"/>
      <w:lang w:val="en-US"/>
    </w:rPr>
  </w:style>
  <w:style w:type="character" w:customStyle="1" w:styleId="Style2Char">
    <w:name w:val="Style2 Char"/>
    <w:link w:val="Style2"/>
    <w:rsid w:val="00377D7D"/>
    <w:rPr>
      <w:rFonts w:ascii="Times New Roman" w:eastAsia="Times New Roman" w:hAnsi="Times New Roman" w:cs="Times New Roman"/>
      <w:bCs/>
      <w:sz w:val="24"/>
      <w:szCs w:val="24"/>
      <w:lang w:val="en-US"/>
    </w:rPr>
  </w:style>
  <w:style w:type="paragraph" w:customStyle="1" w:styleId="Style9">
    <w:name w:val="Style9"/>
    <w:basedOn w:val="Style2"/>
    <w:link w:val="Style9Char"/>
    <w:qFormat/>
    <w:rsid w:val="00377D7D"/>
  </w:style>
  <w:style w:type="character" w:customStyle="1" w:styleId="Style9Char">
    <w:name w:val="Style9 Char"/>
    <w:basedOn w:val="Style2Char"/>
    <w:link w:val="Style9"/>
    <w:rsid w:val="00377D7D"/>
    <w:rPr>
      <w:rFonts w:ascii="Times New Roman" w:eastAsia="Times New Roman" w:hAnsi="Times New Roman" w:cs="Times New Roman"/>
      <w:bCs/>
      <w:sz w:val="24"/>
      <w:szCs w:val="24"/>
      <w:lang w:val="en-US"/>
    </w:rPr>
  </w:style>
  <w:style w:type="paragraph" w:styleId="BalloonText">
    <w:name w:val="Balloon Text"/>
    <w:basedOn w:val="Normal"/>
    <w:link w:val="BalloonTextChar"/>
    <w:uiPriority w:val="99"/>
    <w:semiHidden/>
    <w:unhideWhenUsed/>
    <w:rsid w:val="0096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1A"/>
    <w:rPr>
      <w:rFonts w:ascii="Tahoma" w:hAnsi="Tahoma" w:cs="Tahoma"/>
      <w:sz w:val="16"/>
      <w:szCs w:val="16"/>
    </w:rPr>
  </w:style>
  <w:style w:type="paragraph" w:styleId="ListParagraph">
    <w:name w:val="List Paragraph"/>
    <w:basedOn w:val="Normal"/>
    <w:uiPriority w:val="34"/>
    <w:qFormat/>
    <w:rsid w:val="004E5C45"/>
    <w:pPr>
      <w:ind w:left="720"/>
      <w:contextualSpacing/>
    </w:pPr>
  </w:style>
  <w:style w:type="character" w:styleId="Hyperlink">
    <w:name w:val="Hyperlink"/>
    <w:basedOn w:val="DefaultParagraphFont"/>
    <w:uiPriority w:val="99"/>
    <w:unhideWhenUsed/>
    <w:rsid w:val="001B7D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377D7D"/>
    <w:pPr>
      <w:widowControl w:val="0"/>
      <w:spacing w:before="240" w:after="240" w:line="480" w:lineRule="auto"/>
      <w:ind w:firstLine="1440"/>
      <w:jc w:val="both"/>
    </w:pPr>
    <w:rPr>
      <w:rFonts w:ascii="Times New Roman" w:eastAsia="Times New Roman" w:hAnsi="Times New Roman" w:cs="Times New Roman"/>
      <w:bCs/>
      <w:sz w:val="24"/>
      <w:szCs w:val="24"/>
      <w:lang w:val="en-US"/>
    </w:rPr>
  </w:style>
  <w:style w:type="character" w:customStyle="1" w:styleId="Style2Char">
    <w:name w:val="Style2 Char"/>
    <w:link w:val="Style2"/>
    <w:rsid w:val="00377D7D"/>
    <w:rPr>
      <w:rFonts w:ascii="Times New Roman" w:eastAsia="Times New Roman" w:hAnsi="Times New Roman" w:cs="Times New Roman"/>
      <w:bCs/>
      <w:sz w:val="24"/>
      <w:szCs w:val="24"/>
      <w:lang w:val="en-US"/>
    </w:rPr>
  </w:style>
  <w:style w:type="paragraph" w:customStyle="1" w:styleId="Style9">
    <w:name w:val="Style9"/>
    <w:basedOn w:val="Style2"/>
    <w:link w:val="Style9Char"/>
    <w:qFormat/>
    <w:rsid w:val="00377D7D"/>
  </w:style>
  <w:style w:type="character" w:customStyle="1" w:styleId="Style9Char">
    <w:name w:val="Style9 Char"/>
    <w:basedOn w:val="Style2Char"/>
    <w:link w:val="Style9"/>
    <w:rsid w:val="00377D7D"/>
    <w:rPr>
      <w:rFonts w:ascii="Times New Roman" w:eastAsia="Times New Roman" w:hAnsi="Times New Roman" w:cs="Times New Roman"/>
      <w:bCs/>
      <w:sz w:val="24"/>
      <w:szCs w:val="24"/>
      <w:lang w:val="en-US"/>
    </w:rPr>
  </w:style>
  <w:style w:type="paragraph" w:styleId="BalloonText">
    <w:name w:val="Balloon Text"/>
    <w:basedOn w:val="Normal"/>
    <w:link w:val="BalloonTextChar"/>
    <w:uiPriority w:val="99"/>
    <w:semiHidden/>
    <w:unhideWhenUsed/>
    <w:rsid w:val="0096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1A"/>
    <w:rPr>
      <w:rFonts w:ascii="Tahoma" w:hAnsi="Tahoma" w:cs="Tahoma"/>
      <w:sz w:val="16"/>
      <w:szCs w:val="16"/>
    </w:rPr>
  </w:style>
  <w:style w:type="paragraph" w:styleId="ListParagraph">
    <w:name w:val="List Paragraph"/>
    <w:basedOn w:val="Normal"/>
    <w:uiPriority w:val="34"/>
    <w:qFormat/>
    <w:rsid w:val="004E5C45"/>
    <w:pPr>
      <w:ind w:left="720"/>
      <w:contextualSpacing/>
    </w:pPr>
  </w:style>
  <w:style w:type="character" w:styleId="Hyperlink">
    <w:name w:val="Hyperlink"/>
    <w:basedOn w:val="DefaultParagraphFont"/>
    <w:uiPriority w:val="99"/>
    <w:unhideWhenUsed/>
    <w:rsid w:val="001B7D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16/j.krcp.2016.06.003" TargetMode="Externa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Times New Roman" pitchFamily="18" charset="0"/>
                <a:ea typeface="+mn-ea"/>
                <a:cs typeface="Times New Roman" pitchFamily="18" charset="0"/>
              </a:defRPr>
            </a:pPr>
            <a:r>
              <a:rPr lang="en-US" sz="1100"/>
              <a:t>Figure–1</a:t>
            </a:r>
          </a:p>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Times New Roman" pitchFamily="18" charset="0"/>
                <a:ea typeface="+mn-ea"/>
                <a:cs typeface="Times New Roman" pitchFamily="18" charset="0"/>
              </a:defRPr>
            </a:pPr>
            <a:r>
              <a:rPr lang="en-US" sz="1100" b="1" i="0" u="none" strike="noStrike" baseline="0">
                <a:effectLst/>
              </a:rPr>
              <a:t>THYROID DYSFUNCTION</a:t>
            </a:r>
            <a:endParaRPr lang="en-IN" sz="1100" b="1">
              <a:effectLst/>
            </a:endParaRPr>
          </a:p>
        </c:rich>
      </c:tx>
      <c:overlay val="1"/>
    </c:title>
    <c:autoTitleDeleted val="0"/>
    <c:view3D>
      <c:rotX val="30"/>
      <c:rotY val="180"/>
      <c:rAngAx val="0"/>
      <c:perspective val="30"/>
    </c:view3D>
    <c:floor>
      <c:thickness val="0"/>
    </c:floor>
    <c:sideWall>
      <c:thickness val="0"/>
    </c:sideWall>
    <c:backWall>
      <c:thickness val="0"/>
    </c:backWall>
    <c:plotArea>
      <c:layout>
        <c:manualLayout>
          <c:layoutTarget val="inner"/>
          <c:xMode val="edge"/>
          <c:yMode val="edge"/>
          <c:x val="3.5392566873676069E-2"/>
          <c:y val="0.14540897631709696"/>
          <c:w val="0.9646073996084038"/>
          <c:h val="0.67770857110014526"/>
        </c:manualLayout>
      </c:layout>
      <c:pie3DChart>
        <c:varyColors val="1"/>
        <c:ser>
          <c:idx val="0"/>
          <c:order val="0"/>
          <c:tx>
            <c:strRef>
              <c:f>Sheet1!$B$320</c:f>
              <c:strCache>
                <c:ptCount val="1"/>
                <c:pt idx="0">
                  <c:v>NUMBER</c:v>
                </c:pt>
              </c:strCache>
            </c:strRef>
          </c:tx>
          <c:spPr>
            <a:solidFill>
              <a:srgbClr val="0070C0"/>
            </a:solidFill>
            <a:scene3d>
              <a:camera prst="orthographicFront"/>
              <a:lightRig rig="threePt" dir="t"/>
            </a:scene3d>
            <a:sp3d>
              <a:bevelT w="114300" prst="artDeco"/>
            </a:sp3d>
          </c:spPr>
          <c:explosion val="3"/>
          <c:dPt>
            <c:idx val="0"/>
            <c:bubble3D val="0"/>
          </c:dPt>
          <c:dPt>
            <c:idx val="1"/>
            <c:bubble3D val="0"/>
            <c:explosion val="2"/>
            <c:spPr>
              <a:solidFill>
                <a:srgbClr val="FFFF00"/>
              </a:solidFill>
              <a:scene3d>
                <a:camera prst="orthographicFront"/>
                <a:lightRig rig="threePt" dir="t"/>
              </a:scene3d>
              <a:sp3d>
                <a:bevelT w="114300" prst="artDeco"/>
              </a:sp3d>
            </c:spPr>
          </c:dPt>
          <c:dPt>
            <c:idx val="2"/>
            <c:bubble3D val="0"/>
            <c:spPr>
              <a:solidFill>
                <a:srgbClr val="FF0000"/>
              </a:solidFill>
              <a:scene3d>
                <a:camera prst="orthographicFront"/>
                <a:lightRig rig="threePt" dir="t"/>
              </a:scene3d>
              <a:sp3d>
                <a:bevelT w="114300" prst="artDeco"/>
              </a:sp3d>
            </c:spPr>
          </c:dPt>
          <c:dLbls>
            <c:dLbl>
              <c:idx val="0"/>
              <c:tx>
                <c:rich>
                  <a:bodyPr/>
                  <a:lstStyle/>
                  <a:p>
                    <a:r>
                      <a:rPr lang="en-US"/>
                      <a:t>Euthyroid</a:t>
                    </a:r>
                    <a:r>
                      <a:rPr lang="en-US" sz="1000" b="0" i="0" u="none" strike="noStrike" kern="1200" baseline="0">
                        <a:solidFill>
                          <a:sysClr val="windowText" lastClr="000000"/>
                        </a:solidFill>
                        <a:latin typeface="Times New Roman" pitchFamily="18" charset="0"/>
                        <a:ea typeface="+mn-ea"/>
                        <a:cs typeface="Times New Roman" pitchFamily="18" charset="0"/>
                      </a:rPr>
                      <a:t>, </a:t>
                    </a:r>
                    <a:endParaRPr lang="en-US"/>
                  </a:p>
                  <a:p>
                    <a:r>
                      <a:rPr lang="en-US"/>
                      <a:t>117</a:t>
                    </a:r>
                    <a:r>
                      <a:rPr lang="en-US" sz="1000" b="0" i="0" u="none" strike="noStrike" kern="1200" baseline="0">
                        <a:solidFill>
                          <a:sysClr val="windowText" lastClr="000000"/>
                        </a:solidFill>
                        <a:latin typeface="Times New Roman" pitchFamily="18" charset="0"/>
                        <a:ea typeface="+mn-ea"/>
                        <a:cs typeface="Times New Roman" pitchFamily="18" charset="0"/>
                      </a:rPr>
                      <a:t> (</a:t>
                    </a:r>
                    <a:r>
                      <a:rPr lang="en-US"/>
                      <a:t>68.02)%</a:t>
                    </a:r>
                  </a:p>
                </c:rich>
              </c:tx>
              <c:dLblPos val="outEnd"/>
              <c:showLegendKey val="0"/>
              <c:showVal val="1"/>
              <c:showCatName val="1"/>
              <c:showSerName val="0"/>
              <c:showPercent val="1"/>
              <c:showBubbleSize val="0"/>
            </c:dLbl>
            <c:dLbl>
              <c:idx val="1"/>
              <c:tx>
                <c:rich>
                  <a:bodyPr/>
                  <a:lstStyle/>
                  <a:p>
                    <a:r>
                      <a:rPr lang="en-US"/>
                      <a:t>Subclinical Hypothyroid</a:t>
                    </a:r>
                    <a:r>
                      <a:rPr lang="en-US" sz="1000" b="0" i="0" u="none" strike="noStrike" kern="1200" baseline="0">
                        <a:solidFill>
                          <a:sysClr val="windowText" lastClr="000000"/>
                        </a:solidFill>
                        <a:latin typeface="Times New Roman" pitchFamily="18" charset="0"/>
                        <a:ea typeface="+mn-ea"/>
                        <a:cs typeface="Times New Roman" pitchFamily="18" charset="0"/>
                      </a:rPr>
                      <a:t>, </a:t>
                    </a:r>
                    <a:r>
                      <a:rPr lang="en-US"/>
                      <a:t>44</a:t>
                    </a:r>
                    <a:r>
                      <a:rPr lang="en-US" sz="1000" b="0" i="0" u="none" strike="noStrike" kern="1200" baseline="0">
                        <a:solidFill>
                          <a:sysClr val="windowText" lastClr="000000"/>
                        </a:solidFill>
                        <a:latin typeface="Times New Roman" pitchFamily="18" charset="0"/>
                        <a:ea typeface="+mn-ea"/>
                        <a:cs typeface="Times New Roman" pitchFamily="18" charset="0"/>
                      </a:rPr>
                      <a:t> (</a:t>
                    </a:r>
                    <a:r>
                      <a:rPr lang="en-US"/>
                      <a:t>25.58%)</a:t>
                    </a:r>
                  </a:p>
                </c:rich>
              </c:tx>
              <c:dLblPos val="outEnd"/>
              <c:showLegendKey val="0"/>
              <c:showVal val="1"/>
              <c:showCatName val="1"/>
              <c:showSerName val="0"/>
              <c:showPercent val="1"/>
              <c:showBubbleSize val="0"/>
            </c:dLbl>
            <c:dLbl>
              <c:idx val="2"/>
              <c:layout>
                <c:manualLayout>
                  <c:x val="-8.1754951085659749E-2"/>
                  <c:y val="-0.10370777393832965"/>
                </c:manualLayout>
              </c:layout>
              <c:tx>
                <c:rich>
                  <a:bodyPr/>
                  <a:lstStyle/>
                  <a:p>
                    <a:r>
                      <a:rPr lang="en-US"/>
                      <a:t>Overt Hypothyroid</a:t>
                    </a:r>
                    <a:r>
                      <a:rPr lang="en-US" sz="1000" b="0" i="0" u="none" strike="noStrike" kern="1200" baseline="0">
                        <a:solidFill>
                          <a:sysClr val="windowText" lastClr="000000"/>
                        </a:solidFill>
                        <a:latin typeface="Times New Roman" pitchFamily="18" charset="0"/>
                        <a:ea typeface="+mn-ea"/>
                        <a:cs typeface="Times New Roman" pitchFamily="18" charset="0"/>
                      </a:rPr>
                      <a:t>, </a:t>
                    </a:r>
                    <a:endParaRPr lang="en-US"/>
                  </a:p>
                  <a:p>
                    <a:r>
                      <a:rPr lang="en-US"/>
                      <a:t>11</a:t>
                    </a:r>
                    <a:r>
                      <a:rPr lang="en-US" sz="1000" b="0" i="0" u="none" strike="noStrike" kern="1200" baseline="0">
                        <a:solidFill>
                          <a:sysClr val="windowText" lastClr="000000"/>
                        </a:solidFill>
                        <a:latin typeface="Times New Roman" pitchFamily="18" charset="0"/>
                        <a:ea typeface="+mn-ea"/>
                        <a:cs typeface="Times New Roman" pitchFamily="18" charset="0"/>
                      </a:rPr>
                      <a:t> (</a:t>
                    </a:r>
                    <a:r>
                      <a:rPr lang="en-US"/>
                      <a:t>6.4%)</a:t>
                    </a:r>
                  </a:p>
                </c:rich>
              </c:tx>
              <c:dLblPos val="bestFit"/>
              <c:showLegendKey val="0"/>
              <c:showVal val="1"/>
              <c:showCatName val="1"/>
              <c:showSerName val="0"/>
              <c:showPercent val="1"/>
              <c:showBubbleSize val="0"/>
            </c:dLbl>
            <c:dLblPos val="outEnd"/>
            <c:showLegendKey val="0"/>
            <c:showVal val="1"/>
            <c:showCatName val="1"/>
            <c:showSerName val="0"/>
            <c:showPercent val="1"/>
            <c:showBubbleSize val="0"/>
            <c:showLeaderLines val="0"/>
          </c:dLbls>
          <c:cat>
            <c:strRef>
              <c:f>Sheet1!$A$321:$A$323</c:f>
              <c:strCache>
                <c:ptCount val="3"/>
                <c:pt idx="0">
                  <c:v>Euthyroid</c:v>
                </c:pt>
                <c:pt idx="1">
                  <c:v>Subclinical Hypothyroid</c:v>
                </c:pt>
                <c:pt idx="2">
                  <c:v>Overt Hypothyroid</c:v>
                </c:pt>
              </c:strCache>
            </c:strRef>
          </c:cat>
          <c:val>
            <c:numRef>
              <c:f>Sheet1!$B$321:$B$323</c:f>
              <c:numCache>
                <c:formatCode>General</c:formatCode>
                <c:ptCount val="3"/>
                <c:pt idx="0">
                  <c:v>117</c:v>
                </c:pt>
                <c:pt idx="1">
                  <c:v>44</c:v>
                </c:pt>
                <c:pt idx="2">
                  <c:v>11</c:v>
                </c:pt>
              </c:numCache>
            </c:numRef>
          </c:val>
        </c:ser>
        <c:dLbls>
          <c:showLegendKey val="0"/>
          <c:showVal val="1"/>
          <c:showCatName val="0"/>
          <c:showSerName val="0"/>
          <c:showPercent val="0"/>
          <c:showBubbleSize val="0"/>
          <c:showLeaderLines val="0"/>
        </c:dLbls>
      </c:pie3DChart>
      <c:spPr>
        <a:noFill/>
        <a:ln w="25400">
          <a:noFill/>
        </a:ln>
      </c:spPr>
    </c:plotArea>
    <c:legend>
      <c:legendPos val="b"/>
      <c:overlay val="0"/>
      <c:spPr>
        <a:solidFill>
          <a:schemeClr val="lt1"/>
        </a:solidFill>
        <a:ln w="25400" cap="flat" cmpd="sng" algn="ctr">
          <a:noFill/>
          <a:prstDash val="solid"/>
        </a:ln>
        <a:effectLst/>
      </c:spPr>
      <c:txPr>
        <a:bodyPr/>
        <a:lstStyle/>
        <a:p>
          <a:pPr rtl="0">
            <a:defRPr sz="1100"/>
          </a:pPr>
          <a:endParaRPr lang="en-US"/>
        </a:p>
      </c:txPr>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sz="10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100"/>
            </a:pPr>
            <a:r>
              <a:rPr lang="en-US" sz="1100" b="1" i="0" baseline="0">
                <a:effectLst/>
              </a:rPr>
              <a:t>Figure –2</a:t>
            </a:r>
            <a:br>
              <a:rPr lang="en-US" sz="1100" b="1" i="0" baseline="0">
                <a:effectLst/>
              </a:rPr>
            </a:br>
            <a:r>
              <a:rPr lang="en-US" sz="1100" b="1" i="0" u="none" strike="noStrike" baseline="0">
                <a:effectLst/>
              </a:rPr>
              <a:t>CORRELATION BETWEEN eGFR AND T3</a:t>
            </a:r>
            <a:endParaRPr lang="en-IN" sz="1100">
              <a:effectLst/>
            </a:endParaRPr>
          </a:p>
        </c:rich>
      </c:tx>
      <c:layout>
        <c:manualLayout>
          <c:xMode val="edge"/>
          <c:yMode val="edge"/>
          <c:x val="0.22873317398414894"/>
          <c:y val="2.5569997869166843E-2"/>
        </c:manualLayout>
      </c:layout>
      <c:overlay val="0"/>
    </c:title>
    <c:autoTitleDeleted val="0"/>
    <c:plotArea>
      <c:layout/>
      <c:scatterChart>
        <c:scatterStyle val="lineMarker"/>
        <c:varyColors val="0"/>
        <c:ser>
          <c:idx val="0"/>
          <c:order val="0"/>
          <c:tx>
            <c:strRef>
              <c:f>Master!$BD$3</c:f>
              <c:strCache>
                <c:ptCount val="1"/>
                <c:pt idx="0">
                  <c:v>T3</c:v>
                </c:pt>
              </c:strCache>
            </c:strRef>
          </c:tx>
          <c:spPr>
            <a:ln w="28575">
              <a:noFill/>
            </a:ln>
          </c:spPr>
          <c:trendline>
            <c:trendlineType val="linear"/>
            <c:dispRSqr val="0"/>
            <c:dispEq val="0"/>
          </c:trendline>
          <c:xVal>
            <c:numRef>
              <c:f>Master!$BC$4:$BC$175</c:f>
              <c:numCache>
                <c:formatCode>General</c:formatCode>
                <c:ptCount val="172"/>
                <c:pt idx="0">
                  <c:v>63</c:v>
                </c:pt>
                <c:pt idx="1">
                  <c:v>33</c:v>
                </c:pt>
                <c:pt idx="2">
                  <c:v>5</c:v>
                </c:pt>
                <c:pt idx="3">
                  <c:v>11</c:v>
                </c:pt>
                <c:pt idx="4">
                  <c:v>13</c:v>
                </c:pt>
                <c:pt idx="5">
                  <c:v>5</c:v>
                </c:pt>
                <c:pt idx="6">
                  <c:v>5</c:v>
                </c:pt>
                <c:pt idx="7">
                  <c:v>5</c:v>
                </c:pt>
                <c:pt idx="8">
                  <c:v>6</c:v>
                </c:pt>
                <c:pt idx="9">
                  <c:v>20</c:v>
                </c:pt>
                <c:pt idx="10">
                  <c:v>5</c:v>
                </c:pt>
                <c:pt idx="11">
                  <c:v>7</c:v>
                </c:pt>
                <c:pt idx="12">
                  <c:v>11</c:v>
                </c:pt>
                <c:pt idx="13">
                  <c:v>3</c:v>
                </c:pt>
                <c:pt idx="14">
                  <c:v>17</c:v>
                </c:pt>
                <c:pt idx="15">
                  <c:v>5</c:v>
                </c:pt>
                <c:pt idx="16">
                  <c:v>5</c:v>
                </c:pt>
                <c:pt idx="17">
                  <c:v>10</c:v>
                </c:pt>
                <c:pt idx="18">
                  <c:v>9</c:v>
                </c:pt>
                <c:pt idx="19">
                  <c:v>32</c:v>
                </c:pt>
                <c:pt idx="20">
                  <c:v>5</c:v>
                </c:pt>
                <c:pt idx="21">
                  <c:v>12</c:v>
                </c:pt>
                <c:pt idx="22">
                  <c:v>6</c:v>
                </c:pt>
                <c:pt idx="23">
                  <c:v>9</c:v>
                </c:pt>
                <c:pt idx="24">
                  <c:v>27</c:v>
                </c:pt>
                <c:pt idx="25">
                  <c:v>48</c:v>
                </c:pt>
                <c:pt idx="26">
                  <c:v>42</c:v>
                </c:pt>
                <c:pt idx="27">
                  <c:v>29</c:v>
                </c:pt>
                <c:pt idx="28">
                  <c:v>21</c:v>
                </c:pt>
                <c:pt idx="29">
                  <c:v>16</c:v>
                </c:pt>
                <c:pt idx="30">
                  <c:v>11</c:v>
                </c:pt>
                <c:pt idx="31">
                  <c:v>6</c:v>
                </c:pt>
                <c:pt idx="32">
                  <c:v>7</c:v>
                </c:pt>
                <c:pt idx="33">
                  <c:v>17</c:v>
                </c:pt>
                <c:pt idx="34">
                  <c:v>12</c:v>
                </c:pt>
                <c:pt idx="35">
                  <c:v>6</c:v>
                </c:pt>
                <c:pt idx="36">
                  <c:v>26</c:v>
                </c:pt>
                <c:pt idx="37">
                  <c:v>11</c:v>
                </c:pt>
                <c:pt idx="38">
                  <c:v>27</c:v>
                </c:pt>
                <c:pt idx="39">
                  <c:v>18</c:v>
                </c:pt>
                <c:pt idx="40">
                  <c:v>4</c:v>
                </c:pt>
                <c:pt idx="41">
                  <c:v>2</c:v>
                </c:pt>
                <c:pt idx="42">
                  <c:v>9</c:v>
                </c:pt>
                <c:pt idx="43">
                  <c:v>5</c:v>
                </c:pt>
                <c:pt idx="44">
                  <c:v>7</c:v>
                </c:pt>
                <c:pt idx="45">
                  <c:v>11</c:v>
                </c:pt>
                <c:pt idx="46">
                  <c:v>3</c:v>
                </c:pt>
                <c:pt idx="47">
                  <c:v>17</c:v>
                </c:pt>
                <c:pt idx="48">
                  <c:v>5</c:v>
                </c:pt>
                <c:pt idx="49">
                  <c:v>5</c:v>
                </c:pt>
                <c:pt idx="50">
                  <c:v>10</c:v>
                </c:pt>
                <c:pt idx="51">
                  <c:v>9</c:v>
                </c:pt>
                <c:pt idx="52">
                  <c:v>32</c:v>
                </c:pt>
                <c:pt idx="53">
                  <c:v>12</c:v>
                </c:pt>
                <c:pt idx="54">
                  <c:v>11</c:v>
                </c:pt>
                <c:pt idx="55">
                  <c:v>66</c:v>
                </c:pt>
                <c:pt idx="56">
                  <c:v>20</c:v>
                </c:pt>
                <c:pt idx="57">
                  <c:v>5</c:v>
                </c:pt>
                <c:pt idx="58">
                  <c:v>11</c:v>
                </c:pt>
                <c:pt idx="59">
                  <c:v>13</c:v>
                </c:pt>
                <c:pt idx="60">
                  <c:v>10</c:v>
                </c:pt>
                <c:pt idx="61">
                  <c:v>9</c:v>
                </c:pt>
                <c:pt idx="62">
                  <c:v>32</c:v>
                </c:pt>
                <c:pt idx="63">
                  <c:v>5</c:v>
                </c:pt>
                <c:pt idx="64">
                  <c:v>14</c:v>
                </c:pt>
                <c:pt idx="65">
                  <c:v>12</c:v>
                </c:pt>
                <c:pt idx="66">
                  <c:v>20</c:v>
                </c:pt>
                <c:pt idx="67">
                  <c:v>5</c:v>
                </c:pt>
                <c:pt idx="68">
                  <c:v>11</c:v>
                </c:pt>
                <c:pt idx="69">
                  <c:v>13</c:v>
                </c:pt>
                <c:pt idx="70">
                  <c:v>11</c:v>
                </c:pt>
                <c:pt idx="71">
                  <c:v>12</c:v>
                </c:pt>
                <c:pt idx="72">
                  <c:v>20</c:v>
                </c:pt>
                <c:pt idx="73">
                  <c:v>5</c:v>
                </c:pt>
                <c:pt idx="74">
                  <c:v>11</c:v>
                </c:pt>
                <c:pt idx="75">
                  <c:v>10</c:v>
                </c:pt>
                <c:pt idx="76">
                  <c:v>9</c:v>
                </c:pt>
                <c:pt idx="77">
                  <c:v>32</c:v>
                </c:pt>
                <c:pt idx="78">
                  <c:v>5</c:v>
                </c:pt>
                <c:pt idx="79">
                  <c:v>12</c:v>
                </c:pt>
                <c:pt idx="80">
                  <c:v>6</c:v>
                </c:pt>
                <c:pt idx="81">
                  <c:v>9</c:v>
                </c:pt>
                <c:pt idx="82">
                  <c:v>16</c:v>
                </c:pt>
                <c:pt idx="83">
                  <c:v>11</c:v>
                </c:pt>
                <c:pt idx="84">
                  <c:v>12</c:v>
                </c:pt>
                <c:pt idx="85">
                  <c:v>7</c:v>
                </c:pt>
                <c:pt idx="86">
                  <c:v>12</c:v>
                </c:pt>
                <c:pt idx="87">
                  <c:v>11</c:v>
                </c:pt>
                <c:pt idx="88">
                  <c:v>12</c:v>
                </c:pt>
                <c:pt idx="89">
                  <c:v>20</c:v>
                </c:pt>
                <c:pt idx="90">
                  <c:v>12</c:v>
                </c:pt>
                <c:pt idx="91">
                  <c:v>11</c:v>
                </c:pt>
                <c:pt idx="92">
                  <c:v>2</c:v>
                </c:pt>
                <c:pt idx="93">
                  <c:v>9</c:v>
                </c:pt>
                <c:pt idx="94">
                  <c:v>5</c:v>
                </c:pt>
                <c:pt idx="95">
                  <c:v>7</c:v>
                </c:pt>
                <c:pt idx="96">
                  <c:v>11</c:v>
                </c:pt>
                <c:pt idx="97">
                  <c:v>3</c:v>
                </c:pt>
                <c:pt idx="98">
                  <c:v>5</c:v>
                </c:pt>
                <c:pt idx="99">
                  <c:v>7</c:v>
                </c:pt>
                <c:pt idx="100">
                  <c:v>11</c:v>
                </c:pt>
                <c:pt idx="101">
                  <c:v>3</c:v>
                </c:pt>
                <c:pt idx="102">
                  <c:v>17</c:v>
                </c:pt>
                <c:pt idx="103">
                  <c:v>5</c:v>
                </c:pt>
                <c:pt idx="104">
                  <c:v>5</c:v>
                </c:pt>
                <c:pt idx="105">
                  <c:v>10</c:v>
                </c:pt>
                <c:pt idx="106">
                  <c:v>9</c:v>
                </c:pt>
                <c:pt idx="107">
                  <c:v>32</c:v>
                </c:pt>
                <c:pt idx="108">
                  <c:v>5</c:v>
                </c:pt>
                <c:pt idx="109">
                  <c:v>12</c:v>
                </c:pt>
                <c:pt idx="110">
                  <c:v>6</c:v>
                </c:pt>
                <c:pt idx="111">
                  <c:v>20</c:v>
                </c:pt>
                <c:pt idx="112">
                  <c:v>5</c:v>
                </c:pt>
                <c:pt idx="113">
                  <c:v>11</c:v>
                </c:pt>
                <c:pt idx="114">
                  <c:v>13</c:v>
                </c:pt>
                <c:pt idx="115">
                  <c:v>10</c:v>
                </c:pt>
                <c:pt idx="116">
                  <c:v>9</c:v>
                </c:pt>
                <c:pt idx="117">
                  <c:v>32</c:v>
                </c:pt>
                <c:pt idx="118">
                  <c:v>5</c:v>
                </c:pt>
                <c:pt idx="119">
                  <c:v>6</c:v>
                </c:pt>
                <c:pt idx="120">
                  <c:v>9</c:v>
                </c:pt>
                <c:pt idx="121">
                  <c:v>16</c:v>
                </c:pt>
                <c:pt idx="122">
                  <c:v>12</c:v>
                </c:pt>
                <c:pt idx="123">
                  <c:v>5</c:v>
                </c:pt>
                <c:pt idx="124">
                  <c:v>10</c:v>
                </c:pt>
                <c:pt idx="125">
                  <c:v>9</c:v>
                </c:pt>
                <c:pt idx="126">
                  <c:v>32</c:v>
                </c:pt>
                <c:pt idx="127">
                  <c:v>5</c:v>
                </c:pt>
                <c:pt idx="128">
                  <c:v>12</c:v>
                </c:pt>
                <c:pt idx="129">
                  <c:v>6</c:v>
                </c:pt>
                <c:pt idx="130">
                  <c:v>20</c:v>
                </c:pt>
                <c:pt idx="131">
                  <c:v>5</c:v>
                </c:pt>
                <c:pt idx="132">
                  <c:v>11</c:v>
                </c:pt>
                <c:pt idx="133">
                  <c:v>13</c:v>
                </c:pt>
                <c:pt idx="134">
                  <c:v>5</c:v>
                </c:pt>
                <c:pt idx="135">
                  <c:v>11</c:v>
                </c:pt>
                <c:pt idx="136">
                  <c:v>13</c:v>
                </c:pt>
                <c:pt idx="137">
                  <c:v>5</c:v>
                </c:pt>
                <c:pt idx="138">
                  <c:v>26</c:v>
                </c:pt>
                <c:pt idx="139">
                  <c:v>5</c:v>
                </c:pt>
                <c:pt idx="140">
                  <c:v>6</c:v>
                </c:pt>
                <c:pt idx="141">
                  <c:v>12</c:v>
                </c:pt>
                <c:pt idx="142">
                  <c:v>5</c:v>
                </c:pt>
                <c:pt idx="143">
                  <c:v>5</c:v>
                </c:pt>
                <c:pt idx="144">
                  <c:v>10</c:v>
                </c:pt>
                <c:pt idx="145">
                  <c:v>9</c:v>
                </c:pt>
                <c:pt idx="146">
                  <c:v>5</c:v>
                </c:pt>
                <c:pt idx="147">
                  <c:v>5</c:v>
                </c:pt>
                <c:pt idx="148">
                  <c:v>12</c:v>
                </c:pt>
                <c:pt idx="149">
                  <c:v>6</c:v>
                </c:pt>
                <c:pt idx="150">
                  <c:v>20</c:v>
                </c:pt>
                <c:pt idx="151">
                  <c:v>5</c:v>
                </c:pt>
                <c:pt idx="152">
                  <c:v>11</c:v>
                </c:pt>
                <c:pt idx="153">
                  <c:v>13</c:v>
                </c:pt>
                <c:pt idx="154">
                  <c:v>29</c:v>
                </c:pt>
                <c:pt idx="155">
                  <c:v>5</c:v>
                </c:pt>
                <c:pt idx="156">
                  <c:v>5</c:v>
                </c:pt>
                <c:pt idx="157">
                  <c:v>12</c:v>
                </c:pt>
                <c:pt idx="158">
                  <c:v>5</c:v>
                </c:pt>
                <c:pt idx="159">
                  <c:v>12</c:v>
                </c:pt>
                <c:pt idx="160">
                  <c:v>6</c:v>
                </c:pt>
                <c:pt idx="161">
                  <c:v>21</c:v>
                </c:pt>
                <c:pt idx="162">
                  <c:v>5</c:v>
                </c:pt>
                <c:pt idx="163">
                  <c:v>12</c:v>
                </c:pt>
                <c:pt idx="164">
                  <c:v>29</c:v>
                </c:pt>
                <c:pt idx="165">
                  <c:v>5</c:v>
                </c:pt>
                <c:pt idx="166">
                  <c:v>12</c:v>
                </c:pt>
                <c:pt idx="167">
                  <c:v>28</c:v>
                </c:pt>
                <c:pt idx="168">
                  <c:v>6</c:v>
                </c:pt>
                <c:pt idx="169">
                  <c:v>5</c:v>
                </c:pt>
                <c:pt idx="170">
                  <c:v>19</c:v>
                </c:pt>
                <c:pt idx="171">
                  <c:v>6</c:v>
                </c:pt>
              </c:numCache>
            </c:numRef>
          </c:xVal>
          <c:yVal>
            <c:numRef>
              <c:f>Master!$BD$4:$BD$175</c:f>
              <c:numCache>
                <c:formatCode>General</c:formatCode>
                <c:ptCount val="172"/>
                <c:pt idx="0">
                  <c:v>1.67</c:v>
                </c:pt>
                <c:pt idx="1">
                  <c:v>2.1</c:v>
                </c:pt>
                <c:pt idx="2">
                  <c:v>0.8</c:v>
                </c:pt>
                <c:pt idx="3">
                  <c:v>1.75</c:v>
                </c:pt>
                <c:pt idx="4">
                  <c:v>1</c:v>
                </c:pt>
                <c:pt idx="5">
                  <c:v>1.6</c:v>
                </c:pt>
                <c:pt idx="6">
                  <c:v>1.22</c:v>
                </c:pt>
                <c:pt idx="7">
                  <c:v>1.4</c:v>
                </c:pt>
                <c:pt idx="8">
                  <c:v>0.9</c:v>
                </c:pt>
                <c:pt idx="9">
                  <c:v>8</c:v>
                </c:pt>
                <c:pt idx="10">
                  <c:v>0.12</c:v>
                </c:pt>
                <c:pt idx="11">
                  <c:v>1.21</c:v>
                </c:pt>
                <c:pt idx="12">
                  <c:v>1.4</c:v>
                </c:pt>
                <c:pt idx="13">
                  <c:v>1.6</c:v>
                </c:pt>
                <c:pt idx="14">
                  <c:v>7</c:v>
                </c:pt>
                <c:pt idx="15">
                  <c:v>7</c:v>
                </c:pt>
                <c:pt idx="16">
                  <c:v>1.8</c:v>
                </c:pt>
                <c:pt idx="17">
                  <c:v>1.5</c:v>
                </c:pt>
                <c:pt idx="18">
                  <c:v>1.6</c:v>
                </c:pt>
                <c:pt idx="19">
                  <c:v>0.9</c:v>
                </c:pt>
                <c:pt idx="20">
                  <c:v>1.2</c:v>
                </c:pt>
                <c:pt idx="21">
                  <c:v>1.6</c:v>
                </c:pt>
                <c:pt idx="22">
                  <c:v>0.9</c:v>
                </c:pt>
                <c:pt idx="23">
                  <c:v>1.6</c:v>
                </c:pt>
                <c:pt idx="24">
                  <c:v>0.2</c:v>
                </c:pt>
                <c:pt idx="25">
                  <c:v>9.6</c:v>
                </c:pt>
                <c:pt idx="26">
                  <c:v>0.8</c:v>
                </c:pt>
                <c:pt idx="27">
                  <c:v>0.9</c:v>
                </c:pt>
                <c:pt idx="28">
                  <c:v>1.22</c:v>
                </c:pt>
                <c:pt idx="29">
                  <c:v>1.4</c:v>
                </c:pt>
                <c:pt idx="30">
                  <c:v>1.6</c:v>
                </c:pt>
                <c:pt idx="31">
                  <c:v>1.54</c:v>
                </c:pt>
                <c:pt idx="32">
                  <c:v>0.2</c:v>
                </c:pt>
                <c:pt idx="33">
                  <c:v>0.9</c:v>
                </c:pt>
                <c:pt idx="34">
                  <c:v>1.2</c:v>
                </c:pt>
                <c:pt idx="35">
                  <c:v>1.4</c:v>
                </c:pt>
                <c:pt idx="36">
                  <c:v>1.46</c:v>
                </c:pt>
                <c:pt idx="37">
                  <c:v>1.35</c:v>
                </c:pt>
                <c:pt idx="38">
                  <c:v>1.6</c:v>
                </c:pt>
                <c:pt idx="39">
                  <c:v>1.3</c:v>
                </c:pt>
                <c:pt idx="40">
                  <c:v>0.3</c:v>
                </c:pt>
                <c:pt idx="41">
                  <c:v>0.9</c:v>
                </c:pt>
                <c:pt idx="42">
                  <c:v>1.2</c:v>
                </c:pt>
                <c:pt idx="43">
                  <c:v>1.5</c:v>
                </c:pt>
                <c:pt idx="44">
                  <c:v>1.21</c:v>
                </c:pt>
                <c:pt idx="45">
                  <c:v>1.4</c:v>
                </c:pt>
                <c:pt idx="46">
                  <c:v>1.6</c:v>
                </c:pt>
                <c:pt idx="47">
                  <c:v>1.7</c:v>
                </c:pt>
                <c:pt idx="48">
                  <c:v>2</c:v>
                </c:pt>
                <c:pt idx="49">
                  <c:v>0.11</c:v>
                </c:pt>
                <c:pt idx="50">
                  <c:v>1.5</c:v>
                </c:pt>
                <c:pt idx="51">
                  <c:v>1.6</c:v>
                </c:pt>
                <c:pt idx="52">
                  <c:v>0.9</c:v>
                </c:pt>
                <c:pt idx="53">
                  <c:v>1.6</c:v>
                </c:pt>
                <c:pt idx="54">
                  <c:v>1.4</c:v>
                </c:pt>
                <c:pt idx="55">
                  <c:v>1.67</c:v>
                </c:pt>
                <c:pt idx="56">
                  <c:v>2.1</c:v>
                </c:pt>
                <c:pt idx="57">
                  <c:v>0.8</c:v>
                </c:pt>
                <c:pt idx="58">
                  <c:v>1.75</c:v>
                </c:pt>
                <c:pt idx="59">
                  <c:v>1</c:v>
                </c:pt>
                <c:pt idx="60">
                  <c:v>1.5</c:v>
                </c:pt>
                <c:pt idx="61">
                  <c:v>1.6</c:v>
                </c:pt>
                <c:pt idx="62">
                  <c:v>0.9</c:v>
                </c:pt>
                <c:pt idx="63">
                  <c:v>1.2</c:v>
                </c:pt>
                <c:pt idx="64">
                  <c:v>0.2</c:v>
                </c:pt>
                <c:pt idx="65">
                  <c:v>1.7</c:v>
                </c:pt>
                <c:pt idx="66">
                  <c:v>2.1</c:v>
                </c:pt>
                <c:pt idx="67">
                  <c:v>0.8</c:v>
                </c:pt>
                <c:pt idx="68">
                  <c:v>1.75</c:v>
                </c:pt>
                <c:pt idx="69">
                  <c:v>1</c:v>
                </c:pt>
                <c:pt idx="70">
                  <c:v>1.4</c:v>
                </c:pt>
                <c:pt idx="71">
                  <c:v>1.67</c:v>
                </c:pt>
                <c:pt idx="72">
                  <c:v>1.6</c:v>
                </c:pt>
                <c:pt idx="73">
                  <c:v>0.8</c:v>
                </c:pt>
                <c:pt idx="74">
                  <c:v>1.75</c:v>
                </c:pt>
                <c:pt idx="75">
                  <c:v>1.5</c:v>
                </c:pt>
                <c:pt idx="76">
                  <c:v>1.56</c:v>
                </c:pt>
                <c:pt idx="77">
                  <c:v>0.9</c:v>
                </c:pt>
                <c:pt idx="78">
                  <c:v>1.2</c:v>
                </c:pt>
                <c:pt idx="79">
                  <c:v>1.6</c:v>
                </c:pt>
                <c:pt idx="80">
                  <c:v>0.9</c:v>
                </c:pt>
                <c:pt idx="81">
                  <c:v>1.6</c:v>
                </c:pt>
                <c:pt idx="82">
                  <c:v>1.4</c:v>
                </c:pt>
                <c:pt idx="83">
                  <c:v>1.6</c:v>
                </c:pt>
                <c:pt idx="84">
                  <c:v>1.6</c:v>
                </c:pt>
                <c:pt idx="85">
                  <c:v>1.6</c:v>
                </c:pt>
                <c:pt idx="86">
                  <c:v>1.6</c:v>
                </c:pt>
                <c:pt idx="87">
                  <c:v>1.4</c:v>
                </c:pt>
                <c:pt idx="88">
                  <c:v>1.67</c:v>
                </c:pt>
                <c:pt idx="89">
                  <c:v>2.1</c:v>
                </c:pt>
                <c:pt idx="90">
                  <c:v>1.6</c:v>
                </c:pt>
                <c:pt idx="91">
                  <c:v>1.75</c:v>
                </c:pt>
                <c:pt idx="92">
                  <c:v>0.9</c:v>
                </c:pt>
                <c:pt idx="93">
                  <c:v>0.2</c:v>
                </c:pt>
                <c:pt idx="94">
                  <c:v>1.5</c:v>
                </c:pt>
                <c:pt idx="95">
                  <c:v>1.21</c:v>
                </c:pt>
                <c:pt idx="96">
                  <c:v>1.4</c:v>
                </c:pt>
                <c:pt idx="97">
                  <c:v>1.6</c:v>
                </c:pt>
                <c:pt idx="98">
                  <c:v>1.5</c:v>
                </c:pt>
                <c:pt idx="99">
                  <c:v>1.21</c:v>
                </c:pt>
                <c:pt idx="100">
                  <c:v>1.4</c:v>
                </c:pt>
                <c:pt idx="101">
                  <c:v>1.6</c:v>
                </c:pt>
                <c:pt idx="102">
                  <c:v>1.7</c:v>
                </c:pt>
                <c:pt idx="103">
                  <c:v>2</c:v>
                </c:pt>
                <c:pt idx="104">
                  <c:v>1.8</c:v>
                </c:pt>
                <c:pt idx="105">
                  <c:v>0.11</c:v>
                </c:pt>
                <c:pt idx="106">
                  <c:v>1.6</c:v>
                </c:pt>
                <c:pt idx="107">
                  <c:v>0.9</c:v>
                </c:pt>
                <c:pt idx="108">
                  <c:v>1.2</c:v>
                </c:pt>
                <c:pt idx="109">
                  <c:v>1.6</c:v>
                </c:pt>
                <c:pt idx="110">
                  <c:v>0.9</c:v>
                </c:pt>
                <c:pt idx="111">
                  <c:v>0.8</c:v>
                </c:pt>
                <c:pt idx="112">
                  <c:v>0.8</c:v>
                </c:pt>
                <c:pt idx="113">
                  <c:v>1.75</c:v>
                </c:pt>
                <c:pt idx="114">
                  <c:v>1</c:v>
                </c:pt>
                <c:pt idx="115">
                  <c:v>1.5</c:v>
                </c:pt>
                <c:pt idx="116">
                  <c:v>1.6</c:v>
                </c:pt>
                <c:pt idx="117">
                  <c:v>0.9</c:v>
                </c:pt>
                <c:pt idx="118">
                  <c:v>1.2</c:v>
                </c:pt>
                <c:pt idx="119">
                  <c:v>0.9</c:v>
                </c:pt>
                <c:pt idx="120">
                  <c:v>1.6</c:v>
                </c:pt>
                <c:pt idx="121">
                  <c:v>1.4</c:v>
                </c:pt>
                <c:pt idx="122">
                  <c:v>1.6</c:v>
                </c:pt>
                <c:pt idx="123">
                  <c:v>1.8</c:v>
                </c:pt>
                <c:pt idx="124">
                  <c:v>1.5</c:v>
                </c:pt>
                <c:pt idx="125">
                  <c:v>1.6</c:v>
                </c:pt>
                <c:pt idx="126">
                  <c:v>0.9</c:v>
                </c:pt>
                <c:pt idx="127">
                  <c:v>1.2</c:v>
                </c:pt>
                <c:pt idx="128">
                  <c:v>1.6</c:v>
                </c:pt>
                <c:pt idx="129">
                  <c:v>0.9</c:v>
                </c:pt>
                <c:pt idx="130">
                  <c:v>0.09</c:v>
                </c:pt>
                <c:pt idx="131">
                  <c:v>0.8</c:v>
                </c:pt>
                <c:pt idx="132">
                  <c:v>1.7</c:v>
                </c:pt>
                <c:pt idx="133">
                  <c:v>1</c:v>
                </c:pt>
                <c:pt idx="134">
                  <c:v>0.8</c:v>
                </c:pt>
                <c:pt idx="135">
                  <c:v>1.75</c:v>
                </c:pt>
                <c:pt idx="136">
                  <c:v>1</c:v>
                </c:pt>
                <c:pt idx="137">
                  <c:v>1.6</c:v>
                </c:pt>
                <c:pt idx="138">
                  <c:v>1.36</c:v>
                </c:pt>
                <c:pt idx="139">
                  <c:v>1.6</c:v>
                </c:pt>
                <c:pt idx="140">
                  <c:v>0.9</c:v>
                </c:pt>
                <c:pt idx="141">
                  <c:v>1.6</c:v>
                </c:pt>
                <c:pt idx="142">
                  <c:v>2</c:v>
                </c:pt>
                <c:pt idx="143">
                  <c:v>1.8</c:v>
                </c:pt>
                <c:pt idx="144">
                  <c:v>0.9</c:v>
                </c:pt>
                <c:pt idx="145">
                  <c:v>1.6</c:v>
                </c:pt>
                <c:pt idx="146">
                  <c:v>0.12</c:v>
                </c:pt>
                <c:pt idx="147">
                  <c:v>1.2</c:v>
                </c:pt>
                <c:pt idx="148">
                  <c:v>1.6</c:v>
                </c:pt>
                <c:pt idx="149">
                  <c:v>0.9</c:v>
                </c:pt>
                <c:pt idx="150">
                  <c:v>0.09</c:v>
                </c:pt>
                <c:pt idx="151">
                  <c:v>0.8</c:v>
                </c:pt>
                <c:pt idx="152">
                  <c:v>1.75</c:v>
                </c:pt>
                <c:pt idx="153">
                  <c:v>1</c:v>
                </c:pt>
                <c:pt idx="154">
                  <c:v>1.5</c:v>
                </c:pt>
                <c:pt idx="155">
                  <c:v>1.6</c:v>
                </c:pt>
                <c:pt idx="156">
                  <c:v>0.8</c:v>
                </c:pt>
                <c:pt idx="157">
                  <c:v>1.6</c:v>
                </c:pt>
                <c:pt idx="158">
                  <c:v>1.2</c:v>
                </c:pt>
                <c:pt idx="159">
                  <c:v>1.6</c:v>
                </c:pt>
                <c:pt idx="160">
                  <c:v>0.7</c:v>
                </c:pt>
                <c:pt idx="161">
                  <c:v>0.9</c:v>
                </c:pt>
                <c:pt idx="162">
                  <c:v>0.12</c:v>
                </c:pt>
                <c:pt idx="163">
                  <c:v>1.6</c:v>
                </c:pt>
                <c:pt idx="164">
                  <c:v>1.6</c:v>
                </c:pt>
                <c:pt idx="165">
                  <c:v>1.2</c:v>
                </c:pt>
                <c:pt idx="166">
                  <c:v>1.6</c:v>
                </c:pt>
                <c:pt idx="167">
                  <c:v>0.9</c:v>
                </c:pt>
                <c:pt idx="168">
                  <c:v>0.9</c:v>
                </c:pt>
                <c:pt idx="169">
                  <c:v>1.2</c:v>
                </c:pt>
                <c:pt idx="170">
                  <c:v>1.6</c:v>
                </c:pt>
                <c:pt idx="171">
                  <c:v>0.9</c:v>
                </c:pt>
              </c:numCache>
            </c:numRef>
          </c:yVal>
          <c:smooth val="0"/>
        </c:ser>
        <c:dLbls>
          <c:showLegendKey val="0"/>
          <c:showVal val="0"/>
          <c:showCatName val="0"/>
          <c:showSerName val="0"/>
          <c:showPercent val="0"/>
          <c:showBubbleSize val="0"/>
        </c:dLbls>
        <c:axId val="159311360"/>
        <c:axId val="159313280"/>
      </c:scatterChart>
      <c:valAx>
        <c:axId val="159311360"/>
        <c:scaling>
          <c:orientation val="minMax"/>
        </c:scaling>
        <c:delete val="0"/>
        <c:axPos val="b"/>
        <c:majorGridlines/>
        <c:minorGridlines/>
        <c:title>
          <c:tx>
            <c:rich>
              <a:bodyPr/>
              <a:lstStyle/>
              <a:p>
                <a:pPr>
                  <a:defRPr lang="en-IN"/>
                </a:pPr>
                <a:r>
                  <a:rPr lang="en-US" sz="1000" b="1" i="0" u="none" strike="noStrike" baseline="0">
                    <a:effectLst/>
                  </a:rPr>
                  <a:t>eGFR</a:t>
                </a:r>
                <a:r>
                  <a:rPr lang="en-US" sz="1000" b="1" i="0" u="none" strike="noStrike" kern="1200" baseline="0">
                    <a:solidFill>
                      <a:sysClr val="windowText" lastClr="000000"/>
                    </a:solidFill>
                    <a:effectLst/>
                    <a:latin typeface="Times New Roman" pitchFamily="18" charset="0"/>
                    <a:ea typeface="+mn-ea"/>
                    <a:cs typeface="Times New Roman" pitchFamily="18" charset="0"/>
                  </a:rPr>
                  <a:t> (</a:t>
                </a:r>
                <a:r>
                  <a:rPr lang="en-US" sz="1000" b="1" i="0" u="none" strike="noStrike" baseline="0">
                    <a:effectLst/>
                  </a:rPr>
                  <a:t>ml/min/1.73m</a:t>
                </a:r>
                <a:r>
                  <a:rPr lang="en-US" sz="1000" b="1" i="0" u="none" strike="noStrike" baseline="30000">
                    <a:effectLst/>
                  </a:rPr>
                  <a:t>2</a:t>
                </a:r>
                <a:r>
                  <a:rPr lang="en-US" sz="1000" b="1" i="0" u="none" strike="noStrike" baseline="0">
                    <a:effectLst/>
                  </a:rPr>
                  <a:t>)</a:t>
                </a:r>
                <a:endParaRPr lang="en-US"/>
              </a:p>
            </c:rich>
          </c:tx>
          <c:overlay val="0"/>
        </c:title>
        <c:numFmt formatCode="General" sourceLinked="1"/>
        <c:majorTickMark val="out"/>
        <c:minorTickMark val="none"/>
        <c:tickLblPos val="nextTo"/>
        <c:txPr>
          <a:bodyPr/>
          <a:lstStyle/>
          <a:p>
            <a:pPr>
              <a:defRPr lang="en-IN"/>
            </a:pPr>
            <a:endParaRPr lang="en-US"/>
          </a:p>
        </c:txPr>
        <c:crossAx val="159313280"/>
        <c:crosses val="autoZero"/>
        <c:crossBetween val="midCat"/>
      </c:valAx>
      <c:valAx>
        <c:axId val="159313280"/>
        <c:scaling>
          <c:orientation val="minMax"/>
        </c:scaling>
        <c:delete val="0"/>
        <c:axPos val="l"/>
        <c:majorGridlines/>
        <c:minorGridlines/>
        <c:title>
          <c:tx>
            <c:rich>
              <a:bodyPr/>
              <a:lstStyle/>
              <a:p>
                <a:pPr>
                  <a:defRPr lang="en-IN"/>
                </a:pPr>
                <a:r>
                  <a:rPr lang="en-US"/>
                  <a:t>T3</a:t>
                </a:r>
                <a:r>
                  <a:rPr lang="en-US" sz="1000" b="1" i="0" u="none" strike="noStrike" kern="1200" baseline="0">
                    <a:solidFill>
                      <a:sysClr val="windowText" lastClr="000000"/>
                    </a:solidFill>
                    <a:latin typeface="Times New Roman" pitchFamily="18" charset="0"/>
                    <a:ea typeface="+mn-ea"/>
                    <a:cs typeface="Times New Roman" pitchFamily="18" charset="0"/>
                  </a:rPr>
                  <a:t> (</a:t>
                </a:r>
                <a:r>
                  <a:rPr lang="en-US"/>
                  <a:t>ng/ml)</a:t>
                </a:r>
              </a:p>
            </c:rich>
          </c:tx>
          <c:overlay val="0"/>
        </c:title>
        <c:numFmt formatCode="General" sourceLinked="1"/>
        <c:majorTickMark val="out"/>
        <c:minorTickMark val="none"/>
        <c:tickLblPos val="nextTo"/>
        <c:txPr>
          <a:bodyPr/>
          <a:lstStyle/>
          <a:p>
            <a:pPr>
              <a:defRPr lang="en-IN"/>
            </a:pPr>
            <a:endParaRPr lang="en-US"/>
          </a:p>
        </c:txPr>
        <c:crossAx val="159311360"/>
        <c:crosses val="autoZero"/>
        <c:crossBetween val="midCat"/>
      </c:valAx>
    </c:plotArea>
    <c:legend>
      <c:legendPos val="b"/>
      <c:overlay val="0"/>
      <c:spPr>
        <a:solidFill>
          <a:schemeClr val="lt1"/>
        </a:solidFill>
        <a:ln w="25400" cap="flat" cmpd="sng" algn="ctr">
          <a:solidFill>
            <a:schemeClr val="dk1"/>
          </a:solidFill>
          <a:prstDash val="solid"/>
        </a:ln>
        <a:effectLst/>
      </c:spPr>
      <c:txPr>
        <a:bodyPr/>
        <a:lstStyle/>
        <a:p>
          <a:pPr>
            <a:defRPr lang="en-IN"/>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sz="1000">
          <a:solidFill>
            <a:schemeClr val="dk1"/>
          </a:solidFill>
          <a:latin typeface="Times New Roman" pitchFamily="18" charset="0"/>
          <a:ea typeface="+mn-ea"/>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IN" sz="1100"/>
            </a:pPr>
            <a:r>
              <a:rPr lang="en-US" sz="1100" b="1" i="0" baseline="0">
                <a:effectLst/>
              </a:rPr>
              <a:t>Figure–3</a:t>
            </a:r>
            <a:br>
              <a:rPr lang="en-US" sz="1100" b="1" i="0" baseline="0">
                <a:effectLst/>
              </a:rPr>
            </a:br>
            <a:r>
              <a:rPr lang="en-US" sz="1100" b="1" i="0" u="none" strike="noStrike" baseline="0">
                <a:effectLst/>
              </a:rPr>
              <a:t>CORRELATION BETWEEN eGFR AND T4</a:t>
            </a:r>
            <a:endParaRPr lang="en-IN" sz="1100">
              <a:effectLst/>
            </a:endParaRPr>
          </a:p>
        </c:rich>
      </c:tx>
      <c:overlay val="0"/>
    </c:title>
    <c:autoTitleDeleted val="0"/>
    <c:plotArea>
      <c:layout/>
      <c:scatterChart>
        <c:scatterStyle val="lineMarker"/>
        <c:varyColors val="0"/>
        <c:ser>
          <c:idx val="0"/>
          <c:order val="0"/>
          <c:tx>
            <c:strRef>
              <c:f>Master!$BI$3</c:f>
              <c:strCache>
                <c:ptCount val="1"/>
                <c:pt idx="0">
                  <c:v>T4</c:v>
                </c:pt>
              </c:strCache>
            </c:strRef>
          </c:tx>
          <c:spPr>
            <a:ln w="28575">
              <a:noFill/>
            </a:ln>
          </c:spPr>
          <c:trendline>
            <c:trendlineType val="linear"/>
            <c:dispRSqr val="0"/>
            <c:dispEq val="0"/>
          </c:trendline>
          <c:xVal>
            <c:numRef>
              <c:f>Master!$BH$4:$BH$174</c:f>
              <c:numCache>
                <c:formatCode>General</c:formatCode>
                <c:ptCount val="171"/>
                <c:pt idx="0">
                  <c:v>63</c:v>
                </c:pt>
                <c:pt idx="1">
                  <c:v>33</c:v>
                </c:pt>
                <c:pt idx="2">
                  <c:v>5</c:v>
                </c:pt>
                <c:pt idx="3">
                  <c:v>11</c:v>
                </c:pt>
                <c:pt idx="4">
                  <c:v>13</c:v>
                </c:pt>
                <c:pt idx="5">
                  <c:v>5</c:v>
                </c:pt>
                <c:pt idx="6">
                  <c:v>5</c:v>
                </c:pt>
                <c:pt idx="7">
                  <c:v>5</c:v>
                </c:pt>
                <c:pt idx="8">
                  <c:v>6</c:v>
                </c:pt>
                <c:pt idx="9">
                  <c:v>20</c:v>
                </c:pt>
                <c:pt idx="10">
                  <c:v>5</c:v>
                </c:pt>
                <c:pt idx="11">
                  <c:v>7</c:v>
                </c:pt>
                <c:pt idx="12">
                  <c:v>11</c:v>
                </c:pt>
                <c:pt idx="13">
                  <c:v>3</c:v>
                </c:pt>
                <c:pt idx="14">
                  <c:v>17</c:v>
                </c:pt>
                <c:pt idx="15">
                  <c:v>5</c:v>
                </c:pt>
                <c:pt idx="16">
                  <c:v>5</c:v>
                </c:pt>
                <c:pt idx="17">
                  <c:v>10</c:v>
                </c:pt>
                <c:pt idx="18">
                  <c:v>9</c:v>
                </c:pt>
                <c:pt idx="19">
                  <c:v>32</c:v>
                </c:pt>
                <c:pt idx="20">
                  <c:v>5</c:v>
                </c:pt>
                <c:pt idx="21">
                  <c:v>12</c:v>
                </c:pt>
                <c:pt idx="22">
                  <c:v>6</c:v>
                </c:pt>
                <c:pt idx="23">
                  <c:v>9</c:v>
                </c:pt>
                <c:pt idx="24">
                  <c:v>27</c:v>
                </c:pt>
                <c:pt idx="25">
                  <c:v>48</c:v>
                </c:pt>
                <c:pt idx="26">
                  <c:v>42</c:v>
                </c:pt>
                <c:pt idx="27">
                  <c:v>29</c:v>
                </c:pt>
                <c:pt idx="28">
                  <c:v>21</c:v>
                </c:pt>
                <c:pt idx="29">
                  <c:v>16</c:v>
                </c:pt>
                <c:pt idx="30">
                  <c:v>11</c:v>
                </c:pt>
                <c:pt idx="31">
                  <c:v>6</c:v>
                </c:pt>
                <c:pt idx="32">
                  <c:v>7</c:v>
                </c:pt>
                <c:pt idx="33">
                  <c:v>17</c:v>
                </c:pt>
                <c:pt idx="34">
                  <c:v>12</c:v>
                </c:pt>
                <c:pt idx="35">
                  <c:v>6</c:v>
                </c:pt>
                <c:pt idx="36">
                  <c:v>26</c:v>
                </c:pt>
                <c:pt idx="37">
                  <c:v>11</c:v>
                </c:pt>
                <c:pt idx="38">
                  <c:v>27</c:v>
                </c:pt>
                <c:pt idx="39">
                  <c:v>18</c:v>
                </c:pt>
                <c:pt idx="40">
                  <c:v>4</c:v>
                </c:pt>
                <c:pt idx="41">
                  <c:v>2</c:v>
                </c:pt>
                <c:pt idx="42">
                  <c:v>9</c:v>
                </c:pt>
                <c:pt idx="43">
                  <c:v>5</c:v>
                </c:pt>
                <c:pt idx="44">
                  <c:v>7</c:v>
                </c:pt>
                <c:pt idx="45">
                  <c:v>11</c:v>
                </c:pt>
                <c:pt idx="46">
                  <c:v>3</c:v>
                </c:pt>
                <c:pt idx="47">
                  <c:v>17</c:v>
                </c:pt>
                <c:pt idx="48">
                  <c:v>5</c:v>
                </c:pt>
                <c:pt idx="49">
                  <c:v>5</c:v>
                </c:pt>
                <c:pt idx="50">
                  <c:v>10</c:v>
                </c:pt>
                <c:pt idx="51">
                  <c:v>9</c:v>
                </c:pt>
                <c:pt idx="52">
                  <c:v>32</c:v>
                </c:pt>
                <c:pt idx="53">
                  <c:v>12</c:v>
                </c:pt>
                <c:pt idx="54">
                  <c:v>11</c:v>
                </c:pt>
                <c:pt idx="55">
                  <c:v>66</c:v>
                </c:pt>
                <c:pt idx="56">
                  <c:v>20</c:v>
                </c:pt>
                <c:pt idx="57">
                  <c:v>5</c:v>
                </c:pt>
                <c:pt idx="58">
                  <c:v>11</c:v>
                </c:pt>
                <c:pt idx="59">
                  <c:v>13</c:v>
                </c:pt>
                <c:pt idx="60">
                  <c:v>10</c:v>
                </c:pt>
                <c:pt idx="61">
                  <c:v>9</c:v>
                </c:pt>
                <c:pt idx="62">
                  <c:v>32</c:v>
                </c:pt>
                <c:pt idx="63">
                  <c:v>5</c:v>
                </c:pt>
                <c:pt idx="64">
                  <c:v>14</c:v>
                </c:pt>
                <c:pt idx="65">
                  <c:v>12</c:v>
                </c:pt>
                <c:pt idx="66">
                  <c:v>20</c:v>
                </c:pt>
                <c:pt idx="67">
                  <c:v>5</c:v>
                </c:pt>
                <c:pt idx="68">
                  <c:v>11</c:v>
                </c:pt>
                <c:pt idx="69">
                  <c:v>13</c:v>
                </c:pt>
                <c:pt idx="70">
                  <c:v>11</c:v>
                </c:pt>
                <c:pt idx="71">
                  <c:v>12</c:v>
                </c:pt>
                <c:pt idx="72">
                  <c:v>20</c:v>
                </c:pt>
                <c:pt idx="73">
                  <c:v>5</c:v>
                </c:pt>
                <c:pt idx="74">
                  <c:v>11</c:v>
                </c:pt>
                <c:pt idx="75">
                  <c:v>10</c:v>
                </c:pt>
                <c:pt idx="76">
                  <c:v>9</c:v>
                </c:pt>
                <c:pt idx="77">
                  <c:v>32</c:v>
                </c:pt>
                <c:pt idx="78">
                  <c:v>5</c:v>
                </c:pt>
                <c:pt idx="79">
                  <c:v>12</c:v>
                </c:pt>
                <c:pt idx="80">
                  <c:v>6</c:v>
                </c:pt>
                <c:pt idx="81">
                  <c:v>9</c:v>
                </c:pt>
                <c:pt idx="82">
                  <c:v>16</c:v>
                </c:pt>
                <c:pt idx="83">
                  <c:v>11</c:v>
                </c:pt>
                <c:pt idx="84">
                  <c:v>12</c:v>
                </c:pt>
                <c:pt idx="85">
                  <c:v>7</c:v>
                </c:pt>
                <c:pt idx="86">
                  <c:v>12</c:v>
                </c:pt>
                <c:pt idx="87">
                  <c:v>11</c:v>
                </c:pt>
                <c:pt idx="88">
                  <c:v>12</c:v>
                </c:pt>
                <c:pt idx="89">
                  <c:v>20</c:v>
                </c:pt>
                <c:pt idx="90">
                  <c:v>12</c:v>
                </c:pt>
                <c:pt idx="91">
                  <c:v>11</c:v>
                </c:pt>
                <c:pt idx="92">
                  <c:v>2</c:v>
                </c:pt>
                <c:pt idx="93">
                  <c:v>9</c:v>
                </c:pt>
                <c:pt idx="94">
                  <c:v>5</c:v>
                </c:pt>
                <c:pt idx="95">
                  <c:v>7</c:v>
                </c:pt>
                <c:pt idx="96">
                  <c:v>11</c:v>
                </c:pt>
                <c:pt idx="97">
                  <c:v>3</c:v>
                </c:pt>
                <c:pt idx="98">
                  <c:v>5</c:v>
                </c:pt>
                <c:pt idx="99">
                  <c:v>7</c:v>
                </c:pt>
                <c:pt idx="100">
                  <c:v>11</c:v>
                </c:pt>
                <c:pt idx="101">
                  <c:v>3</c:v>
                </c:pt>
                <c:pt idx="102">
                  <c:v>17</c:v>
                </c:pt>
                <c:pt idx="103">
                  <c:v>5</c:v>
                </c:pt>
                <c:pt idx="104">
                  <c:v>5</c:v>
                </c:pt>
                <c:pt idx="105">
                  <c:v>10</c:v>
                </c:pt>
                <c:pt idx="106">
                  <c:v>9</c:v>
                </c:pt>
                <c:pt idx="107">
                  <c:v>32</c:v>
                </c:pt>
                <c:pt idx="108">
                  <c:v>5</c:v>
                </c:pt>
                <c:pt idx="109">
                  <c:v>12</c:v>
                </c:pt>
                <c:pt idx="110">
                  <c:v>6</c:v>
                </c:pt>
                <c:pt idx="111">
                  <c:v>20</c:v>
                </c:pt>
                <c:pt idx="112">
                  <c:v>5</c:v>
                </c:pt>
                <c:pt idx="113">
                  <c:v>11</c:v>
                </c:pt>
                <c:pt idx="114">
                  <c:v>13</c:v>
                </c:pt>
                <c:pt idx="115">
                  <c:v>10</c:v>
                </c:pt>
                <c:pt idx="116">
                  <c:v>9</c:v>
                </c:pt>
                <c:pt idx="117">
                  <c:v>32</c:v>
                </c:pt>
                <c:pt idx="118">
                  <c:v>5</c:v>
                </c:pt>
                <c:pt idx="119">
                  <c:v>6</c:v>
                </c:pt>
                <c:pt idx="120">
                  <c:v>9</c:v>
                </c:pt>
                <c:pt idx="121">
                  <c:v>16</c:v>
                </c:pt>
                <c:pt idx="122">
                  <c:v>12</c:v>
                </c:pt>
                <c:pt idx="123">
                  <c:v>5</c:v>
                </c:pt>
                <c:pt idx="124">
                  <c:v>10</c:v>
                </c:pt>
                <c:pt idx="125">
                  <c:v>9</c:v>
                </c:pt>
                <c:pt idx="126">
                  <c:v>32</c:v>
                </c:pt>
                <c:pt idx="127">
                  <c:v>5</c:v>
                </c:pt>
                <c:pt idx="128">
                  <c:v>12</c:v>
                </c:pt>
                <c:pt idx="129">
                  <c:v>6</c:v>
                </c:pt>
                <c:pt idx="130">
                  <c:v>20</c:v>
                </c:pt>
                <c:pt idx="131">
                  <c:v>5</c:v>
                </c:pt>
                <c:pt idx="132">
                  <c:v>11</c:v>
                </c:pt>
                <c:pt idx="133">
                  <c:v>13</c:v>
                </c:pt>
                <c:pt idx="134">
                  <c:v>5</c:v>
                </c:pt>
                <c:pt idx="135">
                  <c:v>11</c:v>
                </c:pt>
                <c:pt idx="136">
                  <c:v>13</c:v>
                </c:pt>
                <c:pt idx="137">
                  <c:v>5</c:v>
                </c:pt>
                <c:pt idx="138">
                  <c:v>26</c:v>
                </c:pt>
                <c:pt idx="139">
                  <c:v>5</c:v>
                </c:pt>
                <c:pt idx="140">
                  <c:v>6</c:v>
                </c:pt>
                <c:pt idx="141">
                  <c:v>12</c:v>
                </c:pt>
                <c:pt idx="142">
                  <c:v>5</c:v>
                </c:pt>
                <c:pt idx="143">
                  <c:v>5</c:v>
                </c:pt>
                <c:pt idx="144">
                  <c:v>10</c:v>
                </c:pt>
                <c:pt idx="145">
                  <c:v>9</c:v>
                </c:pt>
                <c:pt idx="146">
                  <c:v>5</c:v>
                </c:pt>
                <c:pt idx="147">
                  <c:v>5</c:v>
                </c:pt>
                <c:pt idx="148">
                  <c:v>12</c:v>
                </c:pt>
                <c:pt idx="149">
                  <c:v>6</c:v>
                </c:pt>
                <c:pt idx="150">
                  <c:v>20</c:v>
                </c:pt>
                <c:pt idx="151">
                  <c:v>5</c:v>
                </c:pt>
                <c:pt idx="152">
                  <c:v>11</c:v>
                </c:pt>
                <c:pt idx="153">
                  <c:v>13</c:v>
                </c:pt>
                <c:pt idx="154">
                  <c:v>29</c:v>
                </c:pt>
                <c:pt idx="155">
                  <c:v>5</c:v>
                </c:pt>
                <c:pt idx="156">
                  <c:v>5</c:v>
                </c:pt>
                <c:pt idx="157">
                  <c:v>12</c:v>
                </c:pt>
                <c:pt idx="158">
                  <c:v>5</c:v>
                </c:pt>
                <c:pt idx="159">
                  <c:v>12</c:v>
                </c:pt>
                <c:pt idx="160">
                  <c:v>6</c:v>
                </c:pt>
                <c:pt idx="161">
                  <c:v>21</c:v>
                </c:pt>
                <c:pt idx="162">
                  <c:v>5</c:v>
                </c:pt>
                <c:pt idx="163">
                  <c:v>12</c:v>
                </c:pt>
                <c:pt idx="164">
                  <c:v>29</c:v>
                </c:pt>
                <c:pt idx="165">
                  <c:v>5</c:v>
                </c:pt>
                <c:pt idx="166">
                  <c:v>12</c:v>
                </c:pt>
                <c:pt idx="167">
                  <c:v>28</c:v>
                </c:pt>
                <c:pt idx="168">
                  <c:v>6</c:v>
                </c:pt>
                <c:pt idx="169">
                  <c:v>5</c:v>
                </c:pt>
                <c:pt idx="170">
                  <c:v>19</c:v>
                </c:pt>
              </c:numCache>
            </c:numRef>
          </c:xVal>
          <c:yVal>
            <c:numRef>
              <c:f>Master!$BI$4:$BI$174</c:f>
              <c:numCache>
                <c:formatCode>General</c:formatCode>
                <c:ptCount val="171"/>
                <c:pt idx="0">
                  <c:v>130</c:v>
                </c:pt>
                <c:pt idx="1">
                  <c:v>58</c:v>
                </c:pt>
                <c:pt idx="2">
                  <c:v>56</c:v>
                </c:pt>
                <c:pt idx="3">
                  <c:v>122</c:v>
                </c:pt>
                <c:pt idx="4">
                  <c:v>56</c:v>
                </c:pt>
                <c:pt idx="5">
                  <c:v>87</c:v>
                </c:pt>
                <c:pt idx="6">
                  <c:v>120</c:v>
                </c:pt>
                <c:pt idx="7">
                  <c:v>120</c:v>
                </c:pt>
                <c:pt idx="8">
                  <c:v>58</c:v>
                </c:pt>
                <c:pt idx="9">
                  <c:v>89</c:v>
                </c:pt>
                <c:pt idx="10">
                  <c:v>14</c:v>
                </c:pt>
                <c:pt idx="11">
                  <c:v>86</c:v>
                </c:pt>
                <c:pt idx="12">
                  <c:v>90</c:v>
                </c:pt>
                <c:pt idx="13">
                  <c:v>58</c:v>
                </c:pt>
                <c:pt idx="14">
                  <c:v>76</c:v>
                </c:pt>
                <c:pt idx="15">
                  <c:v>70</c:v>
                </c:pt>
                <c:pt idx="16">
                  <c:v>86</c:v>
                </c:pt>
                <c:pt idx="17">
                  <c:v>124</c:v>
                </c:pt>
                <c:pt idx="18">
                  <c:v>54</c:v>
                </c:pt>
                <c:pt idx="19">
                  <c:v>140</c:v>
                </c:pt>
                <c:pt idx="20">
                  <c:v>110</c:v>
                </c:pt>
                <c:pt idx="21">
                  <c:v>120</c:v>
                </c:pt>
                <c:pt idx="22">
                  <c:v>60</c:v>
                </c:pt>
                <c:pt idx="23">
                  <c:v>60</c:v>
                </c:pt>
                <c:pt idx="24">
                  <c:v>40</c:v>
                </c:pt>
                <c:pt idx="25">
                  <c:v>58</c:v>
                </c:pt>
                <c:pt idx="26">
                  <c:v>76</c:v>
                </c:pt>
                <c:pt idx="27">
                  <c:v>80</c:v>
                </c:pt>
                <c:pt idx="28">
                  <c:v>88</c:v>
                </c:pt>
                <c:pt idx="29">
                  <c:v>90</c:v>
                </c:pt>
                <c:pt idx="30">
                  <c:v>100</c:v>
                </c:pt>
                <c:pt idx="31">
                  <c:v>96</c:v>
                </c:pt>
                <c:pt idx="32">
                  <c:v>10</c:v>
                </c:pt>
                <c:pt idx="33">
                  <c:v>110</c:v>
                </c:pt>
                <c:pt idx="34">
                  <c:v>90</c:v>
                </c:pt>
                <c:pt idx="35">
                  <c:v>100</c:v>
                </c:pt>
                <c:pt idx="36">
                  <c:v>98</c:v>
                </c:pt>
                <c:pt idx="37">
                  <c:v>96</c:v>
                </c:pt>
                <c:pt idx="38">
                  <c:v>110</c:v>
                </c:pt>
                <c:pt idx="39">
                  <c:v>88</c:v>
                </c:pt>
                <c:pt idx="40">
                  <c:v>30</c:v>
                </c:pt>
                <c:pt idx="41">
                  <c:v>82</c:v>
                </c:pt>
                <c:pt idx="42">
                  <c:v>90</c:v>
                </c:pt>
                <c:pt idx="43">
                  <c:v>110</c:v>
                </c:pt>
                <c:pt idx="44">
                  <c:v>86</c:v>
                </c:pt>
                <c:pt idx="45">
                  <c:v>90</c:v>
                </c:pt>
                <c:pt idx="46">
                  <c:v>58</c:v>
                </c:pt>
                <c:pt idx="47">
                  <c:v>76</c:v>
                </c:pt>
                <c:pt idx="48">
                  <c:v>70</c:v>
                </c:pt>
                <c:pt idx="49">
                  <c:v>8</c:v>
                </c:pt>
                <c:pt idx="50">
                  <c:v>124</c:v>
                </c:pt>
                <c:pt idx="51">
                  <c:v>54</c:v>
                </c:pt>
                <c:pt idx="52">
                  <c:v>140</c:v>
                </c:pt>
                <c:pt idx="53">
                  <c:v>120</c:v>
                </c:pt>
                <c:pt idx="54">
                  <c:v>90</c:v>
                </c:pt>
                <c:pt idx="55">
                  <c:v>130</c:v>
                </c:pt>
                <c:pt idx="56">
                  <c:v>58</c:v>
                </c:pt>
                <c:pt idx="57">
                  <c:v>56</c:v>
                </c:pt>
                <c:pt idx="58">
                  <c:v>122</c:v>
                </c:pt>
                <c:pt idx="59">
                  <c:v>56</c:v>
                </c:pt>
                <c:pt idx="60">
                  <c:v>124</c:v>
                </c:pt>
                <c:pt idx="61">
                  <c:v>54</c:v>
                </c:pt>
                <c:pt idx="62">
                  <c:v>140</c:v>
                </c:pt>
                <c:pt idx="63">
                  <c:v>110</c:v>
                </c:pt>
                <c:pt idx="64">
                  <c:v>40</c:v>
                </c:pt>
                <c:pt idx="65">
                  <c:v>130</c:v>
                </c:pt>
                <c:pt idx="66">
                  <c:v>58</c:v>
                </c:pt>
                <c:pt idx="67">
                  <c:v>56</c:v>
                </c:pt>
                <c:pt idx="68">
                  <c:v>122</c:v>
                </c:pt>
                <c:pt idx="69">
                  <c:v>56</c:v>
                </c:pt>
                <c:pt idx="70">
                  <c:v>90</c:v>
                </c:pt>
                <c:pt idx="71">
                  <c:v>130</c:v>
                </c:pt>
                <c:pt idx="72">
                  <c:v>60</c:v>
                </c:pt>
                <c:pt idx="73">
                  <c:v>56</c:v>
                </c:pt>
                <c:pt idx="74">
                  <c:v>122</c:v>
                </c:pt>
                <c:pt idx="75">
                  <c:v>124</c:v>
                </c:pt>
                <c:pt idx="76">
                  <c:v>48</c:v>
                </c:pt>
                <c:pt idx="77">
                  <c:v>140</c:v>
                </c:pt>
                <c:pt idx="78">
                  <c:v>110</c:v>
                </c:pt>
                <c:pt idx="79">
                  <c:v>120</c:v>
                </c:pt>
                <c:pt idx="80">
                  <c:v>60</c:v>
                </c:pt>
                <c:pt idx="81">
                  <c:v>60</c:v>
                </c:pt>
                <c:pt idx="82">
                  <c:v>90</c:v>
                </c:pt>
                <c:pt idx="83">
                  <c:v>100</c:v>
                </c:pt>
                <c:pt idx="84">
                  <c:v>120</c:v>
                </c:pt>
                <c:pt idx="85">
                  <c:v>100</c:v>
                </c:pt>
                <c:pt idx="86">
                  <c:v>120</c:v>
                </c:pt>
                <c:pt idx="87">
                  <c:v>90</c:v>
                </c:pt>
                <c:pt idx="88">
                  <c:v>130</c:v>
                </c:pt>
                <c:pt idx="89">
                  <c:v>58</c:v>
                </c:pt>
                <c:pt idx="90">
                  <c:v>120</c:v>
                </c:pt>
                <c:pt idx="91">
                  <c:v>122</c:v>
                </c:pt>
                <c:pt idx="92">
                  <c:v>82</c:v>
                </c:pt>
                <c:pt idx="93">
                  <c:v>20</c:v>
                </c:pt>
                <c:pt idx="94">
                  <c:v>110</c:v>
                </c:pt>
                <c:pt idx="95">
                  <c:v>86</c:v>
                </c:pt>
                <c:pt idx="96">
                  <c:v>90</c:v>
                </c:pt>
                <c:pt idx="97">
                  <c:v>58</c:v>
                </c:pt>
                <c:pt idx="98">
                  <c:v>110</c:v>
                </c:pt>
                <c:pt idx="99">
                  <c:v>86</c:v>
                </c:pt>
                <c:pt idx="100">
                  <c:v>90</c:v>
                </c:pt>
                <c:pt idx="101">
                  <c:v>58</c:v>
                </c:pt>
                <c:pt idx="102">
                  <c:v>76</c:v>
                </c:pt>
                <c:pt idx="103">
                  <c:v>70</c:v>
                </c:pt>
                <c:pt idx="104">
                  <c:v>86</c:v>
                </c:pt>
                <c:pt idx="105">
                  <c:v>12</c:v>
                </c:pt>
                <c:pt idx="106">
                  <c:v>54</c:v>
                </c:pt>
                <c:pt idx="107">
                  <c:v>140</c:v>
                </c:pt>
                <c:pt idx="108">
                  <c:v>110</c:v>
                </c:pt>
                <c:pt idx="109">
                  <c:v>120</c:v>
                </c:pt>
                <c:pt idx="110">
                  <c:v>60</c:v>
                </c:pt>
                <c:pt idx="111">
                  <c:v>66</c:v>
                </c:pt>
                <c:pt idx="112">
                  <c:v>56</c:v>
                </c:pt>
                <c:pt idx="113">
                  <c:v>122</c:v>
                </c:pt>
                <c:pt idx="114">
                  <c:v>56</c:v>
                </c:pt>
                <c:pt idx="115">
                  <c:v>124</c:v>
                </c:pt>
                <c:pt idx="116">
                  <c:v>54</c:v>
                </c:pt>
                <c:pt idx="117">
                  <c:v>140</c:v>
                </c:pt>
                <c:pt idx="118">
                  <c:v>110</c:v>
                </c:pt>
                <c:pt idx="119">
                  <c:v>60</c:v>
                </c:pt>
                <c:pt idx="120">
                  <c:v>60</c:v>
                </c:pt>
                <c:pt idx="121">
                  <c:v>90</c:v>
                </c:pt>
                <c:pt idx="122">
                  <c:v>120</c:v>
                </c:pt>
                <c:pt idx="123">
                  <c:v>86</c:v>
                </c:pt>
                <c:pt idx="124">
                  <c:v>124</c:v>
                </c:pt>
                <c:pt idx="125">
                  <c:v>54</c:v>
                </c:pt>
                <c:pt idx="126">
                  <c:v>140</c:v>
                </c:pt>
                <c:pt idx="127">
                  <c:v>110</c:v>
                </c:pt>
                <c:pt idx="128">
                  <c:v>120</c:v>
                </c:pt>
                <c:pt idx="129">
                  <c:v>60</c:v>
                </c:pt>
                <c:pt idx="130">
                  <c:v>10</c:v>
                </c:pt>
                <c:pt idx="131">
                  <c:v>56</c:v>
                </c:pt>
                <c:pt idx="132">
                  <c:v>126</c:v>
                </c:pt>
                <c:pt idx="133">
                  <c:v>56</c:v>
                </c:pt>
                <c:pt idx="134">
                  <c:v>56</c:v>
                </c:pt>
                <c:pt idx="135">
                  <c:v>122</c:v>
                </c:pt>
                <c:pt idx="136">
                  <c:v>56</c:v>
                </c:pt>
                <c:pt idx="137">
                  <c:v>87</c:v>
                </c:pt>
                <c:pt idx="138">
                  <c:v>120</c:v>
                </c:pt>
                <c:pt idx="139">
                  <c:v>122</c:v>
                </c:pt>
                <c:pt idx="140">
                  <c:v>58</c:v>
                </c:pt>
                <c:pt idx="141">
                  <c:v>120</c:v>
                </c:pt>
                <c:pt idx="142">
                  <c:v>70</c:v>
                </c:pt>
                <c:pt idx="143">
                  <c:v>86</c:v>
                </c:pt>
                <c:pt idx="144">
                  <c:v>60</c:v>
                </c:pt>
                <c:pt idx="145">
                  <c:v>54</c:v>
                </c:pt>
                <c:pt idx="146">
                  <c:v>14</c:v>
                </c:pt>
                <c:pt idx="147">
                  <c:v>110</c:v>
                </c:pt>
                <c:pt idx="148">
                  <c:v>120</c:v>
                </c:pt>
                <c:pt idx="149">
                  <c:v>60</c:v>
                </c:pt>
                <c:pt idx="150">
                  <c:v>10</c:v>
                </c:pt>
                <c:pt idx="151">
                  <c:v>56</c:v>
                </c:pt>
                <c:pt idx="152">
                  <c:v>122</c:v>
                </c:pt>
                <c:pt idx="153">
                  <c:v>56</c:v>
                </c:pt>
                <c:pt idx="154">
                  <c:v>124</c:v>
                </c:pt>
                <c:pt idx="155">
                  <c:v>87</c:v>
                </c:pt>
                <c:pt idx="156">
                  <c:v>70</c:v>
                </c:pt>
                <c:pt idx="157">
                  <c:v>120</c:v>
                </c:pt>
                <c:pt idx="158">
                  <c:v>110</c:v>
                </c:pt>
                <c:pt idx="159">
                  <c:v>120</c:v>
                </c:pt>
                <c:pt idx="160">
                  <c:v>70</c:v>
                </c:pt>
                <c:pt idx="161">
                  <c:v>60</c:v>
                </c:pt>
                <c:pt idx="162">
                  <c:v>14</c:v>
                </c:pt>
                <c:pt idx="163">
                  <c:v>120</c:v>
                </c:pt>
                <c:pt idx="164">
                  <c:v>120</c:v>
                </c:pt>
                <c:pt idx="165">
                  <c:v>110</c:v>
                </c:pt>
                <c:pt idx="166">
                  <c:v>120</c:v>
                </c:pt>
                <c:pt idx="167">
                  <c:v>60</c:v>
                </c:pt>
                <c:pt idx="168">
                  <c:v>60</c:v>
                </c:pt>
                <c:pt idx="169">
                  <c:v>110</c:v>
                </c:pt>
                <c:pt idx="170">
                  <c:v>66</c:v>
                </c:pt>
              </c:numCache>
            </c:numRef>
          </c:yVal>
          <c:smooth val="0"/>
        </c:ser>
        <c:dLbls>
          <c:showLegendKey val="0"/>
          <c:showVal val="0"/>
          <c:showCatName val="0"/>
          <c:showSerName val="0"/>
          <c:showPercent val="0"/>
          <c:showBubbleSize val="0"/>
        </c:dLbls>
        <c:axId val="239698688"/>
        <c:axId val="239700608"/>
      </c:scatterChart>
      <c:valAx>
        <c:axId val="239698688"/>
        <c:scaling>
          <c:orientation val="minMax"/>
        </c:scaling>
        <c:delete val="0"/>
        <c:axPos val="b"/>
        <c:majorGridlines/>
        <c:minorGridlines/>
        <c:title>
          <c:tx>
            <c:rich>
              <a:bodyPr/>
              <a:lstStyle/>
              <a:p>
                <a:pPr>
                  <a:defRPr lang="en-IN"/>
                </a:pPr>
                <a:r>
                  <a:rPr lang="en-US" sz="1000" b="1" i="0" u="none" strike="noStrike" baseline="0">
                    <a:effectLst/>
                  </a:rPr>
                  <a:t>eGFR</a:t>
                </a:r>
                <a:r>
                  <a:rPr lang="en-US" sz="1000" b="1" i="0" u="none" strike="noStrike" kern="1200" baseline="0">
                    <a:solidFill>
                      <a:sysClr val="windowText" lastClr="000000"/>
                    </a:solidFill>
                    <a:effectLst/>
                    <a:latin typeface="Times New Roman" pitchFamily="18" charset="0"/>
                    <a:ea typeface="+mn-ea"/>
                    <a:cs typeface="Times New Roman" pitchFamily="18" charset="0"/>
                  </a:rPr>
                  <a:t> (</a:t>
                </a:r>
                <a:r>
                  <a:rPr lang="en-US" sz="1000" b="1" i="0" u="none" strike="noStrike" baseline="0">
                    <a:effectLst/>
                  </a:rPr>
                  <a:t>ml/min/1.73m</a:t>
                </a:r>
                <a:r>
                  <a:rPr lang="en-US" sz="1000" b="1" i="0" u="none" strike="noStrike" baseline="30000">
                    <a:effectLst/>
                  </a:rPr>
                  <a:t>2)</a:t>
                </a:r>
                <a:endParaRPr lang="en-US"/>
              </a:p>
            </c:rich>
          </c:tx>
          <c:overlay val="0"/>
        </c:title>
        <c:numFmt formatCode="General" sourceLinked="1"/>
        <c:majorTickMark val="out"/>
        <c:minorTickMark val="none"/>
        <c:tickLblPos val="nextTo"/>
        <c:txPr>
          <a:bodyPr/>
          <a:lstStyle/>
          <a:p>
            <a:pPr>
              <a:defRPr lang="en-IN"/>
            </a:pPr>
            <a:endParaRPr lang="en-US"/>
          </a:p>
        </c:txPr>
        <c:crossAx val="239700608"/>
        <c:crosses val="autoZero"/>
        <c:crossBetween val="midCat"/>
      </c:valAx>
      <c:valAx>
        <c:axId val="239700608"/>
        <c:scaling>
          <c:orientation val="minMax"/>
        </c:scaling>
        <c:delete val="0"/>
        <c:axPos val="l"/>
        <c:majorGridlines/>
        <c:minorGridlines/>
        <c:title>
          <c:tx>
            <c:rich>
              <a:bodyPr/>
              <a:lstStyle/>
              <a:p>
                <a:pPr>
                  <a:defRPr lang="en-IN"/>
                </a:pPr>
                <a:r>
                  <a:rPr lang="en-US"/>
                  <a:t>T4</a:t>
                </a:r>
                <a:r>
                  <a:rPr lang="en-US" sz="1000" b="1" i="0" u="none" strike="noStrike" kern="1200" baseline="0">
                    <a:solidFill>
                      <a:sysClr val="windowText" lastClr="000000"/>
                    </a:solidFill>
                    <a:latin typeface="Times New Roman" pitchFamily="18" charset="0"/>
                    <a:ea typeface="+mn-ea"/>
                    <a:cs typeface="Times New Roman" pitchFamily="18" charset="0"/>
                  </a:rPr>
                  <a:t> (</a:t>
                </a:r>
                <a:r>
                  <a:rPr lang="en-US"/>
                  <a:t>ng/ml)</a:t>
                </a:r>
              </a:p>
            </c:rich>
          </c:tx>
          <c:overlay val="0"/>
        </c:title>
        <c:numFmt formatCode="General" sourceLinked="1"/>
        <c:majorTickMark val="out"/>
        <c:minorTickMark val="none"/>
        <c:tickLblPos val="nextTo"/>
        <c:txPr>
          <a:bodyPr/>
          <a:lstStyle/>
          <a:p>
            <a:pPr>
              <a:defRPr lang="en-IN"/>
            </a:pPr>
            <a:endParaRPr lang="en-US"/>
          </a:p>
        </c:txPr>
        <c:crossAx val="239698688"/>
        <c:crosses val="autoZero"/>
        <c:crossBetween val="midCat"/>
      </c:valAx>
    </c:plotArea>
    <c:legend>
      <c:legendPos val="b"/>
      <c:overlay val="0"/>
      <c:spPr>
        <a:solidFill>
          <a:schemeClr val="lt1"/>
        </a:solidFill>
        <a:ln w="25400" cap="flat" cmpd="sng" algn="ctr">
          <a:solidFill>
            <a:schemeClr val="dk1"/>
          </a:solidFill>
          <a:prstDash val="solid"/>
        </a:ln>
        <a:effectLst/>
      </c:spPr>
      <c:txPr>
        <a:bodyPr/>
        <a:lstStyle/>
        <a:p>
          <a:pPr>
            <a:defRPr lang="en-IN"/>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sz="10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IN" sz="1100"/>
            </a:pPr>
            <a:r>
              <a:rPr lang="en-US" sz="1100" b="1" i="0" baseline="0">
                <a:effectLst/>
              </a:rPr>
              <a:t>Figure-4</a:t>
            </a:r>
            <a:br>
              <a:rPr lang="en-US" sz="1100" b="1" i="0" baseline="0">
                <a:effectLst/>
              </a:rPr>
            </a:br>
            <a:r>
              <a:rPr lang="en-US" sz="1100" b="1" i="0" u="none" strike="noStrike" baseline="0">
                <a:effectLst/>
              </a:rPr>
              <a:t>CORRELATION BETWEEN eGFR AND TSH</a:t>
            </a:r>
            <a:endParaRPr lang="en-IN" sz="1100">
              <a:effectLst/>
            </a:endParaRPr>
          </a:p>
        </c:rich>
      </c:tx>
      <c:overlay val="0"/>
    </c:title>
    <c:autoTitleDeleted val="0"/>
    <c:plotArea>
      <c:layout/>
      <c:scatterChart>
        <c:scatterStyle val="lineMarker"/>
        <c:varyColors val="0"/>
        <c:ser>
          <c:idx val="0"/>
          <c:order val="0"/>
          <c:tx>
            <c:strRef>
              <c:f>Master!$BO$3</c:f>
              <c:strCache>
                <c:ptCount val="1"/>
                <c:pt idx="0">
                  <c:v>TSH</c:v>
                </c:pt>
              </c:strCache>
            </c:strRef>
          </c:tx>
          <c:spPr>
            <a:ln w="28575">
              <a:noFill/>
            </a:ln>
          </c:spPr>
          <c:trendline>
            <c:trendlineType val="linear"/>
            <c:dispRSqr val="0"/>
            <c:dispEq val="0"/>
          </c:trendline>
          <c:xVal>
            <c:numRef>
              <c:f>Master!$BN$4:$BN$175</c:f>
              <c:numCache>
                <c:formatCode>General</c:formatCode>
                <c:ptCount val="172"/>
                <c:pt idx="0">
                  <c:v>63</c:v>
                </c:pt>
                <c:pt idx="1">
                  <c:v>33</c:v>
                </c:pt>
                <c:pt idx="2">
                  <c:v>5</c:v>
                </c:pt>
                <c:pt idx="3">
                  <c:v>11</c:v>
                </c:pt>
                <c:pt idx="4">
                  <c:v>13</c:v>
                </c:pt>
                <c:pt idx="5">
                  <c:v>5</c:v>
                </c:pt>
                <c:pt idx="6">
                  <c:v>5</c:v>
                </c:pt>
                <c:pt idx="7">
                  <c:v>5</c:v>
                </c:pt>
                <c:pt idx="8">
                  <c:v>6</c:v>
                </c:pt>
                <c:pt idx="9">
                  <c:v>20</c:v>
                </c:pt>
                <c:pt idx="10">
                  <c:v>5</c:v>
                </c:pt>
                <c:pt idx="11">
                  <c:v>7</c:v>
                </c:pt>
                <c:pt idx="12">
                  <c:v>11</c:v>
                </c:pt>
                <c:pt idx="13">
                  <c:v>3</c:v>
                </c:pt>
                <c:pt idx="14">
                  <c:v>17</c:v>
                </c:pt>
                <c:pt idx="15">
                  <c:v>5</c:v>
                </c:pt>
                <c:pt idx="16">
                  <c:v>5</c:v>
                </c:pt>
                <c:pt idx="17">
                  <c:v>10</c:v>
                </c:pt>
                <c:pt idx="18">
                  <c:v>9</c:v>
                </c:pt>
                <c:pt idx="19">
                  <c:v>32</c:v>
                </c:pt>
                <c:pt idx="20">
                  <c:v>5</c:v>
                </c:pt>
                <c:pt idx="21">
                  <c:v>12</c:v>
                </c:pt>
                <c:pt idx="22">
                  <c:v>6</c:v>
                </c:pt>
                <c:pt idx="23">
                  <c:v>9</c:v>
                </c:pt>
                <c:pt idx="24">
                  <c:v>27</c:v>
                </c:pt>
                <c:pt idx="25">
                  <c:v>48</c:v>
                </c:pt>
                <c:pt idx="26">
                  <c:v>42</c:v>
                </c:pt>
                <c:pt idx="27">
                  <c:v>29</c:v>
                </c:pt>
                <c:pt idx="28">
                  <c:v>21</c:v>
                </c:pt>
                <c:pt idx="29">
                  <c:v>16</c:v>
                </c:pt>
                <c:pt idx="30">
                  <c:v>11</c:v>
                </c:pt>
                <c:pt idx="31">
                  <c:v>6</c:v>
                </c:pt>
                <c:pt idx="32">
                  <c:v>7</c:v>
                </c:pt>
                <c:pt idx="33">
                  <c:v>17</c:v>
                </c:pt>
                <c:pt idx="34">
                  <c:v>12</c:v>
                </c:pt>
                <c:pt idx="35">
                  <c:v>6</c:v>
                </c:pt>
                <c:pt idx="36">
                  <c:v>26</c:v>
                </c:pt>
                <c:pt idx="37">
                  <c:v>11</c:v>
                </c:pt>
                <c:pt idx="38">
                  <c:v>27</c:v>
                </c:pt>
                <c:pt idx="39">
                  <c:v>18</c:v>
                </c:pt>
                <c:pt idx="40">
                  <c:v>4</c:v>
                </c:pt>
                <c:pt idx="41">
                  <c:v>2</c:v>
                </c:pt>
                <c:pt idx="42">
                  <c:v>9</c:v>
                </c:pt>
                <c:pt idx="43">
                  <c:v>5</c:v>
                </c:pt>
                <c:pt idx="44">
                  <c:v>7</c:v>
                </c:pt>
                <c:pt idx="45">
                  <c:v>11</c:v>
                </c:pt>
                <c:pt idx="46">
                  <c:v>3</c:v>
                </c:pt>
                <c:pt idx="47">
                  <c:v>17</c:v>
                </c:pt>
                <c:pt idx="48">
                  <c:v>5</c:v>
                </c:pt>
                <c:pt idx="49">
                  <c:v>5</c:v>
                </c:pt>
                <c:pt idx="50">
                  <c:v>10</c:v>
                </c:pt>
                <c:pt idx="51">
                  <c:v>9</c:v>
                </c:pt>
                <c:pt idx="52">
                  <c:v>32</c:v>
                </c:pt>
                <c:pt idx="53">
                  <c:v>12</c:v>
                </c:pt>
                <c:pt idx="54">
                  <c:v>11</c:v>
                </c:pt>
                <c:pt idx="55">
                  <c:v>66</c:v>
                </c:pt>
                <c:pt idx="56">
                  <c:v>20</c:v>
                </c:pt>
                <c:pt idx="57">
                  <c:v>5</c:v>
                </c:pt>
                <c:pt idx="58">
                  <c:v>11</c:v>
                </c:pt>
                <c:pt idx="59">
                  <c:v>13</c:v>
                </c:pt>
                <c:pt idx="60">
                  <c:v>10</c:v>
                </c:pt>
                <c:pt idx="61">
                  <c:v>9</c:v>
                </c:pt>
                <c:pt idx="62">
                  <c:v>32</c:v>
                </c:pt>
                <c:pt idx="63">
                  <c:v>5</c:v>
                </c:pt>
                <c:pt idx="64">
                  <c:v>14</c:v>
                </c:pt>
                <c:pt idx="65">
                  <c:v>12</c:v>
                </c:pt>
                <c:pt idx="66">
                  <c:v>20</c:v>
                </c:pt>
                <c:pt idx="67">
                  <c:v>5</c:v>
                </c:pt>
                <c:pt idx="68">
                  <c:v>11</c:v>
                </c:pt>
                <c:pt idx="69">
                  <c:v>13</c:v>
                </c:pt>
                <c:pt idx="70">
                  <c:v>11</c:v>
                </c:pt>
                <c:pt idx="71">
                  <c:v>12</c:v>
                </c:pt>
                <c:pt idx="72">
                  <c:v>20</c:v>
                </c:pt>
                <c:pt idx="73">
                  <c:v>5</c:v>
                </c:pt>
                <c:pt idx="74">
                  <c:v>11</c:v>
                </c:pt>
                <c:pt idx="75">
                  <c:v>10</c:v>
                </c:pt>
                <c:pt idx="76">
                  <c:v>9</c:v>
                </c:pt>
                <c:pt idx="77">
                  <c:v>32</c:v>
                </c:pt>
                <c:pt idx="78">
                  <c:v>5</c:v>
                </c:pt>
                <c:pt idx="79">
                  <c:v>12</c:v>
                </c:pt>
                <c:pt idx="80">
                  <c:v>6</c:v>
                </c:pt>
                <c:pt idx="81">
                  <c:v>9</c:v>
                </c:pt>
                <c:pt idx="82">
                  <c:v>16</c:v>
                </c:pt>
                <c:pt idx="83">
                  <c:v>11</c:v>
                </c:pt>
                <c:pt idx="84">
                  <c:v>12</c:v>
                </c:pt>
                <c:pt idx="85">
                  <c:v>7</c:v>
                </c:pt>
                <c:pt idx="86">
                  <c:v>12</c:v>
                </c:pt>
                <c:pt idx="87">
                  <c:v>11</c:v>
                </c:pt>
                <c:pt idx="88">
                  <c:v>12</c:v>
                </c:pt>
                <c:pt idx="89">
                  <c:v>20</c:v>
                </c:pt>
                <c:pt idx="90">
                  <c:v>12</c:v>
                </c:pt>
                <c:pt idx="91">
                  <c:v>11</c:v>
                </c:pt>
                <c:pt idx="92">
                  <c:v>2</c:v>
                </c:pt>
                <c:pt idx="93">
                  <c:v>9</c:v>
                </c:pt>
                <c:pt idx="94">
                  <c:v>5</c:v>
                </c:pt>
                <c:pt idx="95">
                  <c:v>7</c:v>
                </c:pt>
                <c:pt idx="96">
                  <c:v>11</c:v>
                </c:pt>
                <c:pt idx="97">
                  <c:v>3</c:v>
                </c:pt>
                <c:pt idx="98">
                  <c:v>5</c:v>
                </c:pt>
                <c:pt idx="99">
                  <c:v>7</c:v>
                </c:pt>
                <c:pt idx="100">
                  <c:v>11</c:v>
                </c:pt>
                <c:pt idx="101">
                  <c:v>3</c:v>
                </c:pt>
                <c:pt idx="102">
                  <c:v>17</c:v>
                </c:pt>
                <c:pt idx="103">
                  <c:v>5</c:v>
                </c:pt>
                <c:pt idx="104">
                  <c:v>5</c:v>
                </c:pt>
                <c:pt idx="105">
                  <c:v>10</c:v>
                </c:pt>
                <c:pt idx="106">
                  <c:v>9</c:v>
                </c:pt>
                <c:pt idx="107">
                  <c:v>32</c:v>
                </c:pt>
                <c:pt idx="108">
                  <c:v>5</c:v>
                </c:pt>
                <c:pt idx="109">
                  <c:v>12</c:v>
                </c:pt>
                <c:pt idx="110">
                  <c:v>6</c:v>
                </c:pt>
                <c:pt idx="111">
                  <c:v>20</c:v>
                </c:pt>
                <c:pt idx="112">
                  <c:v>5</c:v>
                </c:pt>
                <c:pt idx="113">
                  <c:v>11</c:v>
                </c:pt>
                <c:pt idx="114">
                  <c:v>13</c:v>
                </c:pt>
                <c:pt idx="115">
                  <c:v>10</c:v>
                </c:pt>
                <c:pt idx="116">
                  <c:v>9</c:v>
                </c:pt>
                <c:pt idx="117">
                  <c:v>32</c:v>
                </c:pt>
                <c:pt idx="118">
                  <c:v>5</c:v>
                </c:pt>
                <c:pt idx="119">
                  <c:v>6</c:v>
                </c:pt>
                <c:pt idx="120">
                  <c:v>9</c:v>
                </c:pt>
                <c:pt idx="121">
                  <c:v>16</c:v>
                </c:pt>
                <c:pt idx="122">
                  <c:v>12</c:v>
                </c:pt>
                <c:pt idx="123">
                  <c:v>5</c:v>
                </c:pt>
                <c:pt idx="124">
                  <c:v>10</c:v>
                </c:pt>
                <c:pt idx="125">
                  <c:v>9</c:v>
                </c:pt>
                <c:pt idx="126">
                  <c:v>32</c:v>
                </c:pt>
                <c:pt idx="127">
                  <c:v>5</c:v>
                </c:pt>
                <c:pt idx="128">
                  <c:v>12</c:v>
                </c:pt>
                <c:pt idx="129">
                  <c:v>6</c:v>
                </c:pt>
                <c:pt idx="130">
                  <c:v>20</c:v>
                </c:pt>
                <c:pt idx="131">
                  <c:v>5</c:v>
                </c:pt>
                <c:pt idx="132">
                  <c:v>11</c:v>
                </c:pt>
                <c:pt idx="133">
                  <c:v>13</c:v>
                </c:pt>
                <c:pt idx="134">
                  <c:v>5</c:v>
                </c:pt>
                <c:pt idx="135">
                  <c:v>11</c:v>
                </c:pt>
                <c:pt idx="136">
                  <c:v>13</c:v>
                </c:pt>
                <c:pt idx="137">
                  <c:v>5</c:v>
                </c:pt>
                <c:pt idx="138">
                  <c:v>26</c:v>
                </c:pt>
                <c:pt idx="139">
                  <c:v>5</c:v>
                </c:pt>
                <c:pt idx="140">
                  <c:v>6</c:v>
                </c:pt>
                <c:pt idx="141">
                  <c:v>12</c:v>
                </c:pt>
                <c:pt idx="142">
                  <c:v>5</c:v>
                </c:pt>
                <c:pt idx="143">
                  <c:v>5</c:v>
                </c:pt>
                <c:pt idx="144">
                  <c:v>10</c:v>
                </c:pt>
                <c:pt idx="145">
                  <c:v>9</c:v>
                </c:pt>
                <c:pt idx="146">
                  <c:v>5</c:v>
                </c:pt>
                <c:pt idx="147">
                  <c:v>5</c:v>
                </c:pt>
                <c:pt idx="148">
                  <c:v>12</c:v>
                </c:pt>
                <c:pt idx="149">
                  <c:v>6</c:v>
                </c:pt>
                <c:pt idx="150">
                  <c:v>20</c:v>
                </c:pt>
                <c:pt idx="151">
                  <c:v>5</c:v>
                </c:pt>
                <c:pt idx="152">
                  <c:v>11</c:v>
                </c:pt>
                <c:pt idx="153">
                  <c:v>13</c:v>
                </c:pt>
                <c:pt idx="154">
                  <c:v>29</c:v>
                </c:pt>
                <c:pt idx="155">
                  <c:v>5</c:v>
                </c:pt>
                <c:pt idx="156">
                  <c:v>5</c:v>
                </c:pt>
                <c:pt idx="157">
                  <c:v>12</c:v>
                </c:pt>
                <c:pt idx="158">
                  <c:v>5</c:v>
                </c:pt>
                <c:pt idx="159">
                  <c:v>12</c:v>
                </c:pt>
                <c:pt idx="160">
                  <c:v>6</c:v>
                </c:pt>
                <c:pt idx="161">
                  <c:v>21</c:v>
                </c:pt>
                <c:pt idx="162">
                  <c:v>5</c:v>
                </c:pt>
                <c:pt idx="163">
                  <c:v>12</c:v>
                </c:pt>
                <c:pt idx="164">
                  <c:v>29</c:v>
                </c:pt>
                <c:pt idx="165">
                  <c:v>5</c:v>
                </c:pt>
                <c:pt idx="166">
                  <c:v>12</c:v>
                </c:pt>
                <c:pt idx="167">
                  <c:v>28</c:v>
                </c:pt>
                <c:pt idx="168">
                  <c:v>6</c:v>
                </c:pt>
                <c:pt idx="169">
                  <c:v>5</c:v>
                </c:pt>
                <c:pt idx="170">
                  <c:v>19</c:v>
                </c:pt>
                <c:pt idx="171">
                  <c:v>6</c:v>
                </c:pt>
              </c:numCache>
            </c:numRef>
          </c:xVal>
          <c:yVal>
            <c:numRef>
              <c:f>Master!$BO$4:$BO$175</c:f>
              <c:numCache>
                <c:formatCode>General</c:formatCode>
                <c:ptCount val="172"/>
                <c:pt idx="0">
                  <c:v>2.75</c:v>
                </c:pt>
                <c:pt idx="1">
                  <c:v>3.7</c:v>
                </c:pt>
                <c:pt idx="2">
                  <c:v>4</c:v>
                </c:pt>
                <c:pt idx="3">
                  <c:v>6</c:v>
                </c:pt>
                <c:pt idx="4">
                  <c:v>6.9</c:v>
                </c:pt>
                <c:pt idx="5">
                  <c:v>6</c:v>
                </c:pt>
                <c:pt idx="6">
                  <c:v>2.8</c:v>
                </c:pt>
                <c:pt idx="7">
                  <c:v>3.8</c:v>
                </c:pt>
                <c:pt idx="8">
                  <c:v>8</c:v>
                </c:pt>
                <c:pt idx="9">
                  <c:v>4</c:v>
                </c:pt>
                <c:pt idx="10">
                  <c:v>35</c:v>
                </c:pt>
                <c:pt idx="11">
                  <c:v>9</c:v>
                </c:pt>
                <c:pt idx="12">
                  <c:v>2.4</c:v>
                </c:pt>
                <c:pt idx="13">
                  <c:v>3</c:v>
                </c:pt>
                <c:pt idx="14">
                  <c:v>4</c:v>
                </c:pt>
                <c:pt idx="15">
                  <c:v>3.6</c:v>
                </c:pt>
                <c:pt idx="16">
                  <c:v>3.8</c:v>
                </c:pt>
                <c:pt idx="17">
                  <c:v>3</c:v>
                </c:pt>
                <c:pt idx="18">
                  <c:v>5.6</c:v>
                </c:pt>
                <c:pt idx="19">
                  <c:v>2</c:v>
                </c:pt>
                <c:pt idx="20">
                  <c:v>4</c:v>
                </c:pt>
                <c:pt idx="21">
                  <c:v>6.5</c:v>
                </c:pt>
                <c:pt idx="22">
                  <c:v>3</c:v>
                </c:pt>
                <c:pt idx="23">
                  <c:v>2.8</c:v>
                </c:pt>
                <c:pt idx="24">
                  <c:v>21</c:v>
                </c:pt>
                <c:pt idx="25">
                  <c:v>10</c:v>
                </c:pt>
                <c:pt idx="26">
                  <c:v>3</c:v>
                </c:pt>
                <c:pt idx="27">
                  <c:v>2</c:v>
                </c:pt>
                <c:pt idx="28">
                  <c:v>8</c:v>
                </c:pt>
                <c:pt idx="29">
                  <c:v>3</c:v>
                </c:pt>
                <c:pt idx="30">
                  <c:v>2.6</c:v>
                </c:pt>
                <c:pt idx="31">
                  <c:v>4</c:v>
                </c:pt>
                <c:pt idx="32">
                  <c:v>30</c:v>
                </c:pt>
                <c:pt idx="33">
                  <c:v>9</c:v>
                </c:pt>
                <c:pt idx="34">
                  <c:v>3.2</c:v>
                </c:pt>
                <c:pt idx="35">
                  <c:v>4</c:v>
                </c:pt>
                <c:pt idx="36">
                  <c:v>8</c:v>
                </c:pt>
                <c:pt idx="37">
                  <c:v>7.4</c:v>
                </c:pt>
                <c:pt idx="38">
                  <c:v>2</c:v>
                </c:pt>
                <c:pt idx="39">
                  <c:v>4</c:v>
                </c:pt>
                <c:pt idx="40">
                  <c:v>14</c:v>
                </c:pt>
                <c:pt idx="41">
                  <c:v>2</c:v>
                </c:pt>
                <c:pt idx="42">
                  <c:v>5</c:v>
                </c:pt>
                <c:pt idx="43">
                  <c:v>3.5</c:v>
                </c:pt>
                <c:pt idx="44">
                  <c:v>3.4</c:v>
                </c:pt>
                <c:pt idx="45">
                  <c:v>9</c:v>
                </c:pt>
                <c:pt idx="46">
                  <c:v>3</c:v>
                </c:pt>
                <c:pt idx="47">
                  <c:v>4</c:v>
                </c:pt>
                <c:pt idx="48">
                  <c:v>3.6</c:v>
                </c:pt>
                <c:pt idx="49">
                  <c:v>28</c:v>
                </c:pt>
                <c:pt idx="50">
                  <c:v>3</c:v>
                </c:pt>
                <c:pt idx="51">
                  <c:v>3</c:v>
                </c:pt>
                <c:pt idx="52">
                  <c:v>2</c:v>
                </c:pt>
                <c:pt idx="53">
                  <c:v>6.5</c:v>
                </c:pt>
                <c:pt idx="54">
                  <c:v>2.4</c:v>
                </c:pt>
                <c:pt idx="55">
                  <c:v>2.75</c:v>
                </c:pt>
                <c:pt idx="56">
                  <c:v>3.7</c:v>
                </c:pt>
                <c:pt idx="57">
                  <c:v>4</c:v>
                </c:pt>
                <c:pt idx="58">
                  <c:v>3.7</c:v>
                </c:pt>
                <c:pt idx="59">
                  <c:v>6.9</c:v>
                </c:pt>
                <c:pt idx="60">
                  <c:v>3</c:v>
                </c:pt>
                <c:pt idx="61">
                  <c:v>3</c:v>
                </c:pt>
                <c:pt idx="62">
                  <c:v>2</c:v>
                </c:pt>
                <c:pt idx="63">
                  <c:v>4</c:v>
                </c:pt>
                <c:pt idx="64">
                  <c:v>56</c:v>
                </c:pt>
                <c:pt idx="65">
                  <c:v>2.75</c:v>
                </c:pt>
                <c:pt idx="66">
                  <c:v>3.7</c:v>
                </c:pt>
                <c:pt idx="67">
                  <c:v>4</c:v>
                </c:pt>
                <c:pt idx="68">
                  <c:v>3.7</c:v>
                </c:pt>
                <c:pt idx="69">
                  <c:v>7</c:v>
                </c:pt>
                <c:pt idx="70">
                  <c:v>2.4</c:v>
                </c:pt>
                <c:pt idx="71">
                  <c:v>2.75</c:v>
                </c:pt>
                <c:pt idx="72">
                  <c:v>4</c:v>
                </c:pt>
                <c:pt idx="73">
                  <c:v>4</c:v>
                </c:pt>
                <c:pt idx="74">
                  <c:v>3.7</c:v>
                </c:pt>
                <c:pt idx="75">
                  <c:v>5.8</c:v>
                </c:pt>
                <c:pt idx="76">
                  <c:v>3.6</c:v>
                </c:pt>
                <c:pt idx="77">
                  <c:v>2</c:v>
                </c:pt>
                <c:pt idx="78">
                  <c:v>4</c:v>
                </c:pt>
                <c:pt idx="79">
                  <c:v>6.5</c:v>
                </c:pt>
                <c:pt idx="80">
                  <c:v>3</c:v>
                </c:pt>
                <c:pt idx="81">
                  <c:v>2.8</c:v>
                </c:pt>
                <c:pt idx="82">
                  <c:v>8</c:v>
                </c:pt>
                <c:pt idx="83">
                  <c:v>2.6</c:v>
                </c:pt>
                <c:pt idx="84">
                  <c:v>6.5</c:v>
                </c:pt>
                <c:pt idx="85">
                  <c:v>4</c:v>
                </c:pt>
                <c:pt idx="86">
                  <c:v>6.5</c:v>
                </c:pt>
                <c:pt idx="87">
                  <c:v>2.4</c:v>
                </c:pt>
                <c:pt idx="88">
                  <c:v>2.75</c:v>
                </c:pt>
                <c:pt idx="89">
                  <c:v>3.7</c:v>
                </c:pt>
                <c:pt idx="90">
                  <c:v>6.5</c:v>
                </c:pt>
                <c:pt idx="91">
                  <c:v>3.7</c:v>
                </c:pt>
                <c:pt idx="92">
                  <c:v>5.8</c:v>
                </c:pt>
                <c:pt idx="93">
                  <c:v>24</c:v>
                </c:pt>
                <c:pt idx="94">
                  <c:v>3.5</c:v>
                </c:pt>
                <c:pt idx="95">
                  <c:v>3.4</c:v>
                </c:pt>
                <c:pt idx="96">
                  <c:v>2.4</c:v>
                </c:pt>
                <c:pt idx="97">
                  <c:v>3</c:v>
                </c:pt>
                <c:pt idx="98">
                  <c:v>8</c:v>
                </c:pt>
                <c:pt idx="99">
                  <c:v>3.4</c:v>
                </c:pt>
                <c:pt idx="100">
                  <c:v>2.4</c:v>
                </c:pt>
                <c:pt idx="101">
                  <c:v>9.6</c:v>
                </c:pt>
                <c:pt idx="102">
                  <c:v>4</c:v>
                </c:pt>
                <c:pt idx="103">
                  <c:v>3.6</c:v>
                </c:pt>
                <c:pt idx="104">
                  <c:v>3.8</c:v>
                </c:pt>
                <c:pt idx="105">
                  <c:v>42</c:v>
                </c:pt>
                <c:pt idx="106">
                  <c:v>3</c:v>
                </c:pt>
                <c:pt idx="107">
                  <c:v>2</c:v>
                </c:pt>
                <c:pt idx="108">
                  <c:v>4</c:v>
                </c:pt>
                <c:pt idx="109">
                  <c:v>6.5</c:v>
                </c:pt>
                <c:pt idx="110">
                  <c:v>3</c:v>
                </c:pt>
                <c:pt idx="111">
                  <c:v>2.8</c:v>
                </c:pt>
                <c:pt idx="112">
                  <c:v>4</c:v>
                </c:pt>
                <c:pt idx="113">
                  <c:v>3.7</c:v>
                </c:pt>
                <c:pt idx="114">
                  <c:v>3</c:v>
                </c:pt>
                <c:pt idx="115">
                  <c:v>3</c:v>
                </c:pt>
                <c:pt idx="116">
                  <c:v>5.8</c:v>
                </c:pt>
                <c:pt idx="117">
                  <c:v>2</c:v>
                </c:pt>
                <c:pt idx="118">
                  <c:v>5.8</c:v>
                </c:pt>
                <c:pt idx="119">
                  <c:v>3</c:v>
                </c:pt>
                <c:pt idx="120">
                  <c:v>2.8</c:v>
                </c:pt>
                <c:pt idx="121">
                  <c:v>3</c:v>
                </c:pt>
                <c:pt idx="122">
                  <c:v>6.5</c:v>
                </c:pt>
                <c:pt idx="123">
                  <c:v>3.8</c:v>
                </c:pt>
                <c:pt idx="124">
                  <c:v>3</c:v>
                </c:pt>
                <c:pt idx="125">
                  <c:v>3</c:v>
                </c:pt>
                <c:pt idx="126">
                  <c:v>8</c:v>
                </c:pt>
                <c:pt idx="127">
                  <c:v>4</c:v>
                </c:pt>
                <c:pt idx="128">
                  <c:v>6.5</c:v>
                </c:pt>
                <c:pt idx="129">
                  <c:v>3</c:v>
                </c:pt>
                <c:pt idx="130">
                  <c:v>36</c:v>
                </c:pt>
                <c:pt idx="131">
                  <c:v>4</c:v>
                </c:pt>
                <c:pt idx="132">
                  <c:v>4</c:v>
                </c:pt>
                <c:pt idx="133">
                  <c:v>6.9</c:v>
                </c:pt>
                <c:pt idx="134">
                  <c:v>3.6</c:v>
                </c:pt>
                <c:pt idx="135">
                  <c:v>3.7</c:v>
                </c:pt>
                <c:pt idx="136">
                  <c:v>6.9</c:v>
                </c:pt>
                <c:pt idx="137">
                  <c:v>4</c:v>
                </c:pt>
                <c:pt idx="138">
                  <c:v>3</c:v>
                </c:pt>
                <c:pt idx="139">
                  <c:v>7.2</c:v>
                </c:pt>
                <c:pt idx="140">
                  <c:v>4.2</c:v>
                </c:pt>
                <c:pt idx="141">
                  <c:v>6.5</c:v>
                </c:pt>
                <c:pt idx="142">
                  <c:v>3.6</c:v>
                </c:pt>
                <c:pt idx="143">
                  <c:v>3.8</c:v>
                </c:pt>
                <c:pt idx="144">
                  <c:v>4.2</c:v>
                </c:pt>
                <c:pt idx="145">
                  <c:v>3</c:v>
                </c:pt>
                <c:pt idx="146">
                  <c:v>35</c:v>
                </c:pt>
                <c:pt idx="147">
                  <c:v>4</c:v>
                </c:pt>
                <c:pt idx="148">
                  <c:v>6.5</c:v>
                </c:pt>
                <c:pt idx="149">
                  <c:v>3</c:v>
                </c:pt>
                <c:pt idx="150">
                  <c:v>36</c:v>
                </c:pt>
                <c:pt idx="151">
                  <c:v>4</c:v>
                </c:pt>
                <c:pt idx="152">
                  <c:v>3.7</c:v>
                </c:pt>
                <c:pt idx="153">
                  <c:v>6.9</c:v>
                </c:pt>
                <c:pt idx="154">
                  <c:v>3</c:v>
                </c:pt>
                <c:pt idx="155">
                  <c:v>4</c:v>
                </c:pt>
                <c:pt idx="156">
                  <c:v>3.6</c:v>
                </c:pt>
                <c:pt idx="157">
                  <c:v>6.5</c:v>
                </c:pt>
                <c:pt idx="158">
                  <c:v>4</c:v>
                </c:pt>
                <c:pt idx="159">
                  <c:v>6.5</c:v>
                </c:pt>
                <c:pt idx="160">
                  <c:v>4</c:v>
                </c:pt>
                <c:pt idx="161">
                  <c:v>3</c:v>
                </c:pt>
                <c:pt idx="162">
                  <c:v>35</c:v>
                </c:pt>
                <c:pt idx="163">
                  <c:v>6.5</c:v>
                </c:pt>
                <c:pt idx="164">
                  <c:v>7</c:v>
                </c:pt>
                <c:pt idx="165">
                  <c:v>3.6</c:v>
                </c:pt>
                <c:pt idx="166">
                  <c:v>6.5</c:v>
                </c:pt>
                <c:pt idx="167">
                  <c:v>3</c:v>
                </c:pt>
                <c:pt idx="168">
                  <c:v>3</c:v>
                </c:pt>
                <c:pt idx="169">
                  <c:v>7</c:v>
                </c:pt>
                <c:pt idx="170">
                  <c:v>2.5</c:v>
                </c:pt>
                <c:pt idx="171">
                  <c:v>3</c:v>
                </c:pt>
              </c:numCache>
            </c:numRef>
          </c:yVal>
          <c:smooth val="0"/>
        </c:ser>
        <c:dLbls>
          <c:showLegendKey val="0"/>
          <c:showVal val="0"/>
          <c:showCatName val="0"/>
          <c:showSerName val="0"/>
          <c:showPercent val="0"/>
          <c:showBubbleSize val="0"/>
        </c:dLbls>
        <c:axId val="239726592"/>
        <c:axId val="239728512"/>
      </c:scatterChart>
      <c:valAx>
        <c:axId val="239726592"/>
        <c:scaling>
          <c:orientation val="minMax"/>
        </c:scaling>
        <c:delete val="0"/>
        <c:axPos val="b"/>
        <c:majorGridlines/>
        <c:minorGridlines/>
        <c:title>
          <c:tx>
            <c:rich>
              <a:bodyPr/>
              <a:lstStyle/>
              <a:p>
                <a:pPr>
                  <a:defRPr lang="en-IN"/>
                </a:pPr>
                <a:r>
                  <a:rPr lang="en-US" sz="1000" b="1" i="0" u="none" strike="noStrike" baseline="0">
                    <a:effectLst/>
                  </a:rPr>
                  <a:t>eGFR</a:t>
                </a:r>
                <a:r>
                  <a:rPr lang="en-US" sz="1000" b="1" i="0" u="none" strike="noStrike" kern="1200" baseline="0">
                    <a:solidFill>
                      <a:sysClr val="windowText" lastClr="000000"/>
                    </a:solidFill>
                    <a:effectLst/>
                    <a:latin typeface="Times New Roman" pitchFamily="18" charset="0"/>
                    <a:ea typeface="+mn-ea"/>
                    <a:cs typeface="Times New Roman" pitchFamily="18" charset="0"/>
                  </a:rPr>
                  <a:t> (</a:t>
                </a:r>
                <a:r>
                  <a:rPr lang="en-US" sz="1000" b="1" i="0" u="none" strike="noStrike" baseline="0">
                    <a:effectLst/>
                  </a:rPr>
                  <a:t>ml/min/1.73m</a:t>
                </a:r>
                <a:r>
                  <a:rPr lang="en-US" sz="1000" b="1" i="0" u="none" strike="noStrike" baseline="30000">
                    <a:effectLst/>
                  </a:rPr>
                  <a:t>2</a:t>
                </a:r>
                <a:r>
                  <a:rPr lang="en-US" sz="1000" b="1" i="0" u="none" strike="noStrike" baseline="0">
                    <a:effectLst/>
                  </a:rPr>
                  <a:t>)</a:t>
                </a:r>
                <a:endParaRPr lang="en-US"/>
              </a:p>
            </c:rich>
          </c:tx>
          <c:overlay val="0"/>
        </c:title>
        <c:numFmt formatCode="General" sourceLinked="1"/>
        <c:majorTickMark val="out"/>
        <c:minorTickMark val="none"/>
        <c:tickLblPos val="nextTo"/>
        <c:txPr>
          <a:bodyPr/>
          <a:lstStyle/>
          <a:p>
            <a:pPr>
              <a:defRPr lang="en-IN"/>
            </a:pPr>
            <a:endParaRPr lang="en-US"/>
          </a:p>
        </c:txPr>
        <c:crossAx val="239728512"/>
        <c:crosses val="autoZero"/>
        <c:crossBetween val="midCat"/>
      </c:valAx>
      <c:valAx>
        <c:axId val="239728512"/>
        <c:scaling>
          <c:orientation val="minMax"/>
        </c:scaling>
        <c:delete val="0"/>
        <c:axPos val="l"/>
        <c:majorGridlines/>
        <c:minorGridlines/>
        <c:title>
          <c:tx>
            <c:rich>
              <a:bodyPr/>
              <a:lstStyle/>
              <a:p>
                <a:pPr>
                  <a:defRPr lang="en-IN"/>
                </a:pPr>
                <a:r>
                  <a:rPr lang="en-US"/>
                  <a:t>TSH</a:t>
                </a:r>
                <a:r>
                  <a:rPr lang="en-US" sz="1000" b="1" i="0" u="none" strike="noStrike" kern="1200" baseline="0">
                    <a:solidFill>
                      <a:sysClr val="windowText" lastClr="000000"/>
                    </a:solidFill>
                    <a:latin typeface="Times New Roman" pitchFamily="18" charset="0"/>
                    <a:ea typeface="+mn-ea"/>
                    <a:cs typeface="Times New Roman" pitchFamily="18" charset="0"/>
                  </a:rPr>
                  <a:t> (</a:t>
                </a:r>
                <a:r>
                  <a:rPr lang="en-US">
                    <a:latin typeface="Times New Roman"/>
                    <a:cs typeface="Times New Roman"/>
                  </a:rPr>
                  <a:t>µIU/ml)</a:t>
                </a:r>
                <a:endParaRPr lang="en-US"/>
              </a:p>
            </c:rich>
          </c:tx>
          <c:overlay val="0"/>
        </c:title>
        <c:numFmt formatCode="General" sourceLinked="1"/>
        <c:majorTickMark val="out"/>
        <c:minorTickMark val="none"/>
        <c:tickLblPos val="nextTo"/>
        <c:txPr>
          <a:bodyPr/>
          <a:lstStyle/>
          <a:p>
            <a:pPr>
              <a:defRPr lang="en-IN"/>
            </a:pPr>
            <a:endParaRPr lang="en-US"/>
          </a:p>
        </c:txPr>
        <c:crossAx val="239726592"/>
        <c:crosses val="autoZero"/>
        <c:crossBetween val="midCat"/>
      </c:valAx>
    </c:plotArea>
    <c:legend>
      <c:legendPos val="b"/>
      <c:overlay val="0"/>
      <c:spPr>
        <a:solidFill>
          <a:schemeClr val="lt1"/>
        </a:solidFill>
        <a:ln w="25400" cap="flat" cmpd="sng" algn="ctr">
          <a:solidFill>
            <a:schemeClr val="dk1"/>
          </a:solidFill>
          <a:prstDash val="solid"/>
        </a:ln>
        <a:effectLst/>
      </c:spPr>
      <c:txPr>
        <a:bodyPr/>
        <a:lstStyle/>
        <a:p>
          <a:pPr>
            <a:defRPr lang="en-IN"/>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sz="10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592</TotalTime>
  <Pages>10</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140</cp:revision>
  <dcterms:created xsi:type="dcterms:W3CDTF">2019-10-21T18:13:00Z</dcterms:created>
  <dcterms:modified xsi:type="dcterms:W3CDTF">2020-07-07T07:40:00Z</dcterms:modified>
</cp:coreProperties>
</file>