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D5" w:rsidRPr="00A07FDB" w:rsidRDefault="009918F9" w:rsidP="000320CA">
      <w:pPr>
        <w:ind w:right="90"/>
        <w:jc w:val="both"/>
        <w:rPr>
          <w:rFonts w:ascii="Times New Roman" w:hAnsi="Times New Roman" w:cs="Times New Roman"/>
          <w:b/>
          <w:i/>
          <w:sz w:val="44"/>
          <w:szCs w:val="44"/>
        </w:rPr>
      </w:pPr>
      <w:r w:rsidRPr="00A07FDB">
        <w:rPr>
          <w:rFonts w:ascii="Times New Roman" w:hAnsi="Times New Roman" w:cs="Times New Roman"/>
          <w:b/>
          <w:sz w:val="44"/>
          <w:szCs w:val="44"/>
        </w:rPr>
        <w:t>NEUTROPENIA IN BREAST CANCER PATIENTS RECEI</w:t>
      </w:r>
      <w:r w:rsidR="00C9461D" w:rsidRPr="00A07FDB">
        <w:rPr>
          <w:rFonts w:ascii="Times New Roman" w:hAnsi="Times New Roman" w:cs="Times New Roman"/>
          <w:b/>
          <w:sz w:val="44"/>
          <w:szCs w:val="44"/>
        </w:rPr>
        <w:t>VING PACLITAXEL AS CHEMOTHERAPY</w:t>
      </w:r>
      <w:r w:rsidR="00E94C3E">
        <w:rPr>
          <w:rFonts w:ascii="Times New Roman" w:hAnsi="Times New Roman" w:cs="Times New Roman"/>
          <w:b/>
          <w:sz w:val="44"/>
          <w:szCs w:val="44"/>
        </w:rPr>
        <w:t>: A STUDY IN</w:t>
      </w:r>
      <w:r w:rsidRPr="00A07FDB">
        <w:rPr>
          <w:rFonts w:ascii="Times New Roman" w:hAnsi="Times New Roman" w:cs="Times New Roman"/>
          <w:b/>
          <w:sz w:val="44"/>
          <w:szCs w:val="44"/>
        </w:rPr>
        <w:t xml:space="preserve"> A TERTIARY</w:t>
      </w:r>
      <w:r w:rsidR="00DB7273" w:rsidRPr="00A07FDB">
        <w:rPr>
          <w:rFonts w:ascii="Times New Roman" w:hAnsi="Times New Roman" w:cs="Times New Roman"/>
          <w:b/>
          <w:sz w:val="44"/>
          <w:szCs w:val="44"/>
        </w:rPr>
        <w:t xml:space="preserve"> CARE CENTRE IN NORTH-EAST INDI</w:t>
      </w:r>
      <w:r w:rsidR="00E742DC" w:rsidRPr="00A07FDB">
        <w:rPr>
          <w:rFonts w:ascii="Times New Roman" w:hAnsi="Times New Roman" w:cs="Times New Roman"/>
          <w:b/>
          <w:sz w:val="44"/>
          <w:szCs w:val="44"/>
        </w:rPr>
        <w:t>A</w:t>
      </w:r>
      <w:r w:rsidR="00A04658" w:rsidRPr="00A07FDB">
        <w:rPr>
          <w:rFonts w:ascii="Times New Roman" w:hAnsi="Times New Roman" w:cs="Times New Roman"/>
          <w:b/>
          <w:sz w:val="44"/>
          <w:szCs w:val="44"/>
        </w:rPr>
        <w:t>.</w:t>
      </w:r>
    </w:p>
    <w:p w:rsidR="005966F5" w:rsidRPr="008421F0" w:rsidRDefault="008421F0" w:rsidP="002219F2">
      <w:pPr>
        <w:pStyle w:val="Default"/>
        <w:jc w:val="both"/>
        <w:rPr>
          <w:rFonts w:ascii="Times New Roman" w:hAnsi="Times New Roman" w:cs="Times New Roman"/>
          <w:sz w:val="20"/>
          <w:szCs w:val="20"/>
        </w:rPr>
      </w:pPr>
      <w:proofErr w:type="spellStart"/>
      <w:r w:rsidRPr="00CF7510">
        <w:rPr>
          <w:rFonts w:ascii="Times New Roman" w:hAnsi="Times New Roman" w:cs="Times New Roman"/>
          <w:sz w:val="20"/>
          <w:szCs w:val="20"/>
        </w:rPr>
        <w:t>Kalita</w:t>
      </w:r>
      <w:proofErr w:type="spellEnd"/>
      <w:r w:rsidRPr="00CF7510">
        <w:rPr>
          <w:rFonts w:ascii="Times New Roman" w:hAnsi="Times New Roman" w:cs="Times New Roman"/>
          <w:sz w:val="20"/>
          <w:szCs w:val="20"/>
        </w:rPr>
        <w:t xml:space="preserve"> </w:t>
      </w:r>
      <w:r>
        <w:rPr>
          <w:rFonts w:ascii="Times New Roman" w:hAnsi="Times New Roman" w:cs="Times New Roman"/>
          <w:sz w:val="20"/>
          <w:szCs w:val="20"/>
        </w:rPr>
        <w:t>NK</w:t>
      </w:r>
      <w:r w:rsidR="00847DD5" w:rsidRPr="00CF7510">
        <w:rPr>
          <w:rFonts w:ascii="Times New Roman" w:hAnsi="Times New Roman" w:cs="Times New Roman"/>
          <w:sz w:val="20"/>
          <w:szCs w:val="20"/>
          <w:vertAlign w:val="superscript"/>
        </w:rPr>
        <w:t>1</w:t>
      </w:r>
      <w:r w:rsidR="00847DD5" w:rsidRPr="00CF7510">
        <w:rPr>
          <w:rFonts w:ascii="Times New Roman" w:hAnsi="Times New Roman" w:cs="Times New Roman"/>
          <w:sz w:val="20"/>
          <w:szCs w:val="20"/>
        </w:rPr>
        <w:t xml:space="preserve">, </w:t>
      </w:r>
      <w:proofErr w:type="spellStart"/>
      <w:r w:rsidRPr="00CF7510">
        <w:rPr>
          <w:rFonts w:ascii="Times New Roman" w:hAnsi="Times New Roman" w:cs="Times New Roman"/>
          <w:sz w:val="20"/>
          <w:szCs w:val="20"/>
        </w:rPr>
        <w:t>Mahanta</w:t>
      </w:r>
      <w:proofErr w:type="spellEnd"/>
      <w:r>
        <w:rPr>
          <w:rFonts w:ascii="Times New Roman" w:hAnsi="Times New Roman" w:cs="Times New Roman"/>
          <w:sz w:val="20"/>
          <w:szCs w:val="20"/>
        </w:rPr>
        <w:t xml:space="preserve"> </w:t>
      </w:r>
      <w:r w:rsidR="00A04658" w:rsidRPr="00CF7510">
        <w:rPr>
          <w:rFonts w:ascii="Times New Roman" w:hAnsi="Times New Roman" w:cs="Times New Roman"/>
          <w:sz w:val="20"/>
          <w:szCs w:val="20"/>
        </w:rPr>
        <w:t>Neelakshi</w:t>
      </w:r>
      <w:r w:rsidRPr="00CF7510">
        <w:rPr>
          <w:rFonts w:ascii="Times New Roman" w:hAnsi="Times New Roman" w:cs="Times New Roman"/>
          <w:sz w:val="20"/>
          <w:szCs w:val="20"/>
          <w:vertAlign w:val="superscript"/>
        </w:rPr>
        <w:t>2</w:t>
      </w:r>
      <w:r w:rsidR="00A04658" w:rsidRPr="00CF7510">
        <w:rPr>
          <w:rFonts w:ascii="Times New Roman" w:hAnsi="Times New Roman" w:cs="Times New Roman"/>
          <w:sz w:val="20"/>
          <w:szCs w:val="20"/>
        </w:rPr>
        <w:t xml:space="preserve">, </w:t>
      </w:r>
      <w:proofErr w:type="spellStart"/>
      <w:r w:rsidR="001E1ACD" w:rsidRPr="00CF7510">
        <w:rPr>
          <w:rFonts w:ascii="Times New Roman" w:hAnsi="Times New Roman" w:cs="Times New Roman"/>
          <w:sz w:val="20"/>
          <w:szCs w:val="20"/>
        </w:rPr>
        <w:t>Deka</w:t>
      </w:r>
      <w:proofErr w:type="spellEnd"/>
      <w:r w:rsidRPr="008421F0">
        <w:rPr>
          <w:rFonts w:ascii="Times New Roman" w:hAnsi="Times New Roman" w:cs="Times New Roman"/>
          <w:sz w:val="20"/>
          <w:szCs w:val="20"/>
        </w:rPr>
        <w:t xml:space="preserve"> </w:t>
      </w:r>
      <w:r w:rsidRPr="00CF7510">
        <w:rPr>
          <w:rFonts w:ascii="Times New Roman" w:hAnsi="Times New Roman" w:cs="Times New Roman"/>
          <w:sz w:val="20"/>
          <w:szCs w:val="20"/>
        </w:rPr>
        <w:t>Hitesh</w:t>
      </w:r>
      <w:r w:rsidRPr="00CF7510">
        <w:rPr>
          <w:rFonts w:ascii="Times New Roman" w:hAnsi="Times New Roman" w:cs="Times New Roman"/>
          <w:sz w:val="20"/>
          <w:szCs w:val="20"/>
          <w:vertAlign w:val="superscript"/>
        </w:rPr>
        <w:t>3</w:t>
      </w:r>
      <w:r w:rsidR="00847DD5" w:rsidRPr="00CF7510">
        <w:rPr>
          <w:rFonts w:ascii="Times New Roman" w:hAnsi="Times New Roman" w:cs="Times New Roman"/>
          <w:sz w:val="20"/>
          <w:szCs w:val="20"/>
        </w:rPr>
        <w:t>,</w:t>
      </w:r>
      <w:r w:rsidR="00EA302D" w:rsidRPr="00CF7510">
        <w:rPr>
          <w:rFonts w:ascii="Times New Roman" w:hAnsi="Times New Roman" w:cs="Times New Roman"/>
          <w:sz w:val="20"/>
          <w:szCs w:val="20"/>
        </w:rPr>
        <w:t xml:space="preserve"> </w:t>
      </w:r>
      <w:proofErr w:type="spellStart"/>
      <w:r w:rsidRPr="002219F2">
        <w:rPr>
          <w:rFonts w:ascii="Times New Roman" w:hAnsi="Times New Roman" w:cs="Times New Roman"/>
          <w:sz w:val="20"/>
          <w:szCs w:val="20"/>
        </w:rPr>
        <w:t>Kutum</w:t>
      </w:r>
      <w:proofErr w:type="spellEnd"/>
      <w:r w:rsidRPr="00CF7510">
        <w:rPr>
          <w:rFonts w:ascii="Times New Roman" w:hAnsi="Times New Roman" w:cs="Times New Roman"/>
          <w:sz w:val="20"/>
          <w:szCs w:val="20"/>
        </w:rPr>
        <w:t xml:space="preserve"> </w:t>
      </w:r>
      <w:r w:rsidR="00EA302D" w:rsidRPr="00CF7510">
        <w:rPr>
          <w:rFonts w:ascii="Times New Roman" w:hAnsi="Times New Roman" w:cs="Times New Roman"/>
          <w:sz w:val="20"/>
          <w:szCs w:val="20"/>
        </w:rPr>
        <w:t>Niharika</w:t>
      </w:r>
      <w:r w:rsidRPr="002219F2">
        <w:rPr>
          <w:rFonts w:ascii="Times New Roman" w:hAnsi="Times New Roman" w:cs="Times New Roman"/>
          <w:sz w:val="20"/>
          <w:szCs w:val="20"/>
          <w:vertAlign w:val="superscript"/>
        </w:rPr>
        <w:t>4</w:t>
      </w:r>
      <w:r>
        <w:rPr>
          <w:rFonts w:ascii="Times New Roman" w:hAnsi="Times New Roman" w:cs="Times New Roman"/>
          <w:sz w:val="20"/>
          <w:szCs w:val="20"/>
        </w:rPr>
        <w:t xml:space="preserve">, </w:t>
      </w:r>
      <w:r w:rsidRPr="00CF7510">
        <w:rPr>
          <w:rFonts w:ascii="Times New Roman" w:hAnsi="Times New Roman" w:cs="Times New Roman"/>
          <w:sz w:val="20"/>
          <w:szCs w:val="20"/>
        </w:rPr>
        <w:t xml:space="preserve">Moral </w:t>
      </w:r>
      <w:r w:rsidR="002219F2" w:rsidRPr="00CF7510">
        <w:rPr>
          <w:rFonts w:ascii="Times New Roman" w:hAnsi="Times New Roman" w:cs="Times New Roman"/>
          <w:sz w:val="20"/>
          <w:szCs w:val="20"/>
        </w:rPr>
        <w:t>Pranjit</w:t>
      </w:r>
      <w:r>
        <w:rPr>
          <w:rFonts w:ascii="Times New Roman" w:hAnsi="Times New Roman" w:cs="Times New Roman"/>
          <w:sz w:val="20"/>
          <w:szCs w:val="20"/>
          <w:vertAlign w:val="superscript"/>
        </w:rPr>
        <w:t>5</w:t>
      </w:r>
      <w:r>
        <w:rPr>
          <w:rFonts w:ascii="Times New Roman" w:hAnsi="Times New Roman" w:cs="Times New Roman"/>
          <w:sz w:val="20"/>
          <w:szCs w:val="20"/>
        </w:rPr>
        <w:t xml:space="preserve">, </w:t>
      </w:r>
      <w:proofErr w:type="spellStart"/>
      <w:r>
        <w:rPr>
          <w:rFonts w:ascii="Times New Roman" w:hAnsi="Times New Roman" w:cs="Times New Roman"/>
          <w:sz w:val="20"/>
          <w:szCs w:val="20"/>
        </w:rPr>
        <w:t>Bhuyan</w:t>
      </w:r>
      <w:proofErr w:type="spellEnd"/>
      <w:r>
        <w:rPr>
          <w:rFonts w:ascii="Times New Roman" w:hAnsi="Times New Roman" w:cs="Times New Roman"/>
          <w:sz w:val="20"/>
          <w:szCs w:val="20"/>
        </w:rPr>
        <w:t xml:space="preserve"> Pranjal</w:t>
      </w:r>
      <w:r w:rsidRPr="008421F0">
        <w:rPr>
          <w:rFonts w:ascii="Times New Roman" w:hAnsi="Times New Roman" w:cs="Times New Roman"/>
          <w:sz w:val="20"/>
          <w:szCs w:val="20"/>
          <w:vertAlign w:val="superscript"/>
        </w:rPr>
        <w:t>6</w:t>
      </w:r>
    </w:p>
    <w:p w:rsidR="002219F2" w:rsidRDefault="002219F2" w:rsidP="002A2D08">
      <w:pPr>
        <w:pStyle w:val="NoSpacing"/>
        <w:rPr>
          <w:rFonts w:ascii="Times New Roman" w:hAnsi="Times New Roman" w:cs="Times New Roman"/>
          <w:b/>
          <w:sz w:val="28"/>
          <w:szCs w:val="28"/>
        </w:rPr>
      </w:pPr>
    </w:p>
    <w:p w:rsidR="002A2D08" w:rsidRDefault="00DB7273" w:rsidP="002A2D08">
      <w:pPr>
        <w:pStyle w:val="NoSpacing"/>
        <w:rPr>
          <w:rFonts w:ascii="Times New Roman" w:hAnsi="Times New Roman" w:cs="Times New Roman"/>
          <w:b/>
          <w:sz w:val="28"/>
          <w:szCs w:val="28"/>
        </w:rPr>
      </w:pPr>
      <w:r w:rsidRPr="005966F5">
        <w:rPr>
          <w:rFonts w:ascii="Times New Roman" w:hAnsi="Times New Roman" w:cs="Times New Roman"/>
          <w:b/>
          <w:sz w:val="28"/>
          <w:szCs w:val="28"/>
        </w:rPr>
        <w:t>Abstract</w:t>
      </w:r>
    </w:p>
    <w:p w:rsidR="00015FAC" w:rsidRDefault="00015FAC" w:rsidP="002A2D08">
      <w:pPr>
        <w:pStyle w:val="NoSpacing"/>
        <w:rPr>
          <w:rFonts w:ascii="Times New Roman" w:hAnsi="Times New Roman" w:cs="Times New Roman"/>
          <w:b/>
          <w:sz w:val="28"/>
          <w:szCs w:val="28"/>
        </w:rPr>
      </w:pPr>
    </w:p>
    <w:p w:rsidR="00AB32C5" w:rsidRPr="00AB32C5" w:rsidRDefault="002219F2" w:rsidP="00AB32C5">
      <w:pPr>
        <w:pStyle w:val="Default"/>
        <w:spacing w:line="276" w:lineRule="auto"/>
        <w:jc w:val="both"/>
        <w:rPr>
          <w:rFonts w:ascii="Times New Roman" w:hAnsi="Times New Roman" w:cs="Times New Roman"/>
          <w:sz w:val="20"/>
          <w:szCs w:val="20"/>
        </w:rPr>
      </w:pPr>
      <w:r>
        <w:rPr>
          <w:rFonts w:ascii="Times New Roman" w:hAnsi="Times New Roman" w:cs="Times New Roman"/>
          <w:b/>
          <w:sz w:val="28"/>
          <w:szCs w:val="28"/>
        </w:rPr>
        <w:t>Introduction</w:t>
      </w:r>
      <w:r w:rsidR="0057017A" w:rsidRPr="005966F5">
        <w:rPr>
          <w:rFonts w:ascii="Times New Roman" w:hAnsi="Times New Roman" w:cs="Times New Roman"/>
          <w:b/>
          <w:sz w:val="28"/>
          <w:szCs w:val="28"/>
        </w:rPr>
        <w:t>:</w:t>
      </w:r>
      <w:r w:rsidR="00A07FDB">
        <w:rPr>
          <w:rFonts w:ascii="Times New Roman" w:hAnsi="Times New Roman" w:cs="Times New Roman"/>
          <w:b/>
          <w:sz w:val="28"/>
          <w:szCs w:val="28"/>
        </w:rPr>
        <w:t xml:space="preserve"> </w:t>
      </w:r>
      <w:r w:rsidR="004A649F" w:rsidRPr="00CF7510">
        <w:rPr>
          <w:rFonts w:ascii="Times New Roman" w:hAnsi="Times New Roman" w:cs="Times New Roman"/>
          <w:sz w:val="20"/>
          <w:szCs w:val="20"/>
        </w:rPr>
        <w:t>Chemotherapy-induced</w:t>
      </w:r>
      <w:r w:rsidR="002A2D08">
        <w:rPr>
          <w:rFonts w:ascii="Times New Roman" w:hAnsi="Times New Roman" w:cs="Times New Roman"/>
          <w:sz w:val="20"/>
          <w:szCs w:val="20"/>
        </w:rPr>
        <w:t xml:space="preserve"> </w:t>
      </w:r>
      <w:proofErr w:type="spellStart"/>
      <w:r w:rsidR="004A649F" w:rsidRPr="00CF7510">
        <w:rPr>
          <w:rFonts w:ascii="Times New Roman" w:hAnsi="Times New Roman" w:cs="Times New Roman"/>
          <w:sz w:val="20"/>
          <w:szCs w:val="20"/>
        </w:rPr>
        <w:t>neutropenia</w:t>
      </w:r>
      <w:proofErr w:type="spellEnd"/>
      <w:r w:rsidR="004A649F" w:rsidRPr="00CF7510">
        <w:rPr>
          <w:rFonts w:ascii="Times New Roman" w:hAnsi="Times New Roman" w:cs="Times New Roman"/>
          <w:sz w:val="20"/>
          <w:szCs w:val="20"/>
        </w:rPr>
        <w:t xml:space="preserve"> (CIN) is one</w:t>
      </w:r>
      <w:r w:rsidR="00AB32C5">
        <w:rPr>
          <w:rFonts w:ascii="Times New Roman" w:hAnsi="Times New Roman" w:cs="Times New Roman"/>
          <w:sz w:val="20"/>
          <w:szCs w:val="20"/>
        </w:rPr>
        <w:t xml:space="preserve"> of the most common side </w:t>
      </w:r>
      <w:proofErr w:type="gramStart"/>
      <w:r w:rsidR="00AB32C5">
        <w:rPr>
          <w:rFonts w:ascii="Times New Roman" w:hAnsi="Times New Roman" w:cs="Times New Roman"/>
          <w:sz w:val="20"/>
          <w:szCs w:val="20"/>
        </w:rPr>
        <w:t>effect</w:t>
      </w:r>
      <w:proofErr w:type="gramEnd"/>
      <w:r w:rsidR="004A649F" w:rsidRPr="00CF7510">
        <w:rPr>
          <w:rFonts w:ascii="Times New Roman" w:hAnsi="Times New Roman" w:cs="Times New Roman"/>
          <w:sz w:val="20"/>
          <w:szCs w:val="20"/>
        </w:rPr>
        <w:t xml:space="preserve"> in breast cancer patients receiving </w:t>
      </w:r>
      <w:proofErr w:type="spellStart"/>
      <w:r w:rsidR="004A649F" w:rsidRPr="00CF7510">
        <w:rPr>
          <w:rFonts w:ascii="Times New Roman" w:hAnsi="Times New Roman" w:cs="Times New Roman"/>
          <w:sz w:val="20"/>
          <w:szCs w:val="20"/>
        </w:rPr>
        <w:t>myelosuppressive</w:t>
      </w:r>
      <w:proofErr w:type="spellEnd"/>
      <w:r w:rsidR="004A649F" w:rsidRPr="00CF7510">
        <w:rPr>
          <w:rFonts w:ascii="Times New Roman" w:hAnsi="Times New Roman" w:cs="Times New Roman"/>
          <w:sz w:val="20"/>
          <w:szCs w:val="20"/>
        </w:rPr>
        <w:t xml:space="preserve"> chemotherapy</w:t>
      </w:r>
      <w:r w:rsidR="00E7652E" w:rsidRPr="00CF7510">
        <w:rPr>
          <w:rFonts w:ascii="Times New Roman" w:hAnsi="Times New Roman" w:cs="Times New Roman"/>
          <w:sz w:val="20"/>
          <w:szCs w:val="20"/>
        </w:rPr>
        <w:t xml:space="preserve"> like </w:t>
      </w:r>
      <w:proofErr w:type="spellStart"/>
      <w:r w:rsidR="00E7652E" w:rsidRPr="00CF7510">
        <w:rPr>
          <w:rFonts w:ascii="Times New Roman" w:hAnsi="Times New Roman" w:cs="Times New Roman"/>
          <w:sz w:val="20"/>
          <w:szCs w:val="20"/>
        </w:rPr>
        <w:t>paclitaxel</w:t>
      </w:r>
      <w:proofErr w:type="spellEnd"/>
      <w:r w:rsidR="00AB32C5">
        <w:rPr>
          <w:rFonts w:ascii="Times New Roman" w:hAnsi="Times New Roman" w:cs="Times New Roman"/>
          <w:sz w:val="20"/>
          <w:szCs w:val="20"/>
        </w:rPr>
        <w:t xml:space="preserve"> </w:t>
      </w:r>
      <w:r w:rsidR="004A649F" w:rsidRPr="00CF7510">
        <w:rPr>
          <w:rFonts w:ascii="Times New Roman" w:hAnsi="Times New Roman" w:cs="Times New Roman"/>
          <w:sz w:val="20"/>
          <w:szCs w:val="20"/>
        </w:rPr>
        <w:t xml:space="preserve">which </w:t>
      </w:r>
      <w:r w:rsidR="00AB32C5">
        <w:rPr>
          <w:rFonts w:ascii="Times New Roman" w:hAnsi="Times New Roman" w:cs="Times New Roman"/>
          <w:color w:val="231F20"/>
          <w:sz w:val="20"/>
          <w:szCs w:val="20"/>
        </w:rPr>
        <w:t>adversely affect</w:t>
      </w:r>
      <w:r w:rsidR="00AB32C5" w:rsidRPr="00CF7510">
        <w:rPr>
          <w:rFonts w:ascii="Times New Roman" w:hAnsi="Times New Roman" w:cs="Times New Roman"/>
          <w:color w:val="231F20"/>
          <w:sz w:val="20"/>
          <w:szCs w:val="20"/>
        </w:rPr>
        <w:t xml:space="preserve"> patient outcomes</w:t>
      </w:r>
      <w:r w:rsidR="00AB32C5" w:rsidRPr="00CF7510">
        <w:rPr>
          <w:rFonts w:ascii="Times New Roman" w:hAnsi="Times New Roman" w:cs="Times New Roman"/>
          <w:sz w:val="20"/>
          <w:szCs w:val="20"/>
        </w:rPr>
        <w:t xml:space="preserve">. </w:t>
      </w:r>
      <w:r w:rsidR="00AB32C5">
        <w:rPr>
          <w:rFonts w:ascii="Times New Roman" w:hAnsi="Times New Roman" w:cs="Times New Roman"/>
          <w:sz w:val="20"/>
          <w:szCs w:val="20"/>
        </w:rPr>
        <w:t xml:space="preserve"> </w:t>
      </w:r>
    </w:p>
    <w:p w:rsidR="00AB32C5" w:rsidRDefault="002219F2" w:rsidP="004A649F">
      <w:pPr>
        <w:jc w:val="both"/>
        <w:rPr>
          <w:rFonts w:ascii="Times New Roman" w:hAnsi="Times New Roman" w:cs="Times New Roman"/>
          <w:sz w:val="28"/>
          <w:szCs w:val="28"/>
        </w:rPr>
      </w:pPr>
      <w:r>
        <w:rPr>
          <w:rFonts w:ascii="Times New Roman" w:hAnsi="Times New Roman" w:cs="Times New Roman"/>
          <w:b/>
          <w:sz w:val="28"/>
          <w:szCs w:val="28"/>
        </w:rPr>
        <w:t>Material and methods</w:t>
      </w:r>
      <w:r w:rsidR="004A649F" w:rsidRPr="005966F5">
        <w:rPr>
          <w:rFonts w:ascii="Times New Roman" w:hAnsi="Times New Roman" w:cs="Times New Roman"/>
          <w:b/>
          <w:sz w:val="28"/>
          <w:szCs w:val="28"/>
        </w:rPr>
        <w:t>:</w:t>
      </w:r>
      <w:r w:rsidR="004A649F" w:rsidRPr="005966F5">
        <w:rPr>
          <w:rFonts w:ascii="Times New Roman" w:hAnsi="Times New Roman" w:cs="Times New Roman"/>
          <w:sz w:val="28"/>
          <w:szCs w:val="28"/>
        </w:rPr>
        <w:t xml:space="preserve"> </w:t>
      </w:r>
      <w:r w:rsidR="004A649F" w:rsidRPr="00CF7510">
        <w:rPr>
          <w:rFonts w:ascii="Times New Roman" w:hAnsi="Times New Roman" w:cs="Times New Roman"/>
          <w:sz w:val="20"/>
          <w:szCs w:val="20"/>
        </w:rPr>
        <w:t xml:space="preserve">A single centre, retrospective, observational </w:t>
      </w:r>
      <w:r w:rsidR="00E7652E" w:rsidRPr="00CF7510">
        <w:rPr>
          <w:rFonts w:ascii="Times New Roman" w:hAnsi="Times New Roman" w:cs="Times New Roman"/>
          <w:sz w:val="20"/>
          <w:szCs w:val="20"/>
        </w:rPr>
        <w:t>study was conducted on 210</w:t>
      </w:r>
      <w:r w:rsidR="004A649F" w:rsidRPr="00CF7510">
        <w:rPr>
          <w:rFonts w:ascii="Times New Roman" w:hAnsi="Times New Roman" w:cs="Times New Roman"/>
          <w:sz w:val="20"/>
          <w:szCs w:val="20"/>
        </w:rPr>
        <w:t xml:space="preserve"> breast cancer patients with prior adequate bone marrow, hepatic and renal functions, receiving </w:t>
      </w:r>
      <w:proofErr w:type="spellStart"/>
      <w:r w:rsidR="004A649F" w:rsidRPr="00CF7510">
        <w:rPr>
          <w:rFonts w:ascii="Times New Roman" w:hAnsi="Times New Roman" w:cs="Times New Roman"/>
          <w:sz w:val="20"/>
          <w:szCs w:val="20"/>
        </w:rPr>
        <w:t>Paclitaxel</w:t>
      </w:r>
      <w:proofErr w:type="spellEnd"/>
      <w:r w:rsidR="004A649F" w:rsidRPr="00CF7510">
        <w:rPr>
          <w:rFonts w:ascii="Times New Roman" w:hAnsi="Times New Roman" w:cs="Times New Roman"/>
          <w:sz w:val="20"/>
          <w:szCs w:val="20"/>
        </w:rPr>
        <w:t xml:space="preserve"> as </w:t>
      </w:r>
      <w:proofErr w:type="spellStart"/>
      <w:r w:rsidR="004A649F" w:rsidRPr="00CF7510">
        <w:rPr>
          <w:rFonts w:ascii="Times New Roman" w:hAnsi="Times New Roman" w:cs="Times New Roman"/>
          <w:sz w:val="20"/>
          <w:szCs w:val="20"/>
        </w:rPr>
        <w:t>neoadjuvant</w:t>
      </w:r>
      <w:proofErr w:type="spellEnd"/>
      <w:r w:rsidR="004A649F" w:rsidRPr="00CF7510">
        <w:rPr>
          <w:rFonts w:ascii="Times New Roman" w:hAnsi="Times New Roman" w:cs="Times New Roman"/>
          <w:sz w:val="20"/>
          <w:szCs w:val="20"/>
        </w:rPr>
        <w:t xml:space="preserve"> or adjuvant or palliative chemotherapy from January, 2018 to April, 2019 at State Cancer </w:t>
      </w:r>
      <w:proofErr w:type="spellStart"/>
      <w:r w:rsidR="004A649F" w:rsidRPr="00CF7510">
        <w:rPr>
          <w:rFonts w:ascii="Times New Roman" w:hAnsi="Times New Roman" w:cs="Times New Roman"/>
          <w:sz w:val="20"/>
          <w:szCs w:val="20"/>
        </w:rPr>
        <w:t>Institute,Guwahati</w:t>
      </w:r>
      <w:proofErr w:type="spellEnd"/>
      <w:r w:rsidR="004A649F" w:rsidRPr="00CF7510">
        <w:rPr>
          <w:rFonts w:ascii="Times New Roman" w:hAnsi="Times New Roman" w:cs="Times New Roman"/>
          <w:sz w:val="20"/>
          <w:szCs w:val="20"/>
        </w:rPr>
        <w:t xml:space="preserve">. Patients with past history of taking immunosuppressive agents, immunodeficiency status, </w:t>
      </w:r>
      <w:proofErr w:type="spellStart"/>
      <w:r w:rsidR="004A649F" w:rsidRPr="00CF7510">
        <w:rPr>
          <w:rFonts w:ascii="Times New Roman" w:hAnsi="Times New Roman" w:cs="Times New Roman"/>
          <w:sz w:val="20"/>
          <w:szCs w:val="20"/>
        </w:rPr>
        <w:t>haematological</w:t>
      </w:r>
      <w:proofErr w:type="spellEnd"/>
      <w:r w:rsidR="004A649F" w:rsidRPr="00CF7510">
        <w:rPr>
          <w:rFonts w:ascii="Times New Roman" w:hAnsi="Times New Roman" w:cs="Times New Roman"/>
          <w:sz w:val="20"/>
          <w:szCs w:val="20"/>
        </w:rPr>
        <w:t xml:space="preserve"> disease, any </w:t>
      </w:r>
      <w:proofErr w:type="spellStart"/>
      <w:r w:rsidR="004A649F" w:rsidRPr="00CF7510">
        <w:rPr>
          <w:rFonts w:ascii="Times New Roman" w:hAnsi="Times New Roman" w:cs="Times New Roman"/>
          <w:sz w:val="20"/>
          <w:szCs w:val="20"/>
        </w:rPr>
        <w:t>intercurrent</w:t>
      </w:r>
      <w:proofErr w:type="spellEnd"/>
      <w:r w:rsidR="004A649F" w:rsidRPr="00CF7510">
        <w:rPr>
          <w:rFonts w:ascii="Times New Roman" w:hAnsi="Times New Roman" w:cs="Times New Roman"/>
          <w:sz w:val="20"/>
          <w:szCs w:val="20"/>
        </w:rPr>
        <w:t xml:space="preserve"> illness etc were excluded. </w:t>
      </w:r>
      <w:proofErr w:type="spellStart"/>
      <w:r w:rsidR="004A649F" w:rsidRPr="00CF7510">
        <w:rPr>
          <w:rFonts w:ascii="Times New Roman" w:hAnsi="Times New Roman" w:cs="Times New Roman"/>
          <w:sz w:val="20"/>
          <w:szCs w:val="20"/>
        </w:rPr>
        <w:t>Paclitaxel</w:t>
      </w:r>
      <w:proofErr w:type="spellEnd"/>
      <w:r w:rsidR="004A649F" w:rsidRPr="00CF7510">
        <w:rPr>
          <w:rFonts w:ascii="Times New Roman" w:hAnsi="Times New Roman" w:cs="Times New Roman"/>
          <w:sz w:val="20"/>
          <w:szCs w:val="20"/>
        </w:rPr>
        <w:t xml:space="preserve"> were given in 4 dosage </w:t>
      </w:r>
      <w:r w:rsidR="00D51BD0" w:rsidRPr="00CF7510">
        <w:rPr>
          <w:rFonts w:ascii="Times New Roman" w:hAnsi="Times New Roman" w:cs="Times New Roman"/>
          <w:sz w:val="20"/>
          <w:szCs w:val="20"/>
        </w:rPr>
        <w:t>regimens</w:t>
      </w:r>
      <w:r w:rsidR="004A649F" w:rsidRPr="00CF7510">
        <w:rPr>
          <w:rFonts w:ascii="Times New Roman" w:hAnsi="Times New Roman" w:cs="Times New Roman"/>
          <w:sz w:val="20"/>
          <w:szCs w:val="20"/>
        </w:rPr>
        <w:t xml:space="preserve"> (175mg/m2)</w:t>
      </w:r>
      <w:r w:rsidR="00D51BD0" w:rsidRPr="00CF7510">
        <w:rPr>
          <w:rFonts w:ascii="Times New Roman" w:hAnsi="Times New Roman" w:cs="Times New Roman"/>
          <w:sz w:val="20"/>
          <w:szCs w:val="20"/>
        </w:rPr>
        <w:t xml:space="preserve"> 2weekly</w:t>
      </w:r>
      <w:r w:rsidR="004A649F" w:rsidRPr="00CF7510">
        <w:rPr>
          <w:rFonts w:ascii="Times New Roman" w:hAnsi="Times New Roman" w:cs="Times New Roman"/>
          <w:sz w:val="20"/>
          <w:szCs w:val="20"/>
        </w:rPr>
        <w:t>; therefore total 836</w:t>
      </w:r>
      <w:r w:rsidR="00D51BD0" w:rsidRPr="00CF7510">
        <w:rPr>
          <w:rFonts w:ascii="Times New Roman" w:hAnsi="Times New Roman" w:cs="Times New Roman"/>
          <w:sz w:val="20"/>
          <w:szCs w:val="20"/>
        </w:rPr>
        <w:t xml:space="preserve"> cycles were observed for 210</w:t>
      </w:r>
      <w:r w:rsidR="004A649F" w:rsidRPr="00CF7510">
        <w:rPr>
          <w:rFonts w:ascii="Times New Roman" w:hAnsi="Times New Roman" w:cs="Times New Roman"/>
          <w:sz w:val="20"/>
          <w:szCs w:val="20"/>
        </w:rPr>
        <w:t xml:space="preserve"> patients w</w:t>
      </w:r>
      <w:r w:rsidR="00D51BD0" w:rsidRPr="00CF7510">
        <w:rPr>
          <w:rFonts w:ascii="Times New Roman" w:hAnsi="Times New Roman" w:cs="Times New Roman"/>
          <w:sz w:val="20"/>
          <w:szCs w:val="20"/>
        </w:rPr>
        <w:t>hile</w:t>
      </w:r>
      <w:r w:rsidR="004A649F" w:rsidRPr="00CF7510">
        <w:rPr>
          <w:rFonts w:ascii="Times New Roman" w:hAnsi="Times New Roman" w:cs="Times New Roman"/>
          <w:sz w:val="20"/>
          <w:szCs w:val="20"/>
        </w:rPr>
        <w:t xml:space="preserve"> 4 patients did not complete last cycle due to peripheral neuropathy.</w:t>
      </w:r>
    </w:p>
    <w:p w:rsidR="00A07FDB" w:rsidRPr="00A07FDB" w:rsidRDefault="002219F2" w:rsidP="004A649F">
      <w:pPr>
        <w:jc w:val="both"/>
        <w:rPr>
          <w:rFonts w:ascii="Times New Roman" w:hAnsi="Times New Roman" w:cs="Times New Roman"/>
          <w:sz w:val="28"/>
          <w:szCs w:val="28"/>
        </w:rPr>
      </w:pPr>
      <w:r>
        <w:rPr>
          <w:rFonts w:ascii="Times New Roman" w:hAnsi="Times New Roman" w:cs="Times New Roman"/>
          <w:b/>
          <w:sz w:val="28"/>
          <w:szCs w:val="28"/>
        </w:rPr>
        <w:t>Results</w:t>
      </w:r>
      <w:r w:rsidR="004A649F" w:rsidRPr="005966F5">
        <w:rPr>
          <w:rFonts w:ascii="Times New Roman" w:hAnsi="Times New Roman" w:cs="Times New Roman"/>
          <w:b/>
          <w:sz w:val="28"/>
          <w:szCs w:val="28"/>
        </w:rPr>
        <w:t>:</w:t>
      </w:r>
      <w:r w:rsidR="004A649F" w:rsidRPr="005966F5">
        <w:rPr>
          <w:rFonts w:ascii="Times New Roman" w:hAnsi="Times New Roman" w:cs="Times New Roman"/>
          <w:sz w:val="28"/>
          <w:szCs w:val="28"/>
        </w:rPr>
        <w:t xml:space="preserve"> </w:t>
      </w:r>
      <w:r w:rsidR="004A649F" w:rsidRPr="00CF7510">
        <w:rPr>
          <w:rFonts w:ascii="Times New Roman" w:hAnsi="Times New Roman" w:cs="Times New Roman"/>
          <w:sz w:val="20"/>
          <w:szCs w:val="20"/>
        </w:rPr>
        <w:t xml:space="preserve">Average age of the patients was </w:t>
      </w:r>
      <w:r w:rsidR="004A649F" w:rsidRPr="00CF7510">
        <w:rPr>
          <w:rFonts w:ascii="Times New Roman" w:hAnsi="Times New Roman" w:cs="Times New Roman"/>
          <w:b/>
          <w:sz w:val="20"/>
          <w:szCs w:val="20"/>
        </w:rPr>
        <w:t>49.44± 9.13</w:t>
      </w:r>
      <w:r w:rsidR="00774A85" w:rsidRPr="00CF7510">
        <w:rPr>
          <w:rFonts w:ascii="Times New Roman" w:hAnsi="Times New Roman" w:cs="Times New Roman"/>
          <w:sz w:val="20"/>
          <w:szCs w:val="20"/>
        </w:rPr>
        <w:t xml:space="preserve"> yrs. Among 210 patients, 82</w:t>
      </w:r>
      <w:r w:rsidR="004A649F" w:rsidRPr="00CF7510">
        <w:rPr>
          <w:rFonts w:ascii="Times New Roman" w:hAnsi="Times New Roman" w:cs="Times New Roman"/>
          <w:sz w:val="20"/>
          <w:szCs w:val="20"/>
        </w:rPr>
        <w:t xml:space="preserve"> patients presented with </w:t>
      </w:r>
      <w:proofErr w:type="spellStart"/>
      <w:r w:rsidR="004A649F" w:rsidRPr="00CF7510">
        <w:rPr>
          <w:rFonts w:ascii="Times New Roman" w:hAnsi="Times New Roman" w:cs="Times New Roman"/>
          <w:sz w:val="20"/>
          <w:szCs w:val="20"/>
        </w:rPr>
        <w:t>neutropenia</w:t>
      </w:r>
      <w:proofErr w:type="spellEnd"/>
      <w:r w:rsidR="004A649F" w:rsidRPr="00CF7510">
        <w:rPr>
          <w:rFonts w:ascii="Times New Roman" w:hAnsi="Times New Roman" w:cs="Times New Roman"/>
          <w:sz w:val="20"/>
          <w:szCs w:val="20"/>
        </w:rPr>
        <w:t xml:space="preserve"> </w:t>
      </w:r>
      <w:r w:rsidR="004A649F" w:rsidRPr="00CF7510">
        <w:rPr>
          <w:rFonts w:ascii="Times New Roman" w:hAnsi="Times New Roman" w:cs="Times New Roman"/>
          <w:b/>
          <w:sz w:val="20"/>
          <w:szCs w:val="20"/>
        </w:rPr>
        <w:t>(39.02%)</w:t>
      </w:r>
      <w:r w:rsidR="00D51BD0" w:rsidRPr="00CF7510">
        <w:rPr>
          <w:rFonts w:ascii="Times New Roman" w:hAnsi="Times New Roman" w:cs="Times New Roman"/>
          <w:sz w:val="20"/>
          <w:szCs w:val="20"/>
        </w:rPr>
        <w:t xml:space="preserve"> while</w:t>
      </w:r>
      <w:r w:rsidR="004A649F" w:rsidRPr="00CF7510">
        <w:rPr>
          <w:rFonts w:ascii="Times New Roman" w:hAnsi="Times New Roman" w:cs="Times New Roman"/>
          <w:sz w:val="20"/>
          <w:szCs w:val="20"/>
        </w:rPr>
        <w:t xml:space="preserve"> total episodes of </w:t>
      </w:r>
      <w:proofErr w:type="spellStart"/>
      <w:r w:rsidR="004A649F" w:rsidRPr="00CF7510">
        <w:rPr>
          <w:rFonts w:ascii="Times New Roman" w:hAnsi="Times New Roman" w:cs="Times New Roman"/>
          <w:sz w:val="20"/>
          <w:szCs w:val="20"/>
        </w:rPr>
        <w:t>neutropenia</w:t>
      </w:r>
      <w:proofErr w:type="spellEnd"/>
      <w:r w:rsidR="004A649F" w:rsidRPr="00CF7510">
        <w:rPr>
          <w:rFonts w:ascii="Times New Roman" w:hAnsi="Times New Roman" w:cs="Times New Roman"/>
          <w:sz w:val="20"/>
          <w:szCs w:val="20"/>
        </w:rPr>
        <w:t xml:space="preserve"> were 128</w:t>
      </w:r>
      <w:r w:rsidR="004A649F" w:rsidRPr="00CF7510">
        <w:rPr>
          <w:rFonts w:ascii="Times New Roman" w:hAnsi="Times New Roman" w:cs="Times New Roman"/>
          <w:b/>
          <w:sz w:val="20"/>
          <w:szCs w:val="20"/>
        </w:rPr>
        <w:t xml:space="preserve"> (15.31%</w:t>
      </w:r>
      <w:r w:rsidR="00665DE3" w:rsidRPr="00CF7510">
        <w:rPr>
          <w:rFonts w:ascii="Times New Roman" w:hAnsi="Times New Roman" w:cs="Times New Roman"/>
          <w:sz w:val="20"/>
          <w:szCs w:val="20"/>
        </w:rPr>
        <w:t>). 7</w:t>
      </w:r>
      <w:r w:rsidR="004A649F" w:rsidRPr="00CF7510">
        <w:rPr>
          <w:rFonts w:ascii="Times New Roman" w:hAnsi="Times New Roman" w:cs="Times New Roman"/>
          <w:sz w:val="20"/>
          <w:szCs w:val="20"/>
        </w:rPr>
        <w:t xml:space="preserve"> patie</w:t>
      </w:r>
      <w:r w:rsidR="00665DE3" w:rsidRPr="00CF7510">
        <w:rPr>
          <w:rFonts w:ascii="Times New Roman" w:hAnsi="Times New Roman" w:cs="Times New Roman"/>
          <w:sz w:val="20"/>
          <w:szCs w:val="20"/>
        </w:rPr>
        <w:t>nts presented with FN out of 82</w:t>
      </w:r>
      <w:r w:rsidR="004A649F" w:rsidRPr="00CF7510">
        <w:rPr>
          <w:rFonts w:ascii="Times New Roman" w:hAnsi="Times New Roman" w:cs="Times New Roman"/>
          <w:sz w:val="20"/>
          <w:szCs w:val="20"/>
        </w:rPr>
        <w:t xml:space="preserve"> patients received </w:t>
      </w:r>
      <w:proofErr w:type="spellStart"/>
      <w:r w:rsidR="004A649F" w:rsidRPr="00CF7510">
        <w:rPr>
          <w:rFonts w:ascii="Times New Roman" w:hAnsi="Times New Roman" w:cs="Times New Roman"/>
          <w:sz w:val="20"/>
          <w:szCs w:val="20"/>
        </w:rPr>
        <w:t>paclitaxel</w:t>
      </w:r>
      <w:proofErr w:type="spellEnd"/>
      <w:r w:rsidR="004A649F" w:rsidRPr="00CF7510">
        <w:rPr>
          <w:rFonts w:ascii="Times New Roman" w:hAnsi="Times New Roman" w:cs="Times New Roman"/>
          <w:sz w:val="20"/>
          <w:szCs w:val="20"/>
        </w:rPr>
        <w:t xml:space="preserve"> </w:t>
      </w:r>
      <w:r w:rsidR="004A649F" w:rsidRPr="00CF7510">
        <w:rPr>
          <w:rFonts w:ascii="Times New Roman" w:hAnsi="Times New Roman" w:cs="Times New Roman"/>
          <w:b/>
          <w:sz w:val="20"/>
          <w:szCs w:val="20"/>
        </w:rPr>
        <w:t>(</w:t>
      </w:r>
      <w:r w:rsidR="00665DE3" w:rsidRPr="00CF7510">
        <w:rPr>
          <w:rFonts w:ascii="Times New Roman" w:hAnsi="Times New Roman" w:cs="Times New Roman"/>
          <w:b/>
          <w:sz w:val="20"/>
          <w:szCs w:val="20"/>
        </w:rPr>
        <w:t>8.</w:t>
      </w:r>
      <w:r w:rsidR="004A649F" w:rsidRPr="00CF7510">
        <w:rPr>
          <w:rFonts w:ascii="Times New Roman" w:hAnsi="Times New Roman" w:cs="Times New Roman"/>
          <w:b/>
          <w:sz w:val="20"/>
          <w:szCs w:val="20"/>
        </w:rPr>
        <w:t>5</w:t>
      </w:r>
      <w:r w:rsidR="00665DE3" w:rsidRPr="00CF7510">
        <w:rPr>
          <w:rFonts w:ascii="Times New Roman" w:hAnsi="Times New Roman" w:cs="Times New Roman"/>
          <w:b/>
          <w:sz w:val="20"/>
          <w:szCs w:val="20"/>
        </w:rPr>
        <w:t>4</w:t>
      </w:r>
      <w:r w:rsidR="004A649F" w:rsidRPr="00CF7510">
        <w:rPr>
          <w:rFonts w:ascii="Times New Roman" w:hAnsi="Times New Roman" w:cs="Times New Roman"/>
          <w:b/>
          <w:sz w:val="20"/>
          <w:szCs w:val="20"/>
        </w:rPr>
        <w:t xml:space="preserve"> %)</w:t>
      </w:r>
      <w:r w:rsidR="004A649F" w:rsidRPr="00CF7510">
        <w:rPr>
          <w:rFonts w:ascii="Times New Roman" w:hAnsi="Times New Roman" w:cs="Times New Roman"/>
          <w:sz w:val="20"/>
          <w:szCs w:val="20"/>
        </w:rPr>
        <w:t xml:space="preserve">. Prior incidence of CIN, </w:t>
      </w:r>
      <w:r w:rsidR="00E7652E" w:rsidRPr="00CF7510">
        <w:rPr>
          <w:rFonts w:ascii="Times New Roman" w:hAnsi="Times New Roman" w:cs="Times New Roman"/>
          <w:sz w:val="20"/>
          <w:szCs w:val="20"/>
        </w:rPr>
        <w:t xml:space="preserve">advanced age, poor performance status </w:t>
      </w:r>
      <w:r w:rsidR="004A649F" w:rsidRPr="00CF7510">
        <w:rPr>
          <w:rFonts w:ascii="Times New Roman" w:hAnsi="Times New Roman" w:cs="Times New Roman"/>
          <w:sz w:val="20"/>
          <w:szCs w:val="20"/>
        </w:rPr>
        <w:t>and lower</w:t>
      </w:r>
      <w:r w:rsidR="00E7652E" w:rsidRPr="00CF7510">
        <w:rPr>
          <w:rFonts w:ascii="Times New Roman" w:hAnsi="Times New Roman" w:cs="Times New Roman"/>
          <w:sz w:val="20"/>
          <w:szCs w:val="20"/>
        </w:rPr>
        <w:t xml:space="preserve"> baseline</w:t>
      </w:r>
      <w:r w:rsidR="004A649F" w:rsidRPr="00CF7510">
        <w:rPr>
          <w:rFonts w:ascii="Times New Roman" w:hAnsi="Times New Roman" w:cs="Times New Roman"/>
          <w:sz w:val="20"/>
          <w:szCs w:val="20"/>
        </w:rPr>
        <w:t xml:space="preserve"> </w:t>
      </w:r>
      <w:proofErr w:type="spellStart"/>
      <w:r w:rsidR="004A649F" w:rsidRPr="00CF7510">
        <w:rPr>
          <w:rFonts w:ascii="Times New Roman" w:hAnsi="Times New Roman" w:cs="Times New Roman"/>
          <w:sz w:val="20"/>
          <w:szCs w:val="20"/>
        </w:rPr>
        <w:t>Hb</w:t>
      </w:r>
      <w:proofErr w:type="spellEnd"/>
      <w:r w:rsidR="004A649F" w:rsidRPr="00CF7510">
        <w:rPr>
          <w:rFonts w:ascii="Times New Roman" w:hAnsi="Times New Roman" w:cs="Times New Roman"/>
          <w:sz w:val="20"/>
          <w:szCs w:val="20"/>
        </w:rPr>
        <w:t>% were found as risk factors</w:t>
      </w:r>
      <w:r w:rsidR="00E7652E" w:rsidRPr="00CF7510">
        <w:rPr>
          <w:rFonts w:ascii="Times New Roman" w:hAnsi="Times New Roman" w:cs="Times New Roman"/>
          <w:sz w:val="20"/>
          <w:szCs w:val="20"/>
        </w:rPr>
        <w:t xml:space="preserve"> for CIN</w:t>
      </w:r>
      <w:r w:rsidR="004A649F" w:rsidRPr="00CF7510">
        <w:rPr>
          <w:rFonts w:ascii="Times New Roman" w:hAnsi="Times New Roman" w:cs="Times New Roman"/>
          <w:sz w:val="20"/>
          <w:szCs w:val="20"/>
        </w:rPr>
        <w:t>.</w:t>
      </w:r>
    </w:p>
    <w:p w:rsidR="004A649F" w:rsidRPr="00CF7510" w:rsidRDefault="002219F2" w:rsidP="004A649F">
      <w:pPr>
        <w:jc w:val="both"/>
        <w:rPr>
          <w:rFonts w:ascii="Times New Roman" w:hAnsi="Times New Roman" w:cs="Times New Roman"/>
          <w:sz w:val="20"/>
          <w:szCs w:val="20"/>
        </w:rPr>
      </w:pPr>
      <w:r>
        <w:rPr>
          <w:rFonts w:ascii="Times New Roman" w:hAnsi="Times New Roman" w:cs="Times New Roman"/>
          <w:b/>
          <w:sz w:val="28"/>
          <w:szCs w:val="28"/>
        </w:rPr>
        <w:t>Conclusion</w:t>
      </w:r>
      <w:r w:rsidR="004A649F" w:rsidRPr="005966F5">
        <w:rPr>
          <w:rFonts w:ascii="Times New Roman" w:hAnsi="Times New Roman" w:cs="Times New Roman"/>
          <w:b/>
          <w:sz w:val="28"/>
          <w:szCs w:val="28"/>
        </w:rPr>
        <w:t>:</w:t>
      </w:r>
      <w:r w:rsidR="004A649F" w:rsidRPr="005966F5">
        <w:rPr>
          <w:rFonts w:ascii="Times New Roman" w:hAnsi="Times New Roman" w:cs="Times New Roman"/>
          <w:sz w:val="28"/>
          <w:szCs w:val="28"/>
        </w:rPr>
        <w:t xml:space="preserve"> </w:t>
      </w:r>
      <w:r w:rsidR="004A649F" w:rsidRPr="00CF7510">
        <w:rPr>
          <w:rFonts w:ascii="Times New Roman" w:hAnsi="Times New Roman" w:cs="Times New Roman"/>
          <w:sz w:val="20"/>
          <w:szCs w:val="20"/>
        </w:rPr>
        <w:t xml:space="preserve">Incidence of CIN and CIN episodes was found to be </w:t>
      </w:r>
      <w:r w:rsidR="004A649F" w:rsidRPr="00CF7510">
        <w:rPr>
          <w:rFonts w:ascii="Times New Roman" w:hAnsi="Times New Roman" w:cs="Times New Roman"/>
          <w:b/>
          <w:sz w:val="20"/>
          <w:szCs w:val="20"/>
        </w:rPr>
        <w:t>39.02%</w:t>
      </w:r>
      <w:r w:rsidR="004A649F" w:rsidRPr="00CF7510">
        <w:rPr>
          <w:rFonts w:ascii="Times New Roman" w:hAnsi="Times New Roman" w:cs="Times New Roman"/>
          <w:sz w:val="20"/>
          <w:szCs w:val="20"/>
        </w:rPr>
        <w:t xml:space="preserve"> and </w:t>
      </w:r>
      <w:r w:rsidR="004A649F" w:rsidRPr="00CF7510">
        <w:rPr>
          <w:rFonts w:ascii="Times New Roman" w:hAnsi="Times New Roman" w:cs="Times New Roman"/>
          <w:b/>
          <w:sz w:val="20"/>
          <w:szCs w:val="20"/>
        </w:rPr>
        <w:t>15.31%</w:t>
      </w:r>
      <w:r w:rsidR="004A649F" w:rsidRPr="00CF7510">
        <w:rPr>
          <w:rFonts w:ascii="Times New Roman" w:hAnsi="Times New Roman" w:cs="Times New Roman"/>
          <w:sz w:val="20"/>
          <w:szCs w:val="20"/>
        </w:rPr>
        <w:t xml:space="preserve"> respectively in our study. Hence</w:t>
      </w:r>
      <w:r w:rsidR="00D51BD0" w:rsidRPr="00CF7510">
        <w:rPr>
          <w:rFonts w:ascii="Times New Roman" w:hAnsi="Times New Roman" w:cs="Times New Roman"/>
          <w:sz w:val="20"/>
          <w:szCs w:val="20"/>
        </w:rPr>
        <w:t xml:space="preserve"> j</w:t>
      </w:r>
      <w:r w:rsidR="004A649F" w:rsidRPr="00CF7510">
        <w:rPr>
          <w:rFonts w:ascii="Times New Roman" w:hAnsi="Times New Roman" w:cs="Times New Roman"/>
          <w:sz w:val="20"/>
          <w:szCs w:val="20"/>
        </w:rPr>
        <w:t>udicious use of G-CSF as prophylaxis in our populations with close monitoring and as needed may be undertaken. However, the</w:t>
      </w:r>
      <w:r w:rsidR="00665DE3" w:rsidRPr="00CF7510">
        <w:rPr>
          <w:rFonts w:ascii="Times New Roman" w:hAnsi="Times New Roman" w:cs="Times New Roman"/>
          <w:sz w:val="20"/>
          <w:szCs w:val="20"/>
        </w:rPr>
        <w:t xml:space="preserve"> </w:t>
      </w:r>
      <w:proofErr w:type="gramStart"/>
      <w:r w:rsidR="00665DE3" w:rsidRPr="00CF7510">
        <w:rPr>
          <w:rFonts w:ascii="Times New Roman" w:hAnsi="Times New Roman" w:cs="Times New Roman"/>
          <w:sz w:val="20"/>
          <w:szCs w:val="20"/>
        </w:rPr>
        <w:t>limitations of our study was</w:t>
      </w:r>
      <w:proofErr w:type="gramEnd"/>
      <w:r w:rsidR="00665DE3" w:rsidRPr="00CF7510">
        <w:rPr>
          <w:rFonts w:ascii="Times New Roman" w:hAnsi="Times New Roman" w:cs="Times New Roman"/>
          <w:sz w:val="20"/>
          <w:szCs w:val="20"/>
        </w:rPr>
        <w:t xml:space="preserve"> </w:t>
      </w:r>
      <w:r w:rsidR="00D51BD0" w:rsidRPr="00CF7510">
        <w:rPr>
          <w:rFonts w:ascii="Times New Roman" w:hAnsi="Times New Roman" w:cs="Times New Roman"/>
          <w:sz w:val="20"/>
          <w:szCs w:val="20"/>
        </w:rPr>
        <w:t>small sample size</w:t>
      </w:r>
      <w:r w:rsidR="004A649F" w:rsidRPr="00CF7510">
        <w:rPr>
          <w:rFonts w:ascii="Times New Roman" w:hAnsi="Times New Roman" w:cs="Times New Roman"/>
          <w:sz w:val="20"/>
          <w:szCs w:val="20"/>
        </w:rPr>
        <w:t xml:space="preserve">. Hence further studies are necessary </w:t>
      </w:r>
      <w:proofErr w:type="gramStart"/>
      <w:r w:rsidR="004A649F" w:rsidRPr="00CF7510">
        <w:rPr>
          <w:rFonts w:ascii="Times New Roman" w:hAnsi="Times New Roman" w:cs="Times New Roman"/>
          <w:sz w:val="20"/>
          <w:szCs w:val="20"/>
        </w:rPr>
        <w:t>in a large scale populations</w:t>
      </w:r>
      <w:proofErr w:type="gramEnd"/>
      <w:r w:rsidR="004A649F" w:rsidRPr="00CF7510">
        <w:rPr>
          <w:rFonts w:ascii="Times New Roman" w:hAnsi="Times New Roman" w:cs="Times New Roman"/>
          <w:sz w:val="20"/>
          <w:szCs w:val="20"/>
        </w:rPr>
        <w:t xml:space="preserve"> to confirm the findings of our study.</w:t>
      </w:r>
    </w:p>
    <w:p w:rsidR="00A07FDB" w:rsidRPr="00A07FDB" w:rsidRDefault="004A649F" w:rsidP="00A07FDB">
      <w:pPr>
        <w:tabs>
          <w:tab w:val="left" w:pos="6801"/>
        </w:tabs>
        <w:jc w:val="both"/>
        <w:rPr>
          <w:rFonts w:ascii="Times New Roman" w:hAnsi="Times New Roman" w:cs="Times New Roman"/>
          <w:sz w:val="20"/>
          <w:szCs w:val="20"/>
        </w:rPr>
      </w:pPr>
      <w:proofErr w:type="gramStart"/>
      <w:r w:rsidRPr="00CF7510">
        <w:rPr>
          <w:rFonts w:ascii="Times New Roman" w:hAnsi="Times New Roman" w:cs="Times New Roman"/>
          <w:b/>
          <w:sz w:val="20"/>
          <w:szCs w:val="20"/>
        </w:rPr>
        <w:t>Key words-</w:t>
      </w:r>
      <w:r w:rsidRPr="00CF7510">
        <w:rPr>
          <w:rFonts w:ascii="Times New Roman" w:hAnsi="Times New Roman" w:cs="Times New Roman"/>
          <w:sz w:val="20"/>
          <w:szCs w:val="20"/>
        </w:rPr>
        <w:t xml:space="preserve"> Breast cancer, </w:t>
      </w:r>
      <w:proofErr w:type="spellStart"/>
      <w:r w:rsidRPr="00CF7510">
        <w:rPr>
          <w:rFonts w:ascii="Times New Roman" w:hAnsi="Times New Roman" w:cs="Times New Roman"/>
          <w:sz w:val="20"/>
          <w:szCs w:val="20"/>
        </w:rPr>
        <w:t>Neutropenia</w:t>
      </w:r>
      <w:proofErr w:type="spellEnd"/>
      <w:r w:rsidRPr="00CF7510">
        <w:rPr>
          <w:rFonts w:ascii="Times New Roman" w:hAnsi="Times New Roman" w:cs="Times New Roman"/>
          <w:sz w:val="20"/>
          <w:szCs w:val="20"/>
        </w:rPr>
        <w:t xml:space="preserve">, </w:t>
      </w:r>
      <w:proofErr w:type="spellStart"/>
      <w:r w:rsidRPr="00CF7510">
        <w:rPr>
          <w:rFonts w:ascii="Times New Roman" w:hAnsi="Times New Roman" w:cs="Times New Roman"/>
          <w:sz w:val="20"/>
          <w:szCs w:val="20"/>
        </w:rPr>
        <w:t>Paclitaxel</w:t>
      </w:r>
      <w:proofErr w:type="spellEnd"/>
      <w:r w:rsidRPr="00CF7510">
        <w:rPr>
          <w:rFonts w:ascii="Times New Roman" w:hAnsi="Times New Roman" w:cs="Times New Roman"/>
          <w:sz w:val="20"/>
          <w:szCs w:val="20"/>
        </w:rPr>
        <w:t xml:space="preserve">, North-East </w:t>
      </w:r>
      <w:r w:rsidR="00665DE3" w:rsidRPr="00CF7510">
        <w:rPr>
          <w:rFonts w:ascii="Times New Roman" w:hAnsi="Times New Roman" w:cs="Times New Roman"/>
          <w:sz w:val="20"/>
          <w:szCs w:val="20"/>
        </w:rPr>
        <w:t>India.</w:t>
      </w:r>
      <w:proofErr w:type="gramEnd"/>
    </w:p>
    <w:p w:rsidR="00015FAC" w:rsidRDefault="00015FAC" w:rsidP="004A649F">
      <w:pPr>
        <w:jc w:val="both"/>
        <w:rPr>
          <w:rFonts w:ascii="Times New Roman" w:eastAsia="Times New Roman" w:hAnsi="Times New Roman" w:cs="Times New Roman"/>
          <w:b/>
          <w:sz w:val="28"/>
          <w:szCs w:val="28"/>
        </w:rPr>
      </w:pPr>
    </w:p>
    <w:p w:rsidR="00015FAC" w:rsidRDefault="00015FAC" w:rsidP="004A649F">
      <w:pPr>
        <w:jc w:val="both"/>
        <w:rPr>
          <w:rFonts w:ascii="Times New Roman" w:eastAsia="Times New Roman" w:hAnsi="Times New Roman" w:cs="Times New Roman"/>
          <w:b/>
          <w:sz w:val="28"/>
          <w:szCs w:val="28"/>
        </w:rPr>
      </w:pPr>
    </w:p>
    <w:p w:rsidR="00015FAC" w:rsidRDefault="00015FAC" w:rsidP="004A649F">
      <w:pPr>
        <w:jc w:val="both"/>
        <w:rPr>
          <w:rFonts w:ascii="Times New Roman" w:eastAsia="Times New Roman" w:hAnsi="Times New Roman" w:cs="Times New Roman"/>
          <w:b/>
          <w:sz w:val="28"/>
          <w:szCs w:val="28"/>
        </w:rPr>
      </w:pPr>
    </w:p>
    <w:p w:rsidR="009918F9" w:rsidRPr="005966F5" w:rsidRDefault="0047539F" w:rsidP="004A649F">
      <w:pPr>
        <w:jc w:val="both"/>
        <w:rPr>
          <w:rFonts w:ascii="Times New Roman" w:hAnsi="Times New Roman" w:cs="Times New Roman"/>
          <w:sz w:val="28"/>
          <w:szCs w:val="28"/>
        </w:rPr>
      </w:pPr>
      <w:r w:rsidRPr="005966F5">
        <w:rPr>
          <w:rFonts w:ascii="Times New Roman" w:eastAsia="Times New Roman" w:hAnsi="Times New Roman" w:cs="Times New Roman"/>
          <w:b/>
          <w:sz w:val="28"/>
          <w:szCs w:val="28"/>
        </w:rPr>
        <w:lastRenderedPageBreak/>
        <w:t>INTRODUCTION</w:t>
      </w:r>
    </w:p>
    <w:p w:rsidR="0051674F" w:rsidRPr="00CF7510" w:rsidRDefault="00C9461D" w:rsidP="005966F5">
      <w:pPr>
        <w:widowControl w:val="0"/>
        <w:tabs>
          <w:tab w:val="left" w:pos="90"/>
        </w:tabs>
        <w:autoSpaceDE w:val="0"/>
        <w:autoSpaceDN w:val="0"/>
        <w:adjustRightInd w:val="0"/>
        <w:spacing w:before="120" w:after="120" w:line="240" w:lineRule="auto"/>
        <w:jc w:val="both"/>
        <w:rPr>
          <w:rFonts w:ascii="Times New Roman" w:eastAsia="Times New Roman" w:hAnsi="Times New Roman" w:cs="Times New Roman"/>
          <w:sz w:val="20"/>
          <w:szCs w:val="20"/>
        </w:rPr>
      </w:pPr>
      <w:r w:rsidRPr="00CF7510">
        <w:rPr>
          <w:rFonts w:ascii="Times New Roman" w:hAnsi="Times New Roman" w:cs="Times New Roman"/>
          <w:sz w:val="20"/>
          <w:szCs w:val="20"/>
          <w:shd w:val="clear" w:color="auto" w:fill="FFFFFF"/>
        </w:rPr>
        <w:t>Breast cancer is the most commonly occurring cancer in women both in developed and developing countries like India and the s</w:t>
      </w:r>
      <w:r w:rsidR="009B3F8C" w:rsidRPr="00CF7510">
        <w:rPr>
          <w:rFonts w:ascii="Times New Roman" w:hAnsi="Times New Roman" w:cs="Times New Roman"/>
          <w:sz w:val="20"/>
          <w:szCs w:val="20"/>
          <w:shd w:val="clear" w:color="auto" w:fill="FFFFFF"/>
        </w:rPr>
        <w:t>econd most common cancer worldwide</w:t>
      </w:r>
      <w:r w:rsidR="002C0942" w:rsidRPr="00CF7510">
        <w:rPr>
          <w:rFonts w:ascii="Times New Roman" w:hAnsi="Times New Roman" w:cs="Times New Roman"/>
          <w:sz w:val="20"/>
          <w:szCs w:val="20"/>
          <w:shd w:val="clear" w:color="auto" w:fill="FFFFFF"/>
        </w:rPr>
        <w:t xml:space="preserve"> after lung cancer</w:t>
      </w:r>
      <w:r w:rsidRPr="00CF7510">
        <w:rPr>
          <w:rFonts w:ascii="Times New Roman" w:hAnsi="Times New Roman" w:cs="Times New Roman"/>
          <w:sz w:val="20"/>
          <w:szCs w:val="20"/>
          <w:shd w:val="clear" w:color="auto" w:fill="FFFFFF"/>
        </w:rPr>
        <w:t>. According to GLOBOCAN 2018 statistics there were over 2 million new cases of breast cancer in 2018 worldwide</w:t>
      </w:r>
      <w:r w:rsidRPr="00CF7510">
        <w:rPr>
          <w:rFonts w:ascii="Times New Roman" w:hAnsi="Times New Roman" w:cs="Times New Roman"/>
          <w:color w:val="0D0D0D" w:themeColor="text1" w:themeTint="F2"/>
          <w:sz w:val="20"/>
          <w:szCs w:val="20"/>
          <w:shd w:val="clear" w:color="auto" w:fill="FFFFFF"/>
        </w:rPr>
        <w:t>.</w:t>
      </w:r>
      <w:r w:rsidR="00786161" w:rsidRPr="00CF7510">
        <w:rPr>
          <w:rFonts w:ascii="Times New Roman" w:hAnsi="Times New Roman" w:cs="Times New Roman"/>
          <w:color w:val="0D0D0D" w:themeColor="text1" w:themeTint="F2"/>
          <w:sz w:val="20"/>
          <w:szCs w:val="20"/>
          <w:shd w:val="clear" w:color="auto" w:fill="FFFFFF"/>
          <w:vertAlign w:val="superscript"/>
        </w:rPr>
        <w:t>1</w:t>
      </w:r>
      <w:r w:rsidR="000835AE" w:rsidRPr="00CF7510">
        <w:rPr>
          <w:rFonts w:ascii="Times New Roman" w:hAnsi="Times New Roman" w:cs="Times New Roman"/>
          <w:color w:val="0D0D0D" w:themeColor="text1" w:themeTint="F2"/>
          <w:sz w:val="20"/>
          <w:szCs w:val="20"/>
          <w:shd w:val="clear" w:color="auto" w:fill="FFFFFF"/>
        </w:rPr>
        <w:t xml:space="preserve"> </w:t>
      </w:r>
      <w:r w:rsidR="000835AE" w:rsidRPr="00CF7510">
        <w:rPr>
          <w:rFonts w:ascii="Times New Roman" w:hAnsi="Times New Roman" w:cs="Times New Roman"/>
          <w:sz w:val="20"/>
          <w:szCs w:val="20"/>
        </w:rPr>
        <w:t>Indian Council for Medical Research [ICMR]</w:t>
      </w:r>
      <w:r w:rsidR="00C93D2E" w:rsidRPr="00CF7510">
        <w:rPr>
          <w:rFonts w:ascii="Times New Roman" w:hAnsi="Times New Roman" w:cs="Times New Roman"/>
          <w:sz w:val="20"/>
          <w:szCs w:val="20"/>
        </w:rPr>
        <w:t xml:space="preserve"> has reported</w:t>
      </w:r>
      <w:r w:rsidR="000835AE" w:rsidRPr="00CF7510">
        <w:rPr>
          <w:rFonts w:ascii="Times New Roman" w:hAnsi="Times New Roman" w:cs="Times New Roman"/>
          <w:sz w:val="20"/>
          <w:szCs w:val="20"/>
        </w:rPr>
        <w:t xml:space="preserve"> 1.5 </w:t>
      </w:r>
      <w:proofErr w:type="spellStart"/>
      <w:r w:rsidR="000835AE" w:rsidRPr="00CF7510">
        <w:rPr>
          <w:rFonts w:ascii="Times New Roman" w:hAnsi="Times New Roman" w:cs="Times New Roman"/>
          <w:sz w:val="20"/>
          <w:szCs w:val="20"/>
        </w:rPr>
        <w:t>lakhs</w:t>
      </w:r>
      <w:proofErr w:type="spellEnd"/>
      <w:r w:rsidR="000835AE" w:rsidRPr="00CF7510">
        <w:rPr>
          <w:rFonts w:ascii="Times New Roman" w:hAnsi="Times New Roman" w:cs="Times New Roman"/>
          <w:sz w:val="20"/>
          <w:szCs w:val="20"/>
        </w:rPr>
        <w:t xml:space="preserve"> new breast cancer cases in India per year.</w:t>
      </w:r>
      <w:r w:rsidR="000835AE" w:rsidRPr="00CF7510">
        <w:rPr>
          <w:rFonts w:ascii="Times New Roman" w:eastAsia="Times New Roman" w:hAnsi="Times New Roman" w:cs="Times New Roman"/>
          <w:b/>
          <w:sz w:val="20"/>
          <w:szCs w:val="20"/>
        </w:rPr>
        <w:t xml:space="preserve"> </w:t>
      </w:r>
      <w:r w:rsidR="009918F9" w:rsidRPr="00CF7510">
        <w:rPr>
          <w:rFonts w:ascii="Times New Roman" w:eastAsia="Times New Roman" w:hAnsi="Times New Roman" w:cs="Times New Roman"/>
          <w:sz w:val="20"/>
          <w:szCs w:val="20"/>
        </w:rPr>
        <w:t>Chemotherapy</w:t>
      </w:r>
      <w:r w:rsidR="000835AE" w:rsidRPr="00CF7510">
        <w:rPr>
          <w:rFonts w:ascii="Times New Roman" w:eastAsia="Times New Roman" w:hAnsi="Times New Roman" w:cs="Times New Roman"/>
          <w:sz w:val="20"/>
          <w:szCs w:val="20"/>
        </w:rPr>
        <w:t xml:space="preserve"> is one of the </w:t>
      </w:r>
      <w:r w:rsidR="00786161" w:rsidRPr="00CF7510">
        <w:rPr>
          <w:rFonts w:ascii="Times New Roman" w:eastAsia="Times New Roman" w:hAnsi="Times New Roman" w:cs="Times New Roman"/>
          <w:sz w:val="20"/>
          <w:szCs w:val="20"/>
        </w:rPr>
        <w:t>mainstays</w:t>
      </w:r>
      <w:r w:rsidR="000835AE" w:rsidRPr="00CF7510">
        <w:rPr>
          <w:rFonts w:ascii="Times New Roman" w:eastAsia="Times New Roman" w:hAnsi="Times New Roman" w:cs="Times New Roman"/>
          <w:sz w:val="20"/>
          <w:szCs w:val="20"/>
        </w:rPr>
        <w:t xml:space="preserve"> in the management of breast cancer. </w:t>
      </w:r>
      <w:proofErr w:type="spellStart"/>
      <w:r w:rsidR="000835AE" w:rsidRPr="00CF7510">
        <w:rPr>
          <w:rFonts w:ascii="Times New Roman" w:eastAsia="Times New Roman" w:hAnsi="Times New Roman" w:cs="Times New Roman"/>
          <w:sz w:val="20"/>
          <w:szCs w:val="20"/>
        </w:rPr>
        <w:t>Paclitaxel</w:t>
      </w:r>
      <w:proofErr w:type="spellEnd"/>
      <w:r w:rsidR="000835AE" w:rsidRPr="00CF7510">
        <w:rPr>
          <w:rFonts w:ascii="Times New Roman" w:eastAsia="Times New Roman" w:hAnsi="Times New Roman" w:cs="Times New Roman"/>
          <w:sz w:val="20"/>
          <w:szCs w:val="20"/>
        </w:rPr>
        <w:t xml:space="preserve"> is an effective anticancer agent derived </w:t>
      </w:r>
      <w:r w:rsidR="00F50D1B" w:rsidRPr="00CF7510">
        <w:rPr>
          <w:rFonts w:ascii="Times New Roman" w:eastAsia="Times New Roman" w:hAnsi="Times New Roman" w:cs="Times New Roman"/>
          <w:sz w:val="20"/>
          <w:szCs w:val="20"/>
        </w:rPr>
        <w:t xml:space="preserve">from the bark of </w:t>
      </w:r>
      <w:proofErr w:type="spellStart"/>
      <w:r w:rsidR="00F50D1B" w:rsidRPr="00CF7510">
        <w:rPr>
          <w:rFonts w:ascii="Times New Roman" w:eastAsia="Times New Roman" w:hAnsi="Times New Roman" w:cs="Times New Roman"/>
          <w:sz w:val="20"/>
          <w:szCs w:val="20"/>
        </w:rPr>
        <w:t>Taxus</w:t>
      </w:r>
      <w:proofErr w:type="spellEnd"/>
      <w:r w:rsidR="00F50D1B" w:rsidRPr="00CF7510">
        <w:rPr>
          <w:rFonts w:ascii="Times New Roman" w:eastAsia="Times New Roman" w:hAnsi="Times New Roman" w:cs="Times New Roman"/>
          <w:sz w:val="20"/>
          <w:szCs w:val="20"/>
        </w:rPr>
        <w:t xml:space="preserve"> </w:t>
      </w:r>
      <w:proofErr w:type="spellStart"/>
      <w:r w:rsidR="00F50D1B" w:rsidRPr="00CF7510">
        <w:rPr>
          <w:rFonts w:ascii="Times New Roman" w:eastAsia="Times New Roman" w:hAnsi="Times New Roman" w:cs="Times New Roman"/>
          <w:sz w:val="20"/>
          <w:szCs w:val="20"/>
        </w:rPr>
        <w:t>brevifolia</w:t>
      </w:r>
      <w:proofErr w:type="spellEnd"/>
      <w:r w:rsidR="00F50D1B" w:rsidRPr="00CF7510">
        <w:rPr>
          <w:rFonts w:ascii="Times New Roman" w:eastAsia="Times New Roman" w:hAnsi="Times New Roman" w:cs="Times New Roman"/>
          <w:sz w:val="20"/>
          <w:szCs w:val="20"/>
        </w:rPr>
        <w:t xml:space="preserve"> Nut (</w:t>
      </w:r>
      <w:proofErr w:type="spellStart"/>
      <w:r w:rsidR="00F50D1B" w:rsidRPr="00CF7510">
        <w:rPr>
          <w:rFonts w:ascii="Times New Roman" w:eastAsia="Times New Roman" w:hAnsi="Times New Roman" w:cs="Times New Roman"/>
          <w:sz w:val="20"/>
          <w:szCs w:val="20"/>
        </w:rPr>
        <w:t>Taxaceae</w:t>
      </w:r>
      <w:proofErr w:type="spellEnd"/>
      <w:r w:rsidR="00F50D1B" w:rsidRPr="00CF7510">
        <w:rPr>
          <w:rFonts w:ascii="Times New Roman" w:eastAsia="Times New Roman" w:hAnsi="Times New Roman" w:cs="Times New Roman"/>
          <w:sz w:val="20"/>
          <w:szCs w:val="20"/>
        </w:rPr>
        <w:t>) and form the one of the most commonly use</w:t>
      </w:r>
      <w:r w:rsidR="002C0942" w:rsidRPr="00CF7510">
        <w:rPr>
          <w:rFonts w:ascii="Times New Roman" w:eastAsia="Times New Roman" w:hAnsi="Times New Roman" w:cs="Times New Roman"/>
          <w:sz w:val="20"/>
          <w:szCs w:val="20"/>
        </w:rPr>
        <w:t xml:space="preserve"> chemotherapeutic agent in breast cancer</w:t>
      </w:r>
      <w:r w:rsidR="0057017A" w:rsidRPr="00CF7510">
        <w:rPr>
          <w:rFonts w:ascii="Times New Roman" w:eastAsia="Times New Roman" w:hAnsi="Times New Roman" w:cs="Times New Roman"/>
          <w:sz w:val="20"/>
          <w:szCs w:val="20"/>
        </w:rPr>
        <w:t xml:space="preserve"> management</w:t>
      </w:r>
      <w:r w:rsidR="002C0942" w:rsidRPr="00CF7510">
        <w:rPr>
          <w:rFonts w:ascii="Times New Roman" w:eastAsia="Times New Roman" w:hAnsi="Times New Roman" w:cs="Times New Roman"/>
          <w:sz w:val="20"/>
          <w:szCs w:val="20"/>
        </w:rPr>
        <w:t xml:space="preserve"> </w:t>
      </w:r>
      <w:r w:rsidR="00F50D1B" w:rsidRPr="00CF7510">
        <w:rPr>
          <w:rFonts w:ascii="Times New Roman" w:eastAsia="Times New Roman" w:hAnsi="Times New Roman" w:cs="Times New Roman"/>
          <w:sz w:val="20"/>
          <w:szCs w:val="20"/>
        </w:rPr>
        <w:t xml:space="preserve">in </w:t>
      </w:r>
      <w:r w:rsidR="002C0942" w:rsidRPr="00CF7510">
        <w:rPr>
          <w:rFonts w:ascii="Times New Roman" w:eastAsia="Times New Roman" w:hAnsi="Times New Roman" w:cs="Times New Roman"/>
          <w:sz w:val="20"/>
          <w:szCs w:val="20"/>
        </w:rPr>
        <w:t>various settings like as neo</w:t>
      </w:r>
      <w:r w:rsidR="004D37B5" w:rsidRPr="00CF7510">
        <w:rPr>
          <w:rFonts w:ascii="Times New Roman" w:eastAsia="Times New Roman" w:hAnsi="Times New Roman" w:cs="Times New Roman"/>
          <w:sz w:val="20"/>
          <w:szCs w:val="20"/>
        </w:rPr>
        <w:t>-</w:t>
      </w:r>
      <w:r w:rsidR="002C0942" w:rsidRPr="00CF7510">
        <w:rPr>
          <w:rFonts w:ascii="Times New Roman" w:eastAsia="Times New Roman" w:hAnsi="Times New Roman" w:cs="Times New Roman"/>
          <w:sz w:val="20"/>
          <w:szCs w:val="20"/>
        </w:rPr>
        <w:t>adjuvant, adjuva</w:t>
      </w:r>
      <w:r w:rsidR="00FD5A5E" w:rsidRPr="00CF7510">
        <w:rPr>
          <w:rFonts w:ascii="Times New Roman" w:eastAsia="Times New Roman" w:hAnsi="Times New Roman" w:cs="Times New Roman"/>
          <w:sz w:val="20"/>
          <w:szCs w:val="20"/>
        </w:rPr>
        <w:t>n</w:t>
      </w:r>
      <w:r w:rsidR="002C0942" w:rsidRPr="00CF7510">
        <w:rPr>
          <w:rFonts w:ascii="Times New Roman" w:eastAsia="Times New Roman" w:hAnsi="Times New Roman" w:cs="Times New Roman"/>
          <w:sz w:val="20"/>
          <w:szCs w:val="20"/>
        </w:rPr>
        <w:t>t or palliative setting</w:t>
      </w:r>
      <w:r w:rsidR="00F50D1B" w:rsidRPr="00CF7510">
        <w:rPr>
          <w:rFonts w:ascii="Times New Roman" w:eastAsia="Times New Roman" w:hAnsi="Times New Roman" w:cs="Times New Roman"/>
          <w:sz w:val="20"/>
          <w:szCs w:val="20"/>
        </w:rPr>
        <w:t>.</w:t>
      </w:r>
      <w:r w:rsidR="00E037F6" w:rsidRPr="00CF7510">
        <w:rPr>
          <w:rFonts w:ascii="Times New Roman" w:eastAsia="Times New Roman" w:hAnsi="Times New Roman" w:cs="Times New Roman"/>
          <w:sz w:val="20"/>
          <w:szCs w:val="20"/>
          <w:vertAlign w:val="superscript"/>
        </w:rPr>
        <w:t>2</w:t>
      </w:r>
      <w:r w:rsidR="00F50D1B" w:rsidRPr="00CF7510">
        <w:rPr>
          <w:rFonts w:ascii="Times New Roman" w:eastAsia="Times New Roman" w:hAnsi="Times New Roman" w:cs="Times New Roman"/>
          <w:sz w:val="20"/>
          <w:szCs w:val="20"/>
        </w:rPr>
        <w:t xml:space="preserve"> </w:t>
      </w:r>
      <w:proofErr w:type="spellStart"/>
      <w:r w:rsidR="00F50D1B" w:rsidRPr="00CF7510">
        <w:rPr>
          <w:rFonts w:ascii="Times New Roman" w:eastAsia="Times New Roman" w:hAnsi="Times New Roman" w:cs="Times New Roman"/>
          <w:sz w:val="20"/>
          <w:szCs w:val="20"/>
        </w:rPr>
        <w:t>Myelosuppression</w:t>
      </w:r>
      <w:proofErr w:type="spellEnd"/>
      <w:r w:rsidR="00F50D1B" w:rsidRPr="00CF7510">
        <w:rPr>
          <w:rFonts w:ascii="Times New Roman" w:eastAsia="Times New Roman" w:hAnsi="Times New Roman" w:cs="Times New Roman"/>
          <w:sz w:val="20"/>
          <w:szCs w:val="20"/>
        </w:rPr>
        <w:t xml:space="preserve"> is a major </w:t>
      </w:r>
      <w:r w:rsidR="00E037F6" w:rsidRPr="00CF7510">
        <w:rPr>
          <w:rFonts w:ascii="Times New Roman" w:eastAsia="Times New Roman" w:hAnsi="Times New Roman" w:cs="Times New Roman"/>
          <w:sz w:val="20"/>
          <w:szCs w:val="20"/>
        </w:rPr>
        <w:t xml:space="preserve">dose </w:t>
      </w:r>
      <w:r w:rsidR="00F50D1B" w:rsidRPr="00CF7510">
        <w:rPr>
          <w:rFonts w:ascii="Times New Roman" w:eastAsia="Times New Roman" w:hAnsi="Times New Roman" w:cs="Times New Roman"/>
          <w:sz w:val="20"/>
          <w:szCs w:val="20"/>
        </w:rPr>
        <w:t xml:space="preserve">limiting side effect of </w:t>
      </w:r>
      <w:proofErr w:type="spellStart"/>
      <w:r w:rsidR="00F50D1B" w:rsidRPr="00CF7510">
        <w:rPr>
          <w:rFonts w:ascii="Times New Roman" w:eastAsia="Times New Roman" w:hAnsi="Times New Roman" w:cs="Times New Roman"/>
          <w:sz w:val="20"/>
          <w:szCs w:val="20"/>
        </w:rPr>
        <w:t>paclitaxel</w:t>
      </w:r>
      <w:proofErr w:type="spellEnd"/>
      <w:r w:rsidR="00E037F6" w:rsidRPr="00CF7510">
        <w:rPr>
          <w:rFonts w:ascii="Times New Roman" w:eastAsia="Times New Roman" w:hAnsi="Times New Roman" w:cs="Times New Roman"/>
          <w:sz w:val="20"/>
          <w:szCs w:val="20"/>
        </w:rPr>
        <w:t xml:space="preserve"> manifested</w:t>
      </w:r>
      <w:r w:rsidR="00B50F74" w:rsidRPr="00CF7510">
        <w:rPr>
          <w:rFonts w:ascii="Times New Roman" w:eastAsia="Times New Roman" w:hAnsi="Times New Roman" w:cs="Times New Roman"/>
          <w:sz w:val="20"/>
          <w:szCs w:val="20"/>
        </w:rPr>
        <w:t xml:space="preserve"> </w:t>
      </w:r>
      <w:r w:rsidR="00ED7012" w:rsidRPr="00CF7510">
        <w:rPr>
          <w:rFonts w:ascii="Times New Roman" w:eastAsia="Times New Roman" w:hAnsi="Times New Roman" w:cs="Times New Roman"/>
          <w:sz w:val="20"/>
          <w:szCs w:val="20"/>
        </w:rPr>
        <w:t xml:space="preserve">as </w:t>
      </w:r>
      <w:proofErr w:type="spellStart"/>
      <w:r w:rsidR="00ED7012" w:rsidRPr="00CF7510">
        <w:rPr>
          <w:rFonts w:ascii="Times New Roman" w:eastAsia="Times New Roman" w:hAnsi="Times New Roman" w:cs="Times New Roman"/>
          <w:sz w:val="20"/>
          <w:szCs w:val="20"/>
        </w:rPr>
        <w:t>anaemia</w:t>
      </w:r>
      <w:proofErr w:type="spellEnd"/>
      <w:r w:rsidR="00B50F74" w:rsidRPr="00CF7510">
        <w:rPr>
          <w:rFonts w:ascii="Times New Roman" w:eastAsia="Times New Roman" w:hAnsi="Times New Roman" w:cs="Times New Roman"/>
          <w:sz w:val="20"/>
          <w:szCs w:val="20"/>
        </w:rPr>
        <w:t xml:space="preserve">, </w:t>
      </w:r>
      <w:proofErr w:type="spellStart"/>
      <w:r w:rsidR="00B50F74" w:rsidRPr="00CF7510">
        <w:rPr>
          <w:rFonts w:ascii="Times New Roman" w:eastAsia="Times New Roman" w:hAnsi="Times New Roman" w:cs="Times New Roman"/>
          <w:sz w:val="20"/>
          <w:szCs w:val="20"/>
        </w:rPr>
        <w:t>neutropenia</w:t>
      </w:r>
      <w:proofErr w:type="spellEnd"/>
      <w:r w:rsidR="00B50F74" w:rsidRPr="00CF7510">
        <w:rPr>
          <w:rFonts w:ascii="Times New Roman" w:eastAsia="Times New Roman" w:hAnsi="Times New Roman" w:cs="Times New Roman"/>
          <w:sz w:val="20"/>
          <w:szCs w:val="20"/>
        </w:rPr>
        <w:t>, thrombocytopenia or combination of any of these</w:t>
      </w:r>
      <w:r w:rsidR="00ED7012" w:rsidRPr="00CF7510">
        <w:rPr>
          <w:rFonts w:ascii="Times New Roman" w:eastAsia="Times New Roman" w:hAnsi="Times New Roman" w:cs="Times New Roman"/>
          <w:sz w:val="20"/>
          <w:szCs w:val="20"/>
        </w:rPr>
        <w:t xml:space="preserve">. </w:t>
      </w:r>
      <w:proofErr w:type="spellStart"/>
      <w:r w:rsidR="00D212C6" w:rsidRPr="00CF7510">
        <w:rPr>
          <w:rFonts w:ascii="Times New Roman" w:eastAsia="Times New Roman" w:hAnsi="Times New Roman" w:cs="Times New Roman"/>
          <w:sz w:val="20"/>
          <w:szCs w:val="20"/>
        </w:rPr>
        <w:t>Paclitaxel</w:t>
      </w:r>
      <w:proofErr w:type="spellEnd"/>
      <w:r w:rsidR="00D212C6" w:rsidRPr="00CF7510">
        <w:rPr>
          <w:rFonts w:ascii="Times New Roman" w:eastAsia="Times New Roman" w:hAnsi="Times New Roman" w:cs="Times New Roman"/>
          <w:sz w:val="20"/>
          <w:szCs w:val="20"/>
        </w:rPr>
        <w:t xml:space="preserve"> induces troublesome </w:t>
      </w:r>
      <w:proofErr w:type="spellStart"/>
      <w:r w:rsidR="00D212C6" w:rsidRPr="00CF7510">
        <w:rPr>
          <w:rFonts w:ascii="Times New Roman" w:eastAsia="Times New Roman" w:hAnsi="Times New Roman" w:cs="Times New Roman"/>
          <w:sz w:val="20"/>
          <w:szCs w:val="20"/>
        </w:rPr>
        <w:t>neutropenia</w:t>
      </w:r>
      <w:proofErr w:type="spellEnd"/>
      <w:r w:rsidR="00D212C6" w:rsidRPr="00CF7510">
        <w:rPr>
          <w:rFonts w:ascii="Times New Roman" w:eastAsia="Times New Roman" w:hAnsi="Times New Roman" w:cs="Times New Roman"/>
          <w:sz w:val="20"/>
          <w:szCs w:val="20"/>
        </w:rPr>
        <w:t xml:space="preserve"> of grade 3-4 in the dose range of 150-250 mg/m</w:t>
      </w:r>
      <w:r w:rsidR="00D212C6" w:rsidRPr="00CF7510">
        <w:rPr>
          <w:rFonts w:ascii="Times New Roman" w:eastAsia="Times New Roman" w:hAnsi="Times New Roman" w:cs="Times New Roman"/>
          <w:sz w:val="20"/>
          <w:szCs w:val="20"/>
          <w:vertAlign w:val="superscript"/>
        </w:rPr>
        <w:t>2</w:t>
      </w:r>
      <w:r w:rsidR="00D212C6" w:rsidRPr="00CF7510">
        <w:rPr>
          <w:rFonts w:ascii="Times New Roman" w:eastAsia="Times New Roman" w:hAnsi="Times New Roman" w:cs="Times New Roman"/>
          <w:sz w:val="20"/>
          <w:szCs w:val="20"/>
        </w:rPr>
        <w:t xml:space="preserve"> in more than 50% of the patients. </w:t>
      </w:r>
      <w:r w:rsidR="00ED7012" w:rsidRPr="00CF7510">
        <w:rPr>
          <w:rFonts w:ascii="Times New Roman" w:eastAsia="Times New Roman" w:hAnsi="Times New Roman" w:cs="Times New Roman"/>
          <w:sz w:val="20"/>
          <w:szCs w:val="20"/>
        </w:rPr>
        <w:t xml:space="preserve">According to the Common Terminology </w:t>
      </w:r>
      <w:r w:rsidR="00D35966" w:rsidRPr="00CF7510">
        <w:rPr>
          <w:rFonts w:ascii="Times New Roman" w:eastAsia="Times New Roman" w:hAnsi="Times New Roman" w:cs="Times New Roman"/>
          <w:sz w:val="20"/>
          <w:szCs w:val="20"/>
        </w:rPr>
        <w:t xml:space="preserve">Criteria </w:t>
      </w:r>
      <w:r w:rsidR="00ED7012" w:rsidRPr="00CF7510">
        <w:rPr>
          <w:rFonts w:ascii="Times New Roman" w:eastAsia="Times New Roman" w:hAnsi="Times New Roman" w:cs="Times New Roman"/>
          <w:sz w:val="20"/>
          <w:szCs w:val="20"/>
        </w:rPr>
        <w:t>for Adverse</w:t>
      </w:r>
      <w:r w:rsidR="00720124" w:rsidRPr="00CF7510">
        <w:rPr>
          <w:rFonts w:ascii="Times New Roman" w:eastAsia="Times New Roman" w:hAnsi="Times New Roman" w:cs="Times New Roman"/>
          <w:sz w:val="20"/>
          <w:szCs w:val="20"/>
        </w:rPr>
        <w:t xml:space="preserve"> Events version </w:t>
      </w:r>
      <w:r w:rsidR="004D37B5" w:rsidRPr="00CF7510">
        <w:rPr>
          <w:rFonts w:ascii="Times New Roman" w:eastAsia="Times New Roman" w:hAnsi="Times New Roman" w:cs="Times New Roman"/>
          <w:sz w:val="20"/>
          <w:szCs w:val="20"/>
        </w:rPr>
        <w:t>4</w:t>
      </w:r>
      <w:r w:rsidR="0047539F" w:rsidRPr="00CF7510">
        <w:rPr>
          <w:rFonts w:ascii="Times New Roman" w:eastAsia="Times New Roman" w:hAnsi="Times New Roman" w:cs="Times New Roman"/>
          <w:sz w:val="20"/>
          <w:szCs w:val="20"/>
        </w:rPr>
        <w:t>.0</w:t>
      </w:r>
      <w:r w:rsidR="00D35966" w:rsidRPr="00CF7510">
        <w:rPr>
          <w:rFonts w:ascii="Times New Roman" w:eastAsia="Times New Roman" w:hAnsi="Times New Roman" w:cs="Times New Roman"/>
          <w:sz w:val="20"/>
          <w:szCs w:val="20"/>
        </w:rPr>
        <w:t xml:space="preserve"> (CTCAE v 4.0)</w:t>
      </w:r>
      <w:r w:rsidR="0047539F" w:rsidRPr="00CF7510">
        <w:rPr>
          <w:rFonts w:ascii="Times New Roman" w:eastAsia="Times New Roman" w:hAnsi="Times New Roman" w:cs="Times New Roman"/>
          <w:sz w:val="20"/>
          <w:szCs w:val="20"/>
        </w:rPr>
        <w:t xml:space="preserve">, </w:t>
      </w:r>
      <w:proofErr w:type="spellStart"/>
      <w:r w:rsidR="00ED7012" w:rsidRPr="00CF7510">
        <w:rPr>
          <w:rFonts w:ascii="Times New Roman" w:eastAsia="Times New Roman" w:hAnsi="Times New Roman" w:cs="Times New Roman"/>
          <w:sz w:val="20"/>
          <w:szCs w:val="20"/>
        </w:rPr>
        <w:t>n</w:t>
      </w:r>
      <w:r w:rsidR="00F50D1B" w:rsidRPr="00CF7510">
        <w:rPr>
          <w:rFonts w:ascii="Times New Roman" w:eastAsia="Times New Roman" w:hAnsi="Times New Roman" w:cs="Times New Roman"/>
          <w:sz w:val="20"/>
          <w:szCs w:val="20"/>
        </w:rPr>
        <w:t>eutropenia</w:t>
      </w:r>
      <w:proofErr w:type="spellEnd"/>
      <w:r w:rsidR="00F50D1B" w:rsidRPr="00CF7510">
        <w:rPr>
          <w:rFonts w:ascii="Times New Roman" w:eastAsia="Times New Roman" w:hAnsi="Times New Roman" w:cs="Times New Roman"/>
          <w:sz w:val="20"/>
          <w:szCs w:val="20"/>
        </w:rPr>
        <w:t xml:space="preserve"> </w:t>
      </w:r>
      <w:r w:rsidR="00ED7012" w:rsidRPr="00CF7510">
        <w:rPr>
          <w:rFonts w:ascii="Times New Roman" w:eastAsia="Times New Roman" w:hAnsi="Times New Roman" w:cs="Times New Roman"/>
          <w:sz w:val="20"/>
          <w:szCs w:val="20"/>
        </w:rPr>
        <w:t>is defined</w:t>
      </w:r>
      <w:r w:rsidR="00156227" w:rsidRPr="00CF7510">
        <w:rPr>
          <w:rFonts w:ascii="Times New Roman" w:eastAsia="Times New Roman" w:hAnsi="Times New Roman" w:cs="Times New Roman"/>
          <w:sz w:val="20"/>
          <w:szCs w:val="20"/>
        </w:rPr>
        <w:t xml:space="preserve"> by a granulocyte count below 1.5×10</w:t>
      </w:r>
      <w:r w:rsidR="00156227" w:rsidRPr="00CF7510">
        <w:rPr>
          <w:rFonts w:ascii="Times New Roman" w:eastAsia="Times New Roman" w:hAnsi="Times New Roman" w:cs="Times New Roman"/>
          <w:sz w:val="20"/>
          <w:szCs w:val="20"/>
          <w:vertAlign w:val="superscript"/>
        </w:rPr>
        <w:t>9</w:t>
      </w:r>
      <w:r w:rsidR="00156227" w:rsidRPr="00CF7510">
        <w:rPr>
          <w:rFonts w:ascii="Times New Roman" w:eastAsia="Times New Roman" w:hAnsi="Times New Roman" w:cs="Times New Roman"/>
          <w:sz w:val="20"/>
          <w:szCs w:val="20"/>
        </w:rPr>
        <w:t>/L</w:t>
      </w:r>
      <w:r w:rsidR="00480B75" w:rsidRPr="00CF7510">
        <w:rPr>
          <w:rFonts w:ascii="Times New Roman" w:eastAsia="Times New Roman" w:hAnsi="Times New Roman" w:cs="Times New Roman"/>
          <w:sz w:val="20"/>
          <w:szCs w:val="20"/>
        </w:rPr>
        <w:t xml:space="preserve"> </w:t>
      </w:r>
      <w:r w:rsidR="00480B75" w:rsidRPr="00CF7510">
        <w:rPr>
          <w:rFonts w:ascii="Times New Roman" w:eastAsia="Times New Roman" w:hAnsi="Times New Roman" w:cs="Times New Roman"/>
          <w:b/>
          <w:sz w:val="20"/>
          <w:szCs w:val="20"/>
        </w:rPr>
        <w:t>(Table 1)</w:t>
      </w:r>
      <w:r w:rsidR="00156227" w:rsidRPr="00CF7510">
        <w:rPr>
          <w:rFonts w:ascii="Times New Roman" w:eastAsia="Times New Roman" w:hAnsi="Times New Roman" w:cs="Times New Roman"/>
          <w:b/>
          <w:sz w:val="20"/>
          <w:szCs w:val="20"/>
        </w:rPr>
        <w:t xml:space="preserve">. </w:t>
      </w:r>
      <w:r w:rsidR="00F50D1B" w:rsidRPr="00CF7510">
        <w:rPr>
          <w:rFonts w:ascii="Times New Roman" w:eastAsia="Times New Roman" w:hAnsi="Times New Roman" w:cs="Times New Roman"/>
          <w:sz w:val="20"/>
          <w:szCs w:val="20"/>
        </w:rPr>
        <w:t>Chemotherapy</w:t>
      </w:r>
      <w:r w:rsidR="009918F9" w:rsidRPr="00CF7510">
        <w:rPr>
          <w:rFonts w:ascii="Times New Roman" w:eastAsia="Times New Roman" w:hAnsi="Times New Roman" w:cs="Times New Roman"/>
          <w:sz w:val="20"/>
          <w:szCs w:val="20"/>
        </w:rPr>
        <w:t xml:space="preserve">-induced </w:t>
      </w:r>
      <w:proofErr w:type="spellStart"/>
      <w:r w:rsidR="009918F9" w:rsidRPr="00CF7510">
        <w:rPr>
          <w:rFonts w:ascii="Times New Roman" w:eastAsia="Times New Roman" w:hAnsi="Times New Roman" w:cs="Times New Roman"/>
          <w:sz w:val="20"/>
          <w:szCs w:val="20"/>
        </w:rPr>
        <w:t>neutropenia</w:t>
      </w:r>
      <w:proofErr w:type="spellEnd"/>
      <w:r w:rsidR="009918F9" w:rsidRPr="00CF7510">
        <w:rPr>
          <w:rFonts w:ascii="Times New Roman" w:eastAsia="Times New Roman" w:hAnsi="Times New Roman" w:cs="Times New Roman"/>
          <w:sz w:val="20"/>
          <w:szCs w:val="20"/>
        </w:rPr>
        <w:t xml:space="preserve"> (CIN) </w:t>
      </w:r>
      <w:r w:rsidR="00A273CC" w:rsidRPr="00CF7510">
        <w:rPr>
          <w:rFonts w:ascii="Times New Roman" w:eastAsia="Times New Roman" w:hAnsi="Times New Roman" w:cs="Times New Roman"/>
          <w:sz w:val="20"/>
          <w:szCs w:val="20"/>
        </w:rPr>
        <w:t xml:space="preserve">increases the risk of infection which is </w:t>
      </w:r>
      <w:r w:rsidR="00BE0DA7" w:rsidRPr="00CF7510">
        <w:rPr>
          <w:rFonts w:ascii="Times New Roman" w:eastAsia="Times New Roman" w:hAnsi="Times New Roman" w:cs="Times New Roman"/>
          <w:sz w:val="20"/>
          <w:szCs w:val="20"/>
        </w:rPr>
        <w:t xml:space="preserve">typically manifested by fever. </w:t>
      </w:r>
      <w:r w:rsidR="00A273CC" w:rsidRPr="00CF7510">
        <w:rPr>
          <w:rFonts w:ascii="Times New Roman" w:eastAsia="Times New Roman" w:hAnsi="Times New Roman" w:cs="Times New Roman"/>
          <w:sz w:val="20"/>
          <w:szCs w:val="20"/>
        </w:rPr>
        <w:t xml:space="preserve">When </w:t>
      </w:r>
      <w:proofErr w:type="spellStart"/>
      <w:r w:rsidR="00A273CC" w:rsidRPr="00CF7510">
        <w:rPr>
          <w:rFonts w:ascii="Times New Roman" w:eastAsia="Times New Roman" w:hAnsi="Times New Roman" w:cs="Times New Roman"/>
          <w:sz w:val="20"/>
          <w:szCs w:val="20"/>
        </w:rPr>
        <w:t>neutropenic</w:t>
      </w:r>
      <w:proofErr w:type="spellEnd"/>
      <w:r w:rsidR="00A273CC" w:rsidRPr="00CF7510">
        <w:rPr>
          <w:rFonts w:ascii="Times New Roman" w:eastAsia="Times New Roman" w:hAnsi="Times New Roman" w:cs="Times New Roman"/>
          <w:sz w:val="20"/>
          <w:szCs w:val="20"/>
        </w:rPr>
        <w:t xml:space="preserve"> patient develops fever </w:t>
      </w:r>
      <w:proofErr w:type="spellStart"/>
      <w:r w:rsidR="00A273CC" w:rsidRPr="00CF7510">
        <w:rPr>
          <w:rFonts w:ascii="Times New Roman" w:eastAsia="Times New Roman" w:hAnsi="Times New Roman" w:cs="Times New Roman"/>
          <w:sz w:val="20"/>
          <w:szCs w:val="20"/>
        </w:rPr>
        <w:t>i.e</w:t>
      </w:r>
      <w:proofErr w:type="spellEnd"/>
      <w:r w:rsidR="00A273CC" w:rsidRPr="00CF7510">
        <w:rPr>
          <w:rFonts w:ascii="Times New Roman" w:eastAsia="Times New Roman" w:hAnsi="Times New Roman" w:cs="Times New Roman"/>
          <w:sz w:val="20"/>
          <w:szCs w:val="20"/>
        </w:rPr>
        <w:t xml:space="preserve"> </w:t>
      </w:r>
      <w:r w:rsidR="009918F9" w:rsidRPr="00CF7510">
        <w:rPr>
          <w:rFonts w:ascii="Times New Roman" w:eastAsia="Times New Roman" w:hAnsi="Times New Roman" w:cs="Times New Roman"/>
          <w:sz w:val="20"/>
          <w:szCs w:val="20"/>
        </w:rPr>
        <w:t xml:space="preserve">febrile </w:t>
      </w:r>
      <w:proofErr w:type="spellStart"/>
      <w:r w:rsidR="009918F9" w:rsidRPr="00CF7510">
        <w:rPr>
          <w:rFonts w:ascii="Times New Roman" w:eastAsia="Times New Roman" w:hAnsi="Times New Roman" w:cs="Times New Roman"/>
          <w:sz w:val="20"/>
          <w:szCs w:val="20"/>
        </w:rPr>
        <w:t>neutropenia</w:t>
      </w:r>
      <w:proofErr w:type="spellEnd"/>
      <w:r w:rsidR="009918F9" w:rsidRPr="00CF7510">
        <w:rPr>
          <w:rFonts w:ascii="Times New Roman" w:eastAsia="Times New Roman" w:hAnsi="Times New Roman" w:cs="Times New Roman"/>
          <w:sz w:val="20"/>
          <w:szCs w:val="20"/>
        </w:rPr>
        <w:t xml:space="preserve"> (FN),</w:t>
      </w:r>
      <w:r w:rsidR="000C1B8B" w:rsidRPr="00CF7510">
        <w:rPr>
          <w:rFonts w:ascii="Times New Roman" w:eastAsia="Times New Roman" w:hAnsi="Times New Roman" w:cs="Times New Roman"/>
          <w:sz w:val="20"/>
          <w:szCs w:val="20"/>
        </w:rPr>
        <w:t xml:space="preserve"> </w:t>
      </w:r>
      <w:r w:rsidR="00A273CC" w:rsidRPr="00CF7510">
        <w:rPr>
          <w:rFonts w:ascii="Times New Roman" w:eastAsia="Times New Roman" w:hAnsi="Times New Roman" w:cs="Times New Roman"/>
          <w:sz w:val="20"/>
          <w:szCs w:val="20"/>
        </w:rPr>
        <w:t xml:space="preserve">the likelihood of infection and serious consequences often necessitates </w:t>
      </w:r>
      <w:r w:rsidR="009918F9" w:rsidRPr="00CF7510">
        <w:rPr>
          <w:rFonts w:ascii="Times New Roman" w:eastAsia="Times New Roman" w:hAnsi="Times New Roman" w:cs="Times New Roman"/>
          <w:sz w:val="20"/>
          <w:szCs w:val="20"/>
        </w:rPr>
        <w:t xml:space="preserve">immediate </w:t>
      </w:r>
      <w:proofErr w:type="spellStart"/>
      <w:r w:rsidR="009918F9" w:rsidRPr="00CF7510">
        <w:rPr>
          <w:rFonts w:ascii="Times New Roman" w:eastAsia="Times New Roman" w:hAnsi="Times New Roman" w:cs="Times New Roman"/>
          <w:sz w:val="20"/>
          <w:szCs w:val="20"/>
        </w:rPr>
        <w:t>hospitalizaon</w:t>
      </w:r>
      <w:proofErr w:type="spellEnd"/>
      <w:r w:rsidR="0049553C" w:rsidRPr="00CF7510">
        <w:rPr>
          <w:rFonts w:ascii="Times New Roman" w:eastAsia="Times New Roman" w:hAnsi="Times New Roman" w:cs="Times New Roman"/>
          <w:sz w:val="20"/>
          <w:szCs w:val="20"/>
        </w:rPr>
        <w:t xml:space="preserve"> for urgent evaluation, ongoing monitoring and</w:t>
      </w:r>
      <w:r w:rsidR="009918F9" w:rsidRPr="00CF7510">
        <w:rPr>
          <w:rFonts w:ascii="Times New Roman" w:eastAsia="Times New Roman" w:hAnsi="Times New Roman" w:cs="Times New Roman"/>
          <w:sz w:val="20"/>
          <w:szCs w:val="20"/>
        </w:rPr>
        <w:t xml:space="preserve"> administration of empirical broad-spectrum </w:t>
      </w:r>
      <w:r w:rsidR="0049553C" w:rsidRPr="00CF7510">
        <w:rPr>
          <w:rFonts w:ascii="Times New Roman" w:eastAsia="Times New Roman" w:hAnsi="Times New Roman" w:cs="Times New Roman"/>
          <w:sz w:val="20"/>
          <w:szCs w:val="20"/>
        </w:rPr>
        <w:t xml:space="preserve">intravenous </w:t>
      </w:r>
      <w:r w:rsidR="009918F9" w:rsidRPr="00CF7510">
        <w:rPr>
          <w:rFonts w:ascii="Times New Roman" w:eastAsia="Times New Roman" w:hAnsi="Times New Roman" w:cs="Times New Roman"/>
          <w:sz w:val="20"/>
          <w:szCs w:val="20"/>
        </w:rPr>
        <w:t>antibiotics</w:t>
      </w:r>
      <w:r w:rsidR="00386C34" w:rsidRPr="00CF7510">
        <w:rPr>
          <w:rFonts w:ascii="Times New Roman" w:eastAsia="Times New Roman" w:hAnsi="Times New Roman" w:cs="Times New Roman"/>
          <w:sz w:val="20"/>
          <w:szCs w:val="20"/>
        </w:rPr>
        <w:t>.</w:t>
      </w:r>
      <w:r w:rsidR="00274F40" w:rsidRPr="00CF7510">
        <w:rPr>
          <w:rFonts w:ascii="Times New Roman" w:eastAsia="Times New Roman" w:hAnsi="Times New Roman" w:cs="Times New Roman"/>
          <w:sz w:val="20"/>
          <w:szCs w:val="20"/>
          <w:vertAlign w:val="superscript"/>
        </w:rPr>
        <w:t>3</w:t>
      </w:r>
      <w:r w:rsidR="00386C34" w:rsidRPr="00CF7510">
        <w:rPr>
          <w:rFonts w:ascii="Times New Roman" w:eastAsia="Times New Roman" w:hAnsi="Times New Roman" w:cs="Times New Roman"/>
          <w:sz w:val="20"/>
          <w:szCs w:val="20"/>
        </w:rPr>
        <w:t xml:space="preserve"> </w:t>
      </w:r>
      <w:r w:rsidR="004D37B5" w:rsidRPr="00CF7510">
        <w:rPr>
          <w:rFonts w:ascii="Times New Roman" w:eastAsia="Times New Roman" w:hAnsi="Times New Roman" w:cs="Times New Roman"/>
          <w:sz w:val="20"/>
          <w:szCs w:val="20"/>
        </w:rPr>
        <w:t xml:space="preserve">The management of </w:t>
      </w:r>
      <w:r w:rsidR="0047539F" w:rsidRPr="00CF7510">
        <w:rPr>
          <w:rFonts w:ascii="Times New Roman" w:eastAsia="Times New Roman" w:hAnsi="Times New Roman" w:cs="Times New Roman"/>
          <w:sz w:val="20"/>
          <w:szCs w:val="20"/>
        </w:rPr>
        <w:t xml:space="preserve">CIN often mandate use of colony stimulating factors other than </w:t>
      </w:r>
      <w:r w:rsidR="00D212C6" w:rsidRPr="00CF7510">
        <w:rPr>
          <w:rFonts w:ascii="Times New Roman" w:eastAsia="Times New Roman" w:hAnsi="Times New Roman" w:cs="Times New Roman"/>
          <w:sz w:val="20"/>
          <w:szCs w:val="20"/>
        </w:rPr>
        <w:t xml:space="preserve">chemotherapeutics </w:t>
      </w:r>
      <w:r w:rsidR="00C93D2E" w:rsidRPr="00CF7510">
        <w:rPr>
          <w:rFonts w:ascii="Times New Roman" w:eastAsia="Times New Roman" w:hAnsi="Times New Roman" w:cs="Times New Roman"/>
          <w:sz w:val="20"/>
          <w:szCs w:val="20"/>
        </w:rPr>
        <w:t xml:space="preserve">dose reduction, </w:t>
      </w:r>
      <w:r w:rsidR="00D212C6" w:rsidRPr="00CF7510">
        <w:rPr>
          <w:rFonts w:ascii="Times New Roman" w:eastAsia="Times New Roman" w:hAnsi="Times New Roman" w:cs="Times New Roman"/>
          <w:sz w:val="20"/>
          <w:szCs w:val="20"/>
        </w:rPr>
        <w:t>dose delay</w:t>
      </w:r>
      <w:r w:rsidR="009918F9" w:rsidRPr="00CF7510">
        <w:rPr>
          <w:rFonts w:ascii="Times New Roman" w:eastAsia="Times New Roman" w:hAnsi="Times New Roman" w:cs="Times New Roman"/>
          <w:sz w:val="20"/>
          <w:szCs w:val="20"/>
        </w:rPr>
        <w:t xml:space="preserve"> </w:t>
      </w:r>
      <w:r w:rsidR="0047539F" w:rsidRPr="00CF7510">
        <w:rPr>
          <w:rFonts w:ascii="Times New Roman" w:eastAsia="Times New Roman" w:hAnsi="Times New Roman" w:cs="Times New Roman"/>
          <w:sz w:val="20"/>
          <w:szCs w:val="20"/>
        </w:rPr>
        <w:t xml:space="preserve">and/or </w:t>
      </w:r>
      <w:r w:rsidR="009918F9" w:rsidRPr="00CF7510">
        <w:rPr>
          <w:rFonts w:ascii="Times New Roman" w:eastAsia="Times New Roman" w:hAnsi="Times New Roman" w:cs="Times New Roman"/>
          <w:sz w:val="20"/>
          <w:szCs w:val="20"/>
        </w:rPr>
        <w:t>discontinuation</w:t>
      </w:r>
      <w:r w:rsidR="0047539F" w:rsidRPr="00CF7510">
        <w:rPr>
          <w:rFonts w:ascii="Times New Roman" w:eastAsia="Times New Roman" w:hAnsi="Times New Roman" w:cs="Times New Roman"/>
          <w:sz w:val="20"/>
          <w:szCs w:val="20"/>
        </w:rPr>
        <w:t xml:space="preserve"> of</w:t>
      </w:r>
      <w:r w:rsidR="00D212C6" w:rsidRPr="00CF7510">
        <w:rPr>
          <w:rFonts w:ascii="Times New Roman" w:eastAsia="Times New Roman" w:hAnsi="Times New Roman" w:cs="Times New Roman"/>
          <w:sz w:val="20"/>
          <w:szCs w:val="20"/>
        </w:rPr>
        <w:t xml:space="preserve"> </w:t>
      </w:r>
      <w:r w:rsidR="0047539F" w:rsidRPr="00CF7510">
        <w:rPr>
          <w:rFonts w:ascii="Times New Roman" w:eastAsia="Times New Roman" w:hAnsi="Times New Roman" w:cs="Times New Roman"/>
          <w:sz w:val="20"/>
          <w:szCs w:val="20"/>
        </w:rPr>
        <w:t xml:space="preserve"> </w:t>
      </w:r>
      <w:r w:rsidR="00C93D2E" w:rsidRPr="00CF7510">
        <w:rPr>
          <w:rFonts w:ascii="Times New Roman" w:eastAsia="Times New Roman" w:hAnsi="Times New Roman" w:cs="Times New Roman"/>
          <w:sz w:val="20"/>
          <w:szCs w:val="20"/>
        </w:rPr>
        <w:t>chemotherapeutic</w:t>
      </w:r>
      <w:r w:rsidR="00D212C6" w:rsidRPr="00CF7510">
        <w:rPr>
          <w:rFonts w:ascii="Times New Roman" w:eastAsia="Times New Roman" w:hAnsi="Times New Roman" w:cs="Times New Roman"/>
          <w:sz w:val="20"/>
          <w:szCs w:val="20"/>
        </w:rPr>
        <w:t xml:space="preserve"> </w:t>
      </w:r>
      <w:r w:rsidR="0047539F" w:rsidRPr="00CF7510">
        <w:rPr>
          <w:rFonts w:ascii="Times New Roman" w:eastAsia="Times New Roman" w:hAnsi="Times New Roman" w:cs="Times New Roman"/>
          <w:sz w:val="20"/>
          <w:szCs w:val="20"/>
        </w:rPr>
        <w:t xml:space="preserve">agents which seriously </w:t>
      </w:r>
      <w:r w:rsidR="009918F9" w:rsidRPr="00CF7510">
        <w:rPr>
          <w:rFonts w:ascii="Times New Roman" w:eastAsia="Times New Roman" w:hAnsi="Times New Roman" w:cs="Times New Roman"/>
          <w:sz w:val="20"/>
          <w:szCs w:val="20"/>
        </w:rPr>
        <w:t xml:space="preserve"> interfering with the delivery of</w:t>
      </w:r>
      <w:r w:rsidR="0047539F" w:rsidRPr="00CF7510">
        <w:rPr>
          <w:rFonts w:ascii="Times New Roman" w:eastAsia="Times New Roman" w:hAnsi="Times New Roman" w:cs="Times New Roman"/>
          <w:sz w:val="20"/>
          <w:szCs w:val="20"/>
        </w:rPr>
        <w:t xml:space="preserve"> optimal treatment and possibly </w:t>
      </w:r>
      <w:r w:rsidR="009918F9" w:rsidRPr="00CF7510">
        <w:rPr>
          <w:rFonts w:ascii="Times New Roman" w:eastAsia="Times New Roman" w:hAnsi="Times New Roman" w:cs="Times New Roman"/>
          <w:sz w:val="20"/>
          <w:szCs w:val="20"/>
        </w:rPr>
        <w:t>adv</w:t>
      </w:r>
      <w:r w:rsidR="00C93D2E" w:rsidRPr="00CF7510">
        <w:rPr>
          <w:rFonts w:ascii="Times New Roman" w:eastAsia="Times New Roman" w:hAnsi="Times New Roman" w:cs="Times New Roman"/>
          <w:sz w:val="20"/>
          <w:szCs w:val="20"/>
        </w:rPr>
        <w:t xml:space="preserve">ersely </w:t>
      </w:r>
      <w:proofErr w:type="spellStart"/>
      <w:r w:rsidR="00C93D2E" w:rsidRPr="00CF7510">
        <w:rPr>
          <w:rFonts w:ascii="Times New Roman" w:eastAsia="Times New Roman" w:hAnsi="Times New Roman" w:cs="Times New Roman"/>
          <w:sz w:val="20"/>
          <w:szCs w:val="20"/>
        </w:rPr>
        <w:t>aﬀecting</w:t>
      </w:r>
      <w:proofErr w:type="spellEnd"/>
      <w:r w:rsidR="00C93D2E" w:rsidRPr="00CF7510">
        <w:rPr>
          <w:rFonts w:ascii="Times New Roman" w:eastAsia="Times New Roman" w:hAnsi="Times New Roman" w:cs="Times New Roman"/>
          <w:sz w:val="20"/>
          <w:szCs w:val="20"/>
        </w:rPr>
        <w:t xml:space="preserve"> patient outcome</w:t>
      </w:r>
      <w:r w:rsidR="00B50F74" w:rsidRPr="00CF7510">
        <w:rPr>
          <w:rFonts w:ascii="Times New Roman" w:eastAsia="Times New Roman" w:hAnsi="Times New Roman" w:cs="Times New Roman"/>
          <w:sz w:val="20"/>
          <w:szCs w:val="20"/>
        </w:rPr>
        <w:t>.</w:t>
      </w:r>
      <w:r w:rsidR="00E037F6" w:rsidRPr="00CF7510">
        <w:rPr>
          <w:rFonts w:ascii="Times New Roman" w:eastAsia="Times New Roman" w:hAnsi="Times New Roman" w:cs="Times New Roman"/>
          <w:sz w:val="20"/>
          <w:szCs w:val="20"/>
          <w:vertAlign w:val="superscript"/>
        </w:rPr>
        <w:t>4,5</w:t>
      </w:r>
      <w:r w:rsidR="004D37B5" w:rsidRPr="00CF7510">
        <w:rPr>
          <w:rFonts w:ascii="Times New Roman" w:eastAsia="Times New Roman" w:hAnsi="Times New Roman" w:cs="Times New Roman"/>
          <w:sz w:val="20"/>
          <w:szCs w:val="20"/>
          <w:vertAlign w:val="superscript"/>
        </w:rPr>
        <w:t xml:space="preserve"> </w:t>
      </w:r>
    </w:p>
    <w:p w:rsidR="00592341" w:rsidRPr="00CF7510" w:rsidRDefault="0051674F" w:rsidP="002A2D08">
      <w:pPr>
        <w:widowControl w:val="0"/>
        <w:tabs>
          <w:tab w:val="left" w:pos="90"/>
        </w:tabs>
        <w:autoSpaceDE w:val="0"/>
        <w:autoSpaceDN w:val="0"/>
        <w:adjustRightInd w:val="0"/>
        <w:spacing w:before="120" w:after="120" w:line="240" w:lineRule="auto"/>
        <w:jc w:val="both"/>
        <w:rPr>
          <w:rFonts w:ascii="Times New Roman" w:hAnsi="Times New Roman" w:cs="Times New Roman"/>
          <w:sz w:val="20"/>
          <w:szCs w:val="20"/>
        </w:rPr>
      </w:pPr>
      <w:r w:rsidRPr="00CF7510">
        <w:rPr>
          <w:rFonts w:ascii="Times New Roman" w:hAnsi="Times New Roman" w:cs="Times New Roman"/>
          <w:sz w:val="20"/>
          <w:szCs w:val="20"/>
        </w:rPr>
        <w:t xml:space="preserve">State cancer Institute, </w:t>
      </w:r>
      <w:proofErr w:type="spellStart"/>
      <w:r w:rsidRPr="00CF7510">
        <w:rPr>
          <w:rFonts w:ascii="Times New Roman" w:hAnsi="Times New Roman" w:cs="Times New Roman"/>
          <w:sz w:val="20"/>
          <w:szCs w:val="20"/>
        </w:rPr>
        <w:t>Guwahati</w:t>
      </w:r>
      <w:proofErr w:type="spellEnd"/>
      <w:r w:rsidRPr="00CF7510">
        <w:rPr>
          <w:rFonts w:ascii="Times New Roman" w:hAnsi="Times New Roman" w:cs="Times New Roman"/>
          <w:sz w:val="20"/>
          <w:szCs w:val="20"/>
        </w:rPr>
        <w:t xml:space="preserve"> is one of the tertiary care oncology centers of North Eastern region of India providing comprehensive oncology services to the patients from entire NE regions however data regarding </w:t>
      </w:r>
      <w:proofErr w:type="spellStart"/>
      <w:r w:rsidRPr="00CF7510">
        <w:rPr>
          <w:rFonts w:ascii="Times New Roman" w:hAnsi="Times New Roman" w:cs="Times New Roman"/>
          <w:sz w:val="20"/>
          <w:szCs w:val="20"/>
        </w:rPr>
        <w:t>neutropenia</w:t>
      </w:r>
      <w:proofErr w:type="spellEnd"/>
      <w:r w:rsidRPr="00CF7510">
        <w:rPr>
          <w:rFonts w:ascii="Times New Roman" w:hAnsi="Times New Roman" w:cs="Times New Roman"/>
          <w:sz w:val="20"/>
          <w:szCs w:val="20"/>
        </w:rPr>
        <w:t xml:space="preserve"> in breast cancer patients from </w:t>
      </w:r>
      <w:r w:rsidR="00BE0DA7" w:rsidRPr="00CF7510">
        <w:rPr>
          <w:rFonts w:ascii="Times New Roman" w:hAnsi="Times New Roman" w:cs="Times New Roman"/>
          <w:sz w:val="20"/>
          <w:szCs w:val="20"/>
        </w:rPr>
        <w:t xml:space="preserve">this </w:t>
      </w:r>
      <w:r w:rsidRPr="00CF7510">
        <w:rPr>
          <w:rFonts w:ascii="Times New Roman" w:hAnsi="Times New Roman" w:cs="Times New Roman"/>
          <w:sz w:val="20"/>
          <w:szCs w:val="20"/>
        </w:rPr>
        <w:t>part of India is l</w:t>
      </w:r>
      <w:r w:rsidR="00BE0DA7" w:rsidRPr="00CF7510">
        <w:rPr>
          <w:rFonts w:ascii="Times New Roman" w:hAnsi="Times New Roman" w:cs="Times New Roman"/>
          <w:sz w:val="20"/>
          <w:szCs w:val="20"/>
        </w:rPr>
        <w:t>imited</w:t>
      </w:r>
      <w:r w:rsidRPr="00CF7510">
        <w:rPr>
          <w:rFonts w:ascii="Times New Roman" w:hAnsi="Times New Roman" w:cs="Times New Roman"/>
          <w:sz w:val="20"/>
          <w:szCs w:val="20"/>
        </w:rPr>
        <w:t>. With the knowledge from the existing literature, we have aimed to inves</w:t>
      </w:r>
      <w:r w:rsidR="00BE0DA7" w:rsidRPr="00CF7510">
        <w:rPr>
          <w:rFonts w:ascii="Times New Roman" w:hAnsi="Times New Roman" w:cs="Times New Roman"/>
          <w:sz w:val="20"/>
          <w:szCs w:val="20"/>
        </w:rPr>
        <w:t>ti</w:t>
      </w:r>
      <w:r w:rsidRPr="00CF7510">
        <w:rPr>
          <w:rFonts w:ascii="Times New Roman" w:hAnsi="Times New Roman" w:cs="Times New Roman"/>
          <w:sz w:val="20"/>
          <w:szCs w:val="20"/>
        </w:rPr>
        <w:t xml:space="preserve">gate </w:t>
      </w:r>
      <w:r w:rsidR="007B6BCD" w:rsidRPr="00CF7510">
        <w:rPr>
          <w:rFonts w:ascii="Times New Roman" w:hAnsi="Times New Roman" w:cs="Times New Roman"/>
          <w:sz w:val="20"/>
          <w:szCs w:val="20"/>
        </w:rPr>
        <w:t>–</w:t>
      </w:r>
      <w:r w:rsidRPr="00CF7510">
        <w:rPr>
          <w:rFonts w:ascii="Times New Roman" w:hAnsi="Times New Roman" w:cs="Times New Roman"/>
          <w:sz w:val="20"/>
          <w:szCs w:val="20"/>
        </w:rPr>
        <w:t xml:space="preserve"> </w:t>
      </w:r>
      <w:r w:rsidR="00592341" w:rsidRPr="00CF7510">
        <w:rPr>
          <w:rFonts w:ascii="Times New Roman" w:hAnsi="Times New Roman" w:cs="Times New Roman"/>
          <w:sz w:val="20"/>
          <w:szCs w:val="20"/>
        </w:rPr>
        <w:tab/>
      </w:r>
    </w:p>
    <w:p w:rsidR="007B6BCD" w:rsidRPr="00CF7510" w:rsidRDefault="007B6BCD" w:rsidP="00592341">
      <w:pPr>
        <w:pStyle w:val="ListParagraph"/>
        <w:widowControl w:val="0"/>
        <w:numPr>
          <w:ilvl w:val="0"/>
          <w:numId w:val="2"/>
        </w:numPr>
        <w:tabs>
          <w:tab w:val="left" w:pos="90"/>
        </w:tabs>
        <w:autoSpaceDE w:val="0"/>
        <w:autoSpaceDN w:val="0"/>
        <w:adjustRightInd w:val="0"/>
        <w:spacing w:before="120" w:after="120" w:line="240" w:lineRule="auto"/>
        <w:ind w:left="720"/>
        <w:jc w:val="both"/>
        <w:rPr>
          <w:rFonts w:ascii="Times New Roman" w:hAnsi="Times New Roman" w:cs="Times New Roman"/>
          <w:sz w:val="20"/>
          <w:szCs w:val="20"/>
        </w:rPr>
      </w:pPr>
      <w:r w:rsidRPr="00CF7510">
        <w:rPr>
          <w:rFonts w:ascii="Times New Roman" w:hAnsi="Times New Roman" w:cs="Times New Roman"/>
          <w:sz w:val="20"/>
          <w:szCs w:val="20"/>
        </w:rPr>
        <w:t xml:space="preserve">The profile of CIN in breast cancer patients receiving </w:t>
      </w:r>
      <w:proofErr w:type="spellStart"/>
      <w:r w:rsidRPr="00CF7510">
        <w:rPr>
          <w:rFonts w:ascii="Times New Roman" w:hAnsi="Times New Roman" w:cs="Times New Roman"/>
          <w:sz w:val="20"/>
          <w:szCs w:val="20"/>
        </w:rPr>
        <w:t>paclitaxel</w:t>
      </w:r>
      <w:proofErr w:type="spellEnd"/>
      <w:r w:rsidRPr="00CF7510">
        <w:rPr>
          <w:rFonts w:ascii="Times New Roman" w:hAnsi="Times New Roman" w:cs="Times New Roman"/>
          <w:sz w:val="20"/>
          <w:szCs w:val="20"/>
        </w:rPr>
        <w:t>.</w:t>
      </w:r>
    </w:p>
    <w:p w:rsidR="004A649F" w:rsidRPr="00CF7510" w:rsidRDefault="0051674F" w:rsidP="004A649F">
      <w:pPr>
        <w:pStyle w:val="ListParagraph"/>
        <w:widowControl w:val="0"/>
        <w:numPr>
          <w:ilvl w:val="0"/>
          <w:numId w:val="2"/>
        </w:numPr>
        <w:tabs>
          <w:tab w:val="left" w:pos="90"/>
        </w:tabs>
        <w:autoSpaceDE w:val="0"/>
        <w:autoSpaceDN w:val="0"/>
        <w:adjustRightInd w:val="0"/>
        <w:spacing w:before="120" w:after="120" w:line="240" w:lineRule="auto"/>
        <w:ind w:left="720" w:right="720"/>
        <w:jc w:val="both"/>
        <w:rPr>
          <w:rFonts w:ascii="Times New Roman" w:hAnsi="Times New Roman" w:cs="Times New Roman"/>
          <w:sz w:val="20"/>
          <w:szCs w:val="20"/>
        </w:rPr>
      </w:pPr>
      <w:r w:rsidRPr="00CF7510">
        <w:rPr>
          <w:rFonts w:ascii="Times New Roman" w:hAnsi="Times New Roman" w:cs="Times New Roman"/>
          <w:sz w:val="20"/>
          <w:szCs w:val="20"/>
        </w:rPr>
        <w:t>The use of Granulocyte colony s</w:t>
      </w:r>
      <w:r w:rsidR="007B6BCD" w:rsidRPr="00CF7510">
        <w:rPr>
          <w:rFonts w:ascii="Times New Roman" w:hAnsi="Times New Roman" w:cs="Times New Roman"/>
          <w:sz w:val="20"/>
          <w:szCs w:val="20"/>
        </w:rPr>
        <w:t>ti</w:t>
      </w:r>
      <w:r w:rsidRPr="00CF7510">
        <w:rPr>
          <w:rFonts w:ascii="Times New Roman" w:hAnsi="Times New Roman" w:cs="Times New Roman"/>
          <w:sz w:val="20"/>
          <w:szCs w:val="20"/>
        </w:rPr>
        <w:t>mula</w:t>
      </w:r>
      <w:r w:rsidR="007B6BCD" w:rsidRPr="00CF7510">
        <w:rPr>
          <w:rFonts w:ascii="Times New Roman" w:hAnsi="Times New Roman" w:cs="Times New Roman"/>
          <w:sz w:val="20"/>
          <w:szCs w:val="20"/>
        </w:rPr>
        <w:t>ti</w:t>
      </w:r>
      <w:r w:rsidRPr="00CF7510">
        <w:rPr>
          <w:rFonts w:ascii="Times New Roman" w:hAnsi="Times New Roman" w:cs="Times New Roman"/>
          <w:sz w:val="20"/>
          <w:szCs w:val="20"/>
        </w:rPr>
        <w:t>ng factor (G-CSF) in</w:t>
      </w:r>
      <w:r w:rsidR="00FA7DA8" w:rsidRPr="00CF7510">
        <w:rPr>
          <w:rFonts w:ascii="Times New Roman" w:hAnsi="Times New Roman" w:cs="Times New Roman"/>
          <w:sz w:val="20"/>
          <w:szCs w:val="20"/>
        </w:rPr>
        <w:t xml:space="preserve"> </w:t>
      </w:r>
      <w:proofErr w:type="spellStart"/>
      <w:r w:rsidR="00FA7DA8" w:rsidRPr="00CF7510">
        <w:rPr>
          <w:rFonts w:ascii="Times New Roman" w:hAnsi="Times New Roman" w:cs="Times New Roman"/>
          <w:sz w:val="20"/>
          <w:szCs w:val="20"/>
        </w:rPr>
        <w:t>neutropenic</w:t>
      </w:r>
      <w:proofErr w:type="spellEnd"/>
      <w:r w:rsidRPr="00CF7510">
        <w:rPr>
          <w:rFonts w:ascii="Times New Roman" w:hAnsi="Times New Roman" w:cs="Times New Roman"/>
          <w:sz w:val="20"/>
          <w:szCs w:val="20"/>
        </w:rPr>
        <w:t xml:space="preserve"> breast cancer pa</w:t>
      </w:r>
      <w:r w:rsidR="007B6BCD" w:rsidRPr="00CF7510">
        <w:rPr>
          <w:rFonts w:ascii="Times New Roman" w:hAnsi="Times New Roman" w:cs="Times New Roman"/>
          <w:sz w:val="20"/>
          <w:szCs w:val="20"/>
        </w:rPr>
        <w:t>ti</w:t>
      </w:r>
      <w:r w:rsidRPr="00CF7510">
        <w:rPr>
          <w:rFonts w:ascii="Times New Roman" w:hAnsi="Times New Roman" w:cs="Times New Roman"/>
          <w:sz w:val="20"/>
          <w:szCs w:val="20"/>
        </w:rPr>
        <w:t>ents of north-east popula</w:t>
      </w:r>
      <w:r w:rsidR="007B6BCD" w:rsidRPr="00CF7510">
        <w:rPr>
          <w:rFonts w:ascii="Times New Roman" w:hAnsi="Times New Roman" w:cs="Times New Roman"/>
          <w:sz w:val="20"/>
          <w:szCs w:val="20"/>
        </w:rPr>
        <w:t>ti</w:t>
      </w:r>
      <w:r w:rsidRPr="00CF7510">
        <w:rPr>
          <w:rFonts w:ascii="Times New Roman" w:hAnsi="Times New Roman" w:cs="Times New Roman"/>
          <w:sz w:val="20"/>
          <w:szCs w:val="20"/>
        </w:rPr>
        <w:t xml:space="preserve">ons receiving </w:t>
      </w:r>
      <w:proofErr w:type="spellStart"/>
      <w:r w:rsidRPr="00CF7510">
        <w:rPr>
          <w:rFonts w:ascii="Times New Roman" w:hAnsi="Times New Roman" w:cs="Times New Roman"/>
          <w:sz w:val="20"/>
          <w:szCs w:val="20"/>
        </w:rPr>
        <w:t>Paclitaxel</w:t>
      </w:r>
      <w:proofErr w:type="spellEnd"/>
      <w:r w:rsidRPr="00CF7510">
        <w:rPr>
          <w:rFonts w:ascii="Times New Roman" w:hAnsi="Times New Roman" w:cs="Times New Roman"/>
          <w:sz w:val="20"/>
          <w:szCs w:val="20"/>
        </w:rPr>
        <w:t xml:space="preserve"> as chemotherapy.</w:t>
      </w:r>
    </w:p>
    <w:p w:rsidR="004440BF" w:rsidRPr="002A2D08" w:rsidRDefault="00E71C76" w:rsidP="002A2D08">
      <w:pPr>
        <w:pStyle w:val="ListParagraph"/>
        <w:widowControl w:val="0"/>
        <w:numPr>
          <w:ilvl w:val="0"/>
          <w:numId w:val="2"/>
        </w:numPr>
        <w:tabs>
          <w:tab w:val="left" w:pos="90"/>
        </w:tabs>
        <w:autoSpaceDE w:val="0"/>
        <w:autoSpaceDN w:val="0"/>
        <w:adjustRightInd w:val="0"/>
        <w:spacing w:before="120" w:after="120" w:line="240" w:lineRule="auto"/>
        <w:ind w:left="720" w:right="720"/>
        <w:jc w:val="both"/>
        <w:rPr>
          <w:rFonts w:ascii="Times New Roman" w:hAnsi="Times New Roman" w:cs="Times New Roman"/>
          <w:sz w:val="20"/>
          <w:szCs w:val="20"/>
        </w:rPr>
      </w:pPr>
      <w:r w:rsidRPr="00CF7510">
        <w:rPr>
          <w:rFonts w:ascii="Times New Roman" w:hAnsi="Times New Roman" w:cs="Times New Roman"/>
          <w:sz w:val="20"/>
          <w:szCs w:val="20"/>
        </w:rPr>
        <w:t xml:space="preserve">To evaluate the association of CIN with other baseline patient </w:t>
      </w:r>
      <w:proofErr w:type="spellStart"/>
      <w:r w:rsidRPr="00CF7510">
        <w:rPr>
          <w:rFonts w:ascii="Times New Roman" w:hAnsi="Times New Roman" w:cs="Times New Roman"/>
          <w:sz w:val="20"/>
          <w:szCs w:val="20"/>
        </w:rPr>
        <w:t>characterstics</w:t>
      </w:r>
      <w:proofErr w:type="spellEnd"/>
      <w:r w:rsidRPr="00CF7510">
        <w:rPr>
          <w:rFonts w:ascii="Times New Roman" w:hAnsi="Times New Roman" w:cs="Times New Roman"/>
          <w:sz w:val="20"/>
          <w:szCs w:val="20"/>
        </w:rPr>
        <w:t>.</w:t>
      </w:r>
    </w:p>
    <w:p w:rsidR="004A649F" w:rsidRPr="005966F5" w:rsidRDefault="002219F2" w:rsidP="004A649F">
      <w:pPr>
        <w:ind w:right="720"/>
        <w:jc w:val="both"/>
        <w:rPr>
          <w:rFonts w:ascii="Times New Roman" w:hAnsi="Times New Roman" w:cs="Times New Roman"/>
          <w:i/>
          <w:sz w:val="28"/>
          <w:szCs w:val="28"/>
        </w:rPr>
      </w:pPr>
      <w:r>
        <w:rPr>
          <w:rFonts w:ascii="Times New Roman" w:hAnsi="Times New Roman" w:cs="Times New Roman"/>
          <w:b/>
          <w:sz w:val="28"/>
          <w:szCs w:val="28"/>
        </w:rPr>
        <w:t>MATERIAL AND METHODS</w:t>
      </w:r>
      <w:r w:rsidR="009918F9" w:rsidRPr="005966F5">
        <w:rPr>
          <w:rFonts w:ascii="Times New Roman" w:hAnsi="Times New Roman" w:cs="Times New Roman"/>
          <w:b/>
          <w:sz w:val="28"/>
          <w:szCs w:val="28"/>
        </w:rPr>
        <w:t>:</w:t>
      </w:r>
    </w:p>
    <w:p w:rsidR="00481805" w:rsidRPr="00CF7510" w:rsidRDefault="00592341" w:rsidP="004A649F">
      <w:pPr>
        <w:rPr>
          <w:rFonts w:ascii="Times New Roman" w:hAnsi="Times New Roman" w:cs="Times New Roman"/>
          <w:b/>
          <w:sz w:val="20"/>
          <w:szCs w:val="20"/>
        </w:rPr>
      </w:pPr>
      <w:r w:rsidRPr="00CF7510">
        <w:rPr>
          <w:rFonts w:ascii="Times New Roman" w:hAnsi="Times New Roman" w:cs="Times New Roman"/>
          <w:color w:val="000000"/>
          <w:sz w:val="20"/>
          <w:szCs w:val="20"/>
          <w:lang w:val="en-IN"/>
        </w:rPr>
        <w:t xml:space="preserve">The present study is a </w:t>
      </w:r>
      <w:r w:rsidRPr="00CF7510">
        <w:rPr>
          <w:rFonts w:ascii="Times New Roman" w:hAnsi="Times New Roman" w:cs="Times New Roman"/>
          <w:sz w:val="20"/>
          <w:szCs w:val="20"/>
        </w:rPr>
        <w:t>single centre</w:t>
      </w:r>
      <w:r w:rsidRPr="00CF7510">
        <w:rPr>
          <w:rFonts w:ascii="Times New Roman" w:hAnsi="Times New Roman" w:cs="Times New Roman"/>
          <w:color w:val="000000"/>
          <w:sz w:val="20"/>
          <w:szCs w:val="20"/>
          <w:lang w:val="en-IN"/>
        </w:rPr>
        <w:t xml:space="preserve"> hospital based retrospective observational study carried out </w:t>
      </w:r>
      <w:r w:rsidR="00481805" w:rsidRPr="00CF7510">
        <w:rPr>
          <w:rFonts w:ascii="Times New Roman" w:hAnsi="Times New Roman" w:cs="Times New Roman"/>
          <w:sz w:val="20"/>
          <w:szCs w:val="20"/>
        </w:rPr>
        <w:t>at State Cancer Institute (SCI)</w:t>
      </w:r>
      <w:r w:rsidR="00481805" w:rsidRPr="00CF7510">
        <w:rPr>
          <w:rFonts w:ascii="Times New Roman" w:hAnsi="Times New Roman" w:cs="Times New Roman"/>
          <w:color w:val="000000"/>
          <w:sz w:val="20"/>
          <w:szCs w:val="20"/>
          <w:lang w:val="en-IN"/>
        </w:rPr>
        <w:t xml:space="preserve">, </w:t>
      </w:r>
      <w:proofErr w:type="spellStart"/>
      <w:r w:rsidR="00481805" w:rsidRPr="00CF7510">
        <w:rPr>
          <w:rFonts w:ascii="Times New Roman" w:hAnsi="Times New Roman" w:cs="Times New Roman"/>
          <w:color w:val="000000"/>
          <w:sz w:val="20"/>
          <w:szCs w:val="20"/>
          <w:lang w:val="en-IN"/>
        </w:rPr>
        <w:t>Guwahati</w:t>
      </w:r>
      <w:proofErr w:type="spellEnd"/>
      <w:r w:rsidR="00481805" w:rsidRPr="00CF7510">
        <w:rPr>
          <w:rFonts w:ascii="Times New Roman" w:hAnsi="Times New Roman" w:cs="Times New Roman"/>
          <w:color w:val="000000"/>
          <w:sz w:val="20"/>
          <w:szCs w:val="20"/>
          <w:lang w:val="en-IN"/>
        </w:rPr>
        <w:t xml:space="preserve">. </w:t>
      </w:r>
    </w:p>
    <w:p w:rsidR="00481805" w:rsidRPr="002219F2" w:rsidRDefault="000E56D1" w:rsidP="004A649F">
      <w:pPr>
        <w:widowControl w:val="0"/>
        <w:tabs>
          <w:tab w:val="left" w:pos="90"/>
        </w:tabs>
        <w:spacing w:before="120" w:after="120" w:line="240" w:lineRule="auto"/>
        <w:ind w:right="720"/>
        <w:jc w:val="both"/>
        <w:rPr>
          <w:rFonts w:ascii="Times New Roman" w:hAnsi="Times New Roman" w:cs="Times New Roman"/>
          <w:b/>
          <w:color w:val="000000"/>
          <w:sz w:val="20"/>
          <w:szCs w:val="20"/>
          <w:lang w:val="en-IN"/>
        </w:rPr>
      </w:pPr>
      <w:r w:rsidRPr="002219F2">
        <w:rPr>
          <w:rFonts w:ascii="Times New Roman" w:hAnsi="Times New Roman" w:cs="Times New Roman"/>
          <w:b/>
          <w:color w:val="000000"/>
          <w:sz w:val="20"/>
          <w:szCs w:val="20"/>
          <w:lang w:val="en-IN"/>
        </w:rPr>
        <w:t>Study population:</w:t>
      </w:r>
    </w:p>
    <w:p w:rsidR="004A649F" w:rsidRPr="00CF7510" w:rsidRDefault="000E56D1" w:rsidP="005966F5">
      <w:pPr>
        <w:widowControl w:val="0"/>
        <w:tabs>
          <w:tab w:val="left" w:pos="90"/>
        </w:tabs>
        <w:spacing w:before="120" w:after="120" w:line="240" w:lineRule="auto"/>
        <w:jc w:val="both"/>
        <w:rPr>
          <w:rFonts w:ascii="Times New Roman" w:hAnsi="Times New Roman" w:cs="Times New Roman"/>
          <w:b/>
          <w:sz w:val="20"/>
          <w:szCs w:val="20"/>
        </w:rPr>
      </w:pPr>
      <w:r w:rsidRPr="00CF7510">
        <w:rPr>
          <w:rFonts w:ascii="Times New Roman" w:hAnsi="Times New Roman" w:cs="Times New Roman"/>
          <w:color w:val="000000"/>
          <w:sz w:val="20"/>
          <w:szCs w:val="20"/>
          <w:lang w:val="en-IN"/>
        </w:rPr>
        <w:t xml:space="preserve">All breast cancer patients </w:t>
      </w:r>
      <w:r w:rsidRPr="00CF7510">
        <w:rPr>
          <w:rFonts w:ascii="Times New Roman" w:hAnsi="Times New Roman" w:cs="Times New Roman"/>
          <w:sz w:val="20"/>
          <w:szCs w:val="20"/>
        </w:rPr>
        <w:t>with</w:t>
      </w:r>
      <w:r w:rsidR="00C93D2E" w:rsidRPr="00CF7510">
        <w:rPr>
          <w:rFonts w:ascii="Times New Roman" w:hAnsi="Times New Roman" w:cs="Times New Roman"/>
          <w:sz w:val="20"/>
          <w:szCs w:val="20"/>
        </w:rPr>
        <w:t xml:space="preserve"> adequate </w:t>
      </w:r>
      <w:r w:rsidRPr="00CF7510">
        <w:rPr>
          <w:rFonts w:ascii="Times New Roman" w:hAnsi="Times New Roman" w:cs="Times New Roman"/>
          <w:sz w:val="20"/>
          <w:szCs w:val="20"/>
        </w:rPr>
        <w:t xml:space="preserve">baseline bone marrow, hepatic and renal functions </w:t>
      </w:r>
      <w:proofErr w:type="gramStart"/>
      <w:r w:rsidRPr="00CF7510">
        <w:rPr>
          <w:rFonts w:ascii="Times New Roman" w:hAnsi="Times New Roman" w:cs="Times New Roman"/>
          <w:color w:val="000000"/>
          <w:sz w:val="20"/>
          <w:szCs w:val="20"/>
          <w:lang w:val="en-IN"/>
        </w:rPr>
        <w:t>who</w:t>
      </w:r>
      <w:proofErr w:type="gramEnd"/>
      <w:r w:rsidR="00C93D2E" w:rsidRPr="00CF7510">
        <w:rPr>
          <w:rFonts w:ascii="Times New Roman" w:hAnsi="Times New Roman" w:cs="Times New Roman"/>
          <w:color w:val="000000"/>
          <w:sz w:val="20"/>
          <w:szCs w:val="20"/>
          <w:lang w:val="en-IN"/>
        </w:rPr>
        <w:t xml:space="preserve"> </w:t>
      </w:r>
      <w:r w:rsidR="00782D8A" w:rsidRPr="00CF7510">
        <w:rPr>
          <w:rFonts w:ascii="Times New Roman" w:hAnsi="Times New Roman" w:cs="Times New Roman"/>
          <w:bCs/>
          <w:sz w:val="20"/>
          <w:szCs w:val="20"/>
        </w:rPr>
        <w:t xml:space="preserve">develop </w:t>
      </w:r>
      <w:proofErr w:type="spellStart"/>
      <w:r w:rsidR="00782D8A" w:rsidRPr="00CF7510">
        <w:rPr>
          <w:rFonts w:ascii="Times New Roman" w:hAnsi="Times New Roman" w:cs="Times New Roman"/>
          <w:bCs/>
          <w:sz w:val="20"/>
          <w:szCs w:val="20"/>
        </w:rPr>
        <w:t>neutropenia</w:t>
      </w:r>
      <w:proofErr w:type="spellEnd"/>
      <w:r w:rsidR="00782D8A" w:rsidRPr="00CF7510">
        <w:rPr>
          <w:rFonts w:ascii="Times New Roman" w:hAnsi="Times New Roman" w:cs="Times New Roman"/>
          <w:bCs/>
          <w:sz w:val="20"/>
          <w:szCs w:val="20"/>
        </w:rPr>
        <w:t xml:space="preserve"> after receiving </w:t>
      </w:r>
      <w:proofErr w:type="spellStart"/>
      <w:r w:rsidR="00782D8A" w:rsidRPr="00CF7510">
        <w:rPr>
          <w:rFonts w:ascii="Times New Roman" w:hAnsi="Times New Roman" w:cs="Times New Roman"/>
          <w:bCs/>
          <w:sz w:val="20"/>
          <w:szCs w:val="20"/>
        </w:rPr>
        <w:t>paclitaxel</w:t>
      </w:r>
      <w:proofErr w:type="spellEnd"/>
      <w:r w:rsidR="00782D8A" w:rsidRPr="00CF7510">
        <w:rPr>
          <w:rFonts w:ascii="Times New Roman" w:hAnsi="Times New Roman" w:cs="Times New Roman"/>
          <w:bCs/>
          <w:sz w:val="20"/>
          <w:szCs w:val="20"/>
        </w:rPr>
        <w:t xml:space="preserve"> as </w:t>
      </w:r>
      <w:proofErr w:type="spellStart"/>
      <w:r w:rsidR="00782D8A" w:rsidRPr="00CF7510">
        <w:rPr>
          <w:rFonts w:ascii="Times New Roman" w:hAnsi="Times New Roman" w:cs="Times New Roman"/>
          <w:bCs/>
          <w:sz w:val="20"/>
          <w:szCs w:val="20"/>
        </w:rPr>
        <w:t>neoadjuvant</w:t>
      </w:r>
      <w:proofErr w:type="spellEnd"/>
      <w:r w:rsidR="00782D8A" w:rsidRPr="00CF7510">
        <w:rPr>
          <w:rFonts w:ascii="Times New Roman" w:hAnsi="Times New Roman" w:cs="Times New Roman"/>
          <w:bCs/>
          <w:sz w:val="20"/>
          <w:szCs w:val="20"/>
        </w:rPr>
        <w:t xml:space="preserve"> or adjuvant or palliative chemotherapy</w:t>
      </w:r>
      <w:r w:rsidR="00D51BD0" w:rsidRPr="00CF7510">
        <w:rPr>
          <w:rFonts w:ascii="Times New Roman" w:hAnsi="Times New Roman" w:cs="Times New Roman"/>
          <w:bCs/>
          <w:sz w:val="20"/>
          <w:szCs w:val="20"/>
        </w:rPr>
        <w:t xml:space="preserve"> under Medical O</w:t>
      </w:r>
      <w:r w:rsidR="008862DC" w:rsidRPr="00CF7510">
        <w:rPr>
          <w:rFonts w:ascii="Times New Roman" w:hAnsi="Times New Roman" w:cs="Times New Roman"/>
          <w:bCs/>
          <w:sz w:val="20"/>
          <w:szCs w:val="20"/>
        </w:rPr>
        <w:t>ncology department</w:t>
      </w:r>
      <w:r w:rsidRPr="00CF7510">
        <w:rPr>
          <w:rFonts w:ascii="Times New Roman" w:hAnsi="Times New Roman" w:cs="Times New Roman"/>
          <w:color w:val="000000"/>
          <w:sz w:val="20"/>
          <w:szCs w:val="20"/>
          <w:lang w:val="en-IN"/>
        </w:rPr>
        <w:t xml:space="preserve"> at SCI</w:t>
      </w:r>
      <w:r w:rsidR="008862DC" w:rsidRPr="00CF7510">
        <w:rPr>
          <w:rFonts w:ascii="Times New Roman" w:hAnsi="Times New Roman" w:cs="Times New Roman"/>
          <w:color w:val="000000"/>
          <w:sz w:val="20"/>
          <w:szCs w:val="20"/>
          <w:lang w:val="en-IN"/>
        </w:rPr>
        <w:t>,</w:t>
      </w:r>
      <w:r w:rsidRPr="00CF7510">
        <w:rPr>
          <w:rFonts w:ascii="Times New Roman" w:hAnsi="Times New Roman" w:cs="Times New Roman"/>
          <w:color w:val="000000"/>
          <w:sz w:val="20"/>
          <w:szCs w:val="20"/>
          <w:lang w:val="en-IN"/>
        </w:rPr>
        <w:t xml:space="preserve"> </w:t>
      </w:r>
      <w:proofErr w:type="spellStart"/>
      <w:r w:rsidRPr="00CF7510">
        <w:rPr>
          <w:rFonts w:ascii="Times New Roman" w:hAnsi="Times New Roman" w:cs="Times New Roman"/>
          <w:color w:val="000000"/>
          <w:sz w:val="20"/>
          <w:szCs w:val="20"/>
          <w:lang w:val="en-IN"/>
        </w:rPr>
        <w:t>Guwahati</w:t>
      </w:r>
      <w:proofErr w:type="spellEnd"/>
      <w:r w:rsidRPr="00CF7510">
        <w:rPr>
          <w:rFonts w:ascii="Times New Roman" w:hAnsi="Times New Roman" w:cs="Times New Roman"/>
          <w:sz w:val="20"/>
          <w:szCs w:val="20"/>
        </w:rPr>
        <w:t xml:space="preserve"> from January, 2018 to April, 2019 over a period of 16 months were included in the study.</w:t>
      </w:r>
      <w:r w:rsidR="006357C1" w:rsidRPr="00CF7510">
        <w:rPr>
          <w:rFonts w:ascii="Times New Roman" w:hAnsi="Times New Roman" w:cs="Times New Roman"/>
          <w:color w:val="000000"/>
          <w:sz w:val="20"/>
          <w:szCs w:val="20"/>
          <w:lang w:val="en-IN"/>
        </w:rPr>
        <w:t xml:space="preserve"> </w:t>
      </w:r>
      <w:r w:rsidR="00592341" w:rsidRPr="00CF7510">
        <w:rPr>
          <w:rFonts w:ascii="Times New Roman" w:hAnsi="Times New Roman" w:cs="Times New Roman"/>
          <w:sz w:val="20"/>
          <w:szCs w:val="20"/>
        </w:rPr>
        <w:t>Pa</w:t>
      </w:r>
      <w:r w:rsidR="006357C1" w:rsidRPr="00CF7510">
        <w:rPr>
          <w:rFonts w:ascii="Times New Roman" w:hAnsi="Times New Roman" w:cs="Times New Roman"/>
          <w:sz w:val="20"/>
          <w:szCs w:val="20"/>
        </w:rPr>
        <w:t>ti</w:t>
      </w:r>
      <w:r w:rsidR="00592341" w:rsidRPr="00CF7510">
        <w:rPr>
          <w:rFonts w:ascii="Times New Roman" w:hAnsi="Times New Roman" w:cs="Times New Roman"/>
          <w:sz w:val="20"/>
          <w:szCs w:val="20"/>
        </w:rPr>
        <w:t>en</w:t>
      </w:r>
      <w:r w:rsidR="008E575D" w:rsidRPr="00CF7510">
        <w:rPr>
          <w:rFonts w:ascii="Times New Roman" w:hAnsi="Times New Roman" w:cs="Times New Roman"/>
          <w:sz w:val="20"/>
          <w:szCs w:val="20"/>
        </w:rPr>
        <w:t>t with</w:t>
      </w:r>
      <w:r w:rsidR="006357C1" w:rsidRPr="00CF7510">
        <w:rPr>
          <w:rFonts w:ascii="Times New Roman" w:hAnsi="Times New Roman" w:cs="Times New Roman"/>
          <w:sz w:val="20"/>
          <w:szCs w:val="20"/>
        </w:rPr>
        <w:t xml:space="preserve"> history of t</w:t>
      </w:r>
      <w:r w:rsidR="00592341" w:rsidRPr="00CF7510">
        <w:rPr>
          <w:rFonts w:ascii="Times New Roman" w:hAnsi="Times New Roman" w:cs="Times New Roman"/>
          <w:sz w:val="20"/>
          <w:szCs w:val="20"/>
        </w:rPr>
        <w:t>aking im</w:t>
      </w:r>
      <w:r w:rsidR="008862DC" w:rsidRPr="00CF7510">
        <w:rPr>
          <w:rFonts w:ascii="Times New Roman" w:hAnsi="Times New Roman" w:cs="Times New Roman"/>
          <w:sz w:val="20"/>
          <w:szCs w:val="20"/>
        </w:rPr>
        <w:t>munosuppressive drug</w:t>
      </w:r>
      <w:r w:rsidR="006357C1" w:rsidRPr="00CF7510">
        <w:rPr>
          <w:rFonts w:ascii="Times New Roman" w:hAnsi="Times New Roman" w:cs="Times New Roman"/>
          <w:sz w:val="20"/>
          <w:szCs w:val="20"/>
        </w:rPr>
        <w:t xml:space="preserve"> or </w:t>
      </w:r>
      <w:r w:rsidR="008E575D" w:rsidRPr="00CF7510">
        <w:rPr>
          <w:rFonts w:ascii="Times New Roman" w:hAnsi="Times New Roman" w:cs="Times New Roman"/>
          <w:sz w:val="20"/>
          <w:szCs w:val="20"/>
        </w:rPr>
        <w:t>p</w:t>
      </w:r>
      <w:r w:rsidR="00592341" w:rsidRPr="00CF7510">
        <w:rPr>
          <w:rFonts w:ascii="Times New Roman" w:hAnsi="Times New Roman" w:cs="Times New Roman"/>
          <w:sz w:val="20"/>
          <w:szCs w:val="20"/>
        </w:rPr>
        <w:t>a</w:t>
      </w:r>
      <w:r w:rsidR="004440BF" w:rsidRPr="00CF7510">
        <w:rPr>
          <w:rFonts w:ascii="Times New Roman" w:hAnsi="Times New Roman" w:cs="Times New Roman"/>
          <w:sz w:val="20"/>
          <w:szCs w:val="20"/>
        </w:rPr>
        <w:t>tient</w:t>
      </w:r>
      <w:r w:rsidR="006357C1" w:rsidRPr="00CF7510">
        <w:rPr>
          <w:rFonts w:ascii="Times New Roman" w:hAnsi="Times New Roman" w:cs="Times New Roman"/>
          <w:sz w:val="20"/>
          <w:szCs w:val="20"/>
        </w:rPr>
        <w:t xml:space="preserve"> </w:t>
      </w:r>
      <w:r w:rsidR="00592341" w:rsidRPr="00CF7510">
        <w:rPr>
          <w:rFonts w:ascii="Times New Roman" w:hAnsi="Times New Roman" w:cs="Times New Roman"/>
          <w:sz w:val="20"/>
          <w:szCs w:val="20"/>
        </w:rPr>
        <w:t xml:space="preserve">with </w:t>
      </w:r>
      <w:proofErr w:type="spellStart"/>
      <w:r w:rsidR="006357C1" w:rsidRPr="00CF7510">
        <w:rPr>
          <w:rFonts w:ascii="Times New Roman" w:hAnsi="Times New Roman" w:cs="Times New Roman"/>
          <w:sz w:val="20"/>
          <w:szCs w:val="20"/>
        </w:rPr>
        <w:t>immunodeﬁciency</w:t>
      </w:r>
      <w:proofErr w:type="spellEnd"/>
      <w:r w:rsidR="006357C1" w:rsidRPr="00CF7510">
        <w:rPr>
          <w:rFonts w:ascii="Times New Roman" w:hAnsi="Times New Roman" w:cs="Times New Roman"/>
          <w:sz w:val="20"/>
          <w:szCs w:val="20"/>
        </w:rPr>
        <w:t xml:space="preserve"> status or any hematological diseases or a</w:t>
      </w:r>
      <w:r w:rsidR="00592341" w:rsidRPr="00CF7510">
        <w:rPr>
          <w:rFonts w:ascii="Times New Roman" w:hAnsi="Times New Roman" w:cs="Times New Roman"/>
          <w:sz w:val="20"/>
          <w:szCs w:val="20"/>
        </w:rPr>
        <w:t xml:space="preserve">ny </w:t>
      </w:r>
      <w:proofErr w:type="spellStart"/>
      <w:r w:rsidR="00592341" w:rsidRPr="00CF7510">
        <w:rPr>
          <w:rFonts w:ascii="Times New Roman" w:hAnsi="Times New Roman" w:cs="Times New Roman"/>
          <w:sz w:val="20"/>
          <w:szCs w:val="20"/>
        </w:rPr>
        <w:t>intercurrent</w:t>
      </w:r>
      <w:proofErr w:type="spellEnd"/>
      <w:r w:rsidR="00592341" w:rsidRPr="00CF7510">
        <w:rPr>
          <w:rFonts w:ascii="Times New Roman" w:hAnsi="Times New Roman" w:cs="Times New Roman"/>
          <w:sz w:val="20"/>
          <w:szCs w:val="20"/>
        </w:rPr>
        <w:t xml:space="preserve"> illness</w:t>
      </w:r>
      <w:r w:rsidR="006357C1" w:rsidRPr="00CF7510">
        <w:rPr>
          <w:rFonts w:ascii="Times New Roman" w:hAnsi="Times New Roman" w:cs="Times New Roman"/>
          <w:sz w:val="20"/>
          <w:szCs w:val="20"/>
        </w:rPr>
        <w:t xml:space="preserve"> were excluded from the study</w:t>
      </w:r>
      <w:r w:rsidR="00592341" w:rsidRPr="00CF7510">
        <w:rPr>
          <w:rFonts w:ascii="Times New Roman" w:hAnsi="Times New Roman" w:cs="Times New Roman"/>
          <w:sz w:val="20"/>
          <w:szCs w:val="20"/>
        </w:rPr>
        <w:t>.</w:t>
      </w:r>
      <w:r w:rsidR="006C6BCF" w:rsidRPr="00CF7510">
        <w:rPr>
          <w:rFonts w:ascii="Times New Roman" w:hAnsi="Times New Roman" w:cs="Times New Roman"/>
          <w:b/>
          <w:sz w:val="20"/>
          <w:szCs w:val="20"/>
        </w:rPr>
        <w:t xml:space="preserve"> </w:t>
      </w:r>
    </w:p>
    <w:p w:rsidR="00592341" w:rsidRPr="00CF7510" w:rsidRDefault="00F80E28" w:rsidP="005966F5">
      <w:pPr>
        <w:widowControl w:val="0"/>
        <w:tabs>
          <w:tab w:val="left" w:pos="90"/>
        </w:tabs>
        <w:spacing w:before="120" w:after="120" w:line="240" w:lineRule="auto"/>
        <w:jc w:val="both"/>
        <w:rPr>
          <w:rFonts w:ascii="Times New Roman" w:hAnsi="Times New Roman" w:cs="Times New Roman"/>
          <w:b/>
          <w:sz w:val="20"/>
          <w:szCs w:val="20"/>
        </w:rPr>
      </w:pPr>
      <w:proofErr w:type="spellStart"/>
      <w:r w:rsidRPr="00CF7510">
        <w:rPr>
          <w:rFonts w:ascii="Times New Roman" w:hAnsi="Times New Roman" w:cs="Times New Roman"/>
          <w:sz w:val="20"/>
          <w:szCs w:val="20"/>
        </w:rPr>
        <w:t>Paclitaxel</w:t>
      </w:r>
      <w:proofErr w:type="spellEnd"/>
      <w:r w:rsidRPr="00CF7510">
        <w:rPr>
          <w:rFonts w:ascii="Times New Roman" w:hAnsi="Times New Roman" w:cs="Times New Roman"/>
          <w:sz w:val="20"/>
          <w:szCs w:val="20"/>
        </w:rPr>
        <w:t xml:space="preserve"> was given for 4 cycles at a dose of 175mg/m2</w:t>
      </w:r>
      <w:r w:rsidR="00F26079" w:rsidRPr="00CF7510">
        <w:rPr>
          <w:rFonts w:ascii="Times New Roman" w:hAnsi="Times New Roman" w:cs="Times New Roman"/>
          <w:sz w:val="20"/>
          <w:szCs w:val="20"/>
        </w:rPr>
        <w:t>/cycle</w:t>
      </w:r>
      <w:r w:rsidR="006C6BCF" w:rsidRPr="00CF7510">
        <w:rPr>
          <w:rFonts w:ascii="Times New Roman" w:hAnsi="Times New Roman" w:cs="Times New Roman"/>
          <w:sz w:val="20"/>
          <w:szCs w:val="20"/>
        </w:rPr>
        <w:t>.</w:t>
      </w:r>
      <w:r w:rsidR="00B75B94" w:rsidRPr="00CF7510">
        <w:rPr>
          <w:rFonts w:ascii="Times New Roman" w:hAnsi="Times New Roman" w:cs="Times New Roman"/>
          <w:sz w:val="20"/>
          <w:szCs w:val="20"/>
        </w:rPr>
        <w:t xml:space="preserve"> Long acting G-CSF e.g. injection peg-</w:t>
      </w:r>
      <w:proofErr w:type="spellStart"/>
      <w:r w:rsidR="00B75B94" w:rsidRPr="00CF7510">
        <w:rPr>
          <w:rFonts w:ascii="Times New Roman" w:hAnsi="Times New Roman" w:cs="Times New Roman"/>
          <w:sz w:val="20"/>
          <w:szCs w:val="20"/>
        </w:rPr>
        <w:t>filgrastin</w:t>
      </w:r>
      <w:proofErr w:type="spellEnd"/>
      <w:r w:rsidR="00B75B94" w:rsidRPr="00CF7510">
        <w:rPr>
          <w:rFonts w:ascii="Times New Roman" w:hAnsi="Times New Roman" w:cs="Times New Roman"/>
          <w:sz w:val="20"/>
          <w:szCs w:val="20"/>
        </w:rPr>
        <w:t xml:space="preserve"> 6mg was used subcutaneously for both primary and secondary prophylaxis of </w:t>
      </w:r>
      <w:proofErr w:type="spellStart"/>
      <w:r w:rsidR="00B75B94" w:rsidRPr="00CF7510">
        <w:rPr>
          <w:rFonts w:ascii="Times New Roman" w:hAnsi="Times New Roman" w:cs="Times New Roman"/>
          <w:sz w:val="20"/>
          <w:szCs w:val="20"/>
        </w:rPr>
        <w:t>neutropenia</w:t>
      </w:r>
      <w:proofErr w:type="spellEnd"/>
      <w:r w:rsidR="00B75B94" w:rsidRPr="00CF7510">
        <w:rPr>
          <w:rFonts w:ascii="Times New Roman" w:hAnsi="Times New Roman" w:cs="Times New Roman"/>
          <w:sz w:val="20"/>
          <w:szCs w:val="20"/>
        </w:rPr>
        <w:t xml:space="preserve"> while short acting G-CSF e.g. injection </w:t>
      </w:r>
      <w:proofErr w:type="spellStart"/>
      <w:r w:rsidR="00B75B94" w:rsidRPr="00CF7510">
        <w:rPr>
          <w:rFonts w:ascii="Times New Roman" w:hAnsi="Times New Roman" w:cs="Times New Roman"/>
          <w:sz w:val="20"/>
          <w:szCs w:val="20"/>
        </w:rPr>
        <w:t>filgrastin</w:t>
      </w:r>
      <w:proofErr w:type="spellEnd"/>
      <w:r w:rsidR="00B75B94" w:rsidRPr="00CF7510">
        <w:rPr>
          <w:rFonts w:ascii="Times New Roman" w:hAnsi="Times New Roman" w:cs="Times New Roman"/>
          <w:sz w:val="20"/>
          <w:szCs w:val="20"/>
        </w:rPr>
        <w:t xml:space="preserve"> 300 mcg was used for</w:t>
      </w:r>
      <w:r w:rsidR="00A07FDB">
        <w:rPr>
          <w:rFonts w:ascii="Times New Roman" w:hAnsi="Times New Roman" w:cs="Times New Roman"/>
          <w:sz w:val="20"/>
          <w:szCs w:val="20"/>
        </w:rPr>
        <w:t xml:space="preserve"> treatment of </w:t>
      </w:r>
      <w:proofErr w:type="spellStart"/>
      <w:r w:rsidR="00A07FDB">
        <w:rPr>
          <w:rFonts w:ascii="Times New Roman" w:hAnsi="Times New Roman" w:cs="Times New Roman"/>
          <w:sz w:val="20"/>
          <w:szCs w:val="20"/>
        </w:rPr>
        <w:t>neutropenia</w:t>
      </w:r>
      <w:proofErr w:type="spellEnd"/>
      <w:r w:rsidR="00A07FDB">
        <w:rPr>
          <w:rFonts w:ascii="Times New Roman" w:hAnsi="Times New Roman" w:cs="Times New Roman"/>
          <w:sz w:val="20"/>
          <w:szCs w:val="20"/>
        </w:rPr>
        <w:t xml:space="preserve"> for </w:t>
      </w:r>
      <w:proofErr w:type="gramStart"/>
      <w:r w:rsidR="00A07FDB">
        <w:rPr>
          <w:rFonts w:ascii="Times New Roman" w:hAnsi="Times New Roman" w:cs="Times New Roman"/>
          <w:sz w:val="20"/>
          <w:szCs w:val="20"/>
        </w:rPr>
        <w:t>a duration</w:t>
      </w:r>
      <w:proofErr w:type="gramEnd"/>
      <w:r w:rsidR="00B75B94" w:rsidRPr="00CF7510">
        <w:rPr>
          <w:rFonts w:ascii="Times New Roman" w:hAnsi="Times New Roman" w:cs="Times New Roman"/>
          <w:sz w:val="20"/>
          <w:szCs w:val="20"/>
        </w:rPr>
        <w:t xml:space="preserve"> of 7-10 days or </w:t>
      </w:r>
      <w:r w:rsidR="00E71C76" w:rsidRPr="00CF7510">
        <w:rPr>
          <w:rFonts w:ascii="Times New Roman" w:hAnsi="Times New Roman" w:cs="Times New Roman"/>
          <w:sz w:val="20"/>
          <w:szCs w:val="20"/>
        </w:rPr>
        <w:t xml:space="preserve">till </w:t>
      </w:r>
      <w:r w:rsidR="00B75B94" w:rsidRPr="00CF7510">
        <w:rPr>
          <w:rFonts w:ascii="Times New Roman" w:hAnsi="Times New Roman" w:cs="Times New Roman"/>
          <w:sz w:val="20"/>
          <w:szCs w:val="20"/>
        </w:rPr>
        <w:t>ANC &gt; 3000/dl.</w:t>
      </w:r>
    </w:p>
    <w:p w:rsidR="004A649F" w:rsidRPr="00CF7510" w:rsidRDefault="006C6BCF" w:rsidP="005966F5">
      <w:pPr>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t xml:space="preserve">We </w:t>
      </w:r>
      <w:r w:rsidR="00996745" w:rsidRPr="00CF7510">
        <w:rPr>
          <w:rFonts w:ascii="Times New Roman" w:hAnsi="Times New Roman" w:cs="Times New Roman"/>
          <w:color w:val="000000"/>
          <w:sz w:val="20"/>
          <w:szCs w:val="20"/>
          <w:lang w:val="en-IN"/>
        </w:rPr>
        <w:t>retrieved</w:t>
      </w:r>
      <w:r w:rsidR="006357C1" w:rsidRPr="00CF7510">
        <w:rPr>
          <w:rFonts w:ascii="Times New Roman" w:hAnsi="Times New Roman" w:cs="Times New Roman"/>
          <w:color w:val="000000"/>
          <w:sz w:val="20"/>
          <w:szCs w:val="20"/>
          <w:lang w:val="en-IN"/>
        </w:rPr>
        <w:t xml:space="preserve"> the data </w:t>
      </w:r>
      <w:r w:rsidRPr="00CF7510">
        <w:rPr>
          <w:rFonts w:ascii="Times New Roman" w:hAnsi="Times New Roman" w:cs="Times New Roman"/>
          <w:color w:val="000000"/>
          <w:sz w:val="20"/>
          <w:szCs w:val="20"/>
          <w:lang w:val="en-IN"/>
        </w:rPr>
        <w:t xml:space="preserve">by reviewing the patient’s file from medical records department of SCI, </w:t>
      </w:r>
      <w:proofErr w:type="spellStart"/>
      <w:r w:rsidRPr="00CF7510">
        <w:rPr>
          <w:rFonts w:ascii="Times New Roman" w:hAnsi="Times New Roman" w:cs="Times New Roman"/>
          <w:color w:val="000000"/>
          <w:sz w:val="20"/>
          <w:szCs w:val="20"/>
          <w:lang w:val="en-IN"/>
        </w:rPr>
        <w:t>Guwahati</w:t>
      </w:r>
      <w:proofErr w:type="spellEnd"/>
      <w:r w:rsidRPr="00CF7510">
        <w:rPr>
          <w:rFonts w:ascii="Times New Roman" w:hAnsi="Times New Roman" w:cs="Times New Roman"/>
          <w:color w:val="000000"/>
          <w:sz w:val="20"/>
          <w:szCs w:val="20"/>
          <w:lang w:val="en-IN"/>
        </w:rPr>
        <w:t xml:space="preserve"> </w:t>
      </w:r>
      <w:r w:rsidR="001D1A03" w:rsidRPr="00CF7510">
        <w:rPr>
          <w:rFonts w:ascii="Times New Roman" w:hAnsi="Times New Roman" w:cs="Times New Roman"/>
          <w:color w:val="000000"/>
          <w:sz w:val="20"/>
          <w:szCs w:val="20"/>
          <w:lang w:val="en-IN"/>
        </w:rPr>
        <w:t xml:space="preserve">in following aspects </w:t>
      </w:r>
    </w:p>
    <w:p w:rsidR="00782D8A" w:rsidRPr="00CF7510" w:rsidRDefault="001D1A03" w:rsidP="004A649F">
      <w:pPr>
        <w:pStyle w:val="ListParagraph"/>
        <w:numPr>
          <w:ilvl w:val="0"/>
          <w:numId w:val="4"/>
        </w:numPr>
        <w:ind w:right="720"/>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t>Patient</w:t>
      </w:r>
      <w:r w:rsidR="006C6BCF" w:rsidRPr="00CF7510">
        <w:rPr>
          <w:rFonts w:ascii="Times New Roman" w:hAnsi="Times New Roman" w:cs="Times New Roman"/>
          <w:color w:val="000000"/>
          <w:sz w:val="20"/>
          <w:szCs w:val="20"/>
          <w:lang w:val="en-IN"/>
        </w:rPr>
        <w:t>’</w:t>
      </w:r>
      <w:r w:rsidRPr="00CF7510">
        <w:rPr>
          <w:rFonts w:ascii="Times New Roman" w:hAnsi="Times New Roman" w:cs="Times New Roman"/>
          <w:color w:val="000000"/>
          <w:sz w:val="20"/>
          <w:szCs w:val="20"/>
          <w:lang w:val="en-IN"/>
        </w:rPr>
        <w:t xml:space="preserve">s </w:t>
      </w:r>
      <w:r w:rsidR="006C6BCF" w:rsidRPr="00CF7510">
        <w:rPr>
          <w:rFonts w:ascii="Times New Roman" w:hAnsi="Times New Roman" w:cs="Times New Roman"/>
          <w:color w:val="000000"/>
          <w:sz w:val="20"/>
          <w:szCs w:val="20"/>
          <w:lang w:val="en-IN"/>
        </w:rPr>
        <w:t>characteristics</w:t>
      </w:r>
      <w:r w:rsidRPr="00CF7510">
        <w:rPr>
          <w:rFonts w:ascii="Times New Roman" w:hAnsi="Times New Roman" w:cs="Times New Roman"/>
          <w:color w:val="000000"/>
          <w:sz w:val="20"/>
          <w:szCs w:val="20"/>
          <w:lang w:val="en-IN"/>
        </w:rPr>
        <w:t xml:space="preserve">: age, sex, menopausal status, </w:t>
      </w:r>
      <w:r w:rsidR="00432E70" w:rsidRPr="00CF7510">
        <w:rPr>
          <w:rFonts w:ascii="Times New Roman" w:hAnsi="Times New Roman" w:cs="Times New Roman"/>
          <w:color w:val="000000"/>
          <w:sz w:val="20"/>
          <w:szCs w:val="20"/>
          <w:lang w:val="en-IN"/>
        </w:rPr>
        <w:t xml:space="preserve">ECOG </w:t>
      </w:r>
      <w:r w:rsidRPr="00CF7510">
        <w:rPr>
          <w:rFonts w:ascii="Times New Roman" w:hAnsi="Times New Roman" w:cs="Times New Roman"/>
          <w:color w:val="000000"/>
          <w:sz w:val="20"/>
          <w:szCs w:val="20"/>
          <w:lang w:val="en-IN"/>
        </w:rPr>
        <w:t>PS</w:t>
      </w:r>
      <w:r w:rsidR="006C6BCF" w:rsidRPr="00CF7510">
        <w:rPr>
          <w:rFonts w:ascii="Times New Roman" w:hAnsi="Times New Roman" w:cs="Times New Roman"/>
          <w:color w:val="000000"/>
          <w:sz w:val="20"/>
          <w:szCs w:val="20"/>
          <w:lang w:val="en-IN"/>
        </w:rPr>
        <w:t>, chemotherapy setting, laboratory parameters.</w:t>
      </w:r>
    </w:p>
    <w:p w:rsidR="00782D8A" w:rsidRPr="00CF7510" w:rsidRDefault="00432E70" w:rsidP="00782D8A">
      <w:pPr>
        <w:pStyle w:val="ListParagraph"/>
        <w:numPr>
          <w:ilvl w:val="0"/>
          <w:numId w:val="4"/>
        </w:numPr>
        <w:ind w:right="720"/>
        <w:rPr>
          <w:rFonts w:ascii="Times New Roman" w:hAnsi="Times New Roman" w:cs="Times New Roman"/>
          <w:color w:val="000000"/>
          <w:sz w:val="20"/>
          <w:szCs w:val="20"/>
          <w:lang w:val="en-IN"/>
        </w:rPr>
      </w:pPr>
      <w:proofErr w:type="spellStart"/>
      <w:r w:rsidRPr="00CF7510">
        <w:rPr>
          <w:rFonts w:ascii="Times New Roman" w:hAnsi="Times New Roman" w:cs="Times New Roman"/>
          <w:color w:val="000000"/>
          <w:sz w:val="20"/>
          <w:szCs w:val="20"/>
          <w:lang w:val="en-IN"/>
        </w:rPr>
        <w:t>Ne</w:t>
      </w:r>
      <w:r w:rsidR="001D1A03" w:rsidRPr="00CF7510">
        <w:rPr>
          <w:rFonts w:ascii="Times New Roman" w:hAnsi="Times New Roman" w:cs="Times New Roman"/>
          <w:color w:val="000000"/>
          <w:sz w:val="20"/>
          <w:szCs w:val="20"/>
          <w:lang w:val="en-IN"/>
        </w:rPr>
        <w:t>u</w:t>
      </w:r>
      <w:r w:rsidRPr="00CF7510">
        <w:rPr>
          <w:rFonts w:ascii="Times New Roman" w:hAnsi="Times New Roman" w:cs="Times New Roman"/>
          <w:color w:val="000000"/>
          <w:sz w:val="20"/>
          <w:szCs w:val="20"/>
          <w:lang w:val="en-IN"/>
        </w:rPr>
        <w:t>t</w:t>
      </w:r>
      <w:r w:rsidR="001D1A03" w:rsidRPr="00CF7510">
        <w:rPr>
          <w:rFonts w:ascii="Times New Roman" w:hAnsi="Times New Roman" w:cs="Times New Roman"/>
          <w:color w:val="000000"/>
          <w:sz w:val="20"/>
          <w:szCs w:val="20"/>
          <w:lang w:val="en-IN"/>
        </w:rPr>
        <w:t>r</w:t>
      </w:r>
      <w:r w:rsidR="004F555C" w:rsidRPr="00CF7510">
        <w:rPr>
          <w:rFonts w:ascii="Times New Roman" w:hAnsi="Times New Roman" w:cs="Times New Roman"/>
          <w:color w:val="000000"/>
          <w:sz w:val="20"/>
          <w:szCs w:val="20"/>
          <w:lang w:val="en-IN"/>
        </w:rPr>
        <w:t>o</w:t>
      </w:r>
      <w:r w:rsidR="001D1A03" w:rsidRPr="00CF7510">
        <w:rPr>
          <w:rFonts w:ascii="Times New Roman" w:hAnsi="Times New Roman" w:cs="Times New Roman"/>
          <w:color w:val="000000"/>
          <w:sz w:val="20"/>
          <w:szCs w:val="20"/>
          <w:lang w:val="en-IN"/>
        </w:rPr>
        <w:t>penic</w:t>
      </w:r>
      <w:proofErr w:type="spellEnd"/>
      <w:r w:rsidR="001D1A03" w:rsidRPr="00CF7510">
        <w:rPr>
          <w:rFonts w:ascii="Times New Roman" w:hAnsi="Times New Roman" w:cs="Times New Roman"/>
          <w:color w:val="000000"/>
          <w:sz w:val="20"/>
          <w:szCs w:val="20"/>
          <w:lang w:val="en-IN"/>
        </w:rPr>
        <w:t xml:space="preserve"> status: </w:t>
      </w:r>
      <w:proofErr w:type="spellStart"/>
      <w:r w:rsidR="004063D0" w:rsidRPr="00CF7510">
        <w:rPr>
          <w:rFonts w:ascii="Times New Roman" w:hAnsi="Times New Roman" w:cs="Times New Roman"/>
          <w:color w:val="000000"/>
          <w:sz w:val="20"/>
          <w:szCs w:val="20"/>
          <w:lang w:val="en-IN"/>
        </w:rPr>
        <w:t>symptomatology</w:t>
      </w:r>
      <w:proofErr w:type="spellEnd"/>
      <w:r w:rsidR="004063D0" w:rsidRPr="00CF7510">
        <w:rPr>
          <w:rFonts w:ascii="Times New Roman" w:hAnsi="Times New Roman" w:cs="Times New Roman"/>
          <w:color w:val="000000"/>
          <w:sz w:val="20"/>
          <w:szCs w:val="20"/>
          <w:lang w:val="en-IN"/>
        </w:rPr>
        <w:t xml:space="preserve">, </w:t>
      </w:r>
      <w:r w:rsidR="004F555C" w:rsidRPr="00CF7510">
        <w:rPr>
          <w:rFonts w:ascii="Times New Roman" w:hAnsi="Times New Roman" w:cs="Times New Roman"/>
          <w:color w:val="000000"/>
          <w:sz w:val="20"/>
          <w:szCs w:val="20"/>
          <w:lang w:val="en-IN"/>
        </w:rPr>
        <w:t>g</w:t>
      </w:r>
      <w:r w:rsidR="001D1A03" w:rsidRPr="00CF7510">
        <w:rPr>
          <w:rFonts w:ascii="Times New Roman" w:hAnsi="Times New Roman" w:cs="Times New Roman"/>
          <w:color w:val="000000"/>
          <w:sz w:val="20"/>
          <w:szCs w:val="20"/>
          <w:lang w:val="en-IN"/>
        </w:rPr>
        <w:t>rade o</w:t>
      </w:r>
      <w:r w:rsidR="00F26079" w:rsidRPr="00CF7510">
        <w:rPr>
          <w:rFonts w:ascii="Times New Roman" w:hAnsi="Times New Roman" w:cs="Times New Roman"/>
          <w:color w:val="000000"/>
          <w:sz w:val="20"/>
          <w:szCs w:val="20"/>
          <w:lang w:val="en-IN"/>
        </w:rPr>
        <w:t xml:space="preserve">f </w:t>
      </w:r>
      <w:proofErr w:type="spellStart"/>
      <w:r w:rsidR="00F26079" w:rsidRPr="00CF7510">
        <w:rPr>
          <w:rFonts w:ascii="Times New Roman" w:hAnsi="Times New Roman" w:cs="Times New Roman"/>
          <w:color w:val="000000"/>
          <w:sz w:val="20"/>
          <w:szCs w:val="20"/>
          <w:lang w:val="en-IN"/>
        </w:rPr>
        <w:t>neutropenia</w:t>
      </w:r>
      <w:proofErr w:type="spellEnd"/>
      <w:r w:rsidR="00F26079" w:rsidRPr="00CF7510">
        <w:rPr>
          <w:rFonts w:ascii="Times New Roman" w:hAnsi="Times New Roman" w:cs="Times New Roman"/>
          <w:color w:val="000000"/>
          <w:sz w:val="20"/>
          <w:szCs w:val="20"/>
          <w:lang w:val="en-IN"/>
        </w:rPr>
        <w:t xml:space="preserve">, episodes </w:t>
      </w:r>
      <w:r w:rsidR="004F555C" w:rsidRPr="00CF7510">
        <w:rPr>
          <w:rFonts w:ascii="Times New Roman" w:hAnsi="Times New Roman" w:cs="Times New Roman"/>
          <w:color w:val="000000"/>
          <w:sz w:val="20"/>
          <w:szCs w:val="20"/>
          <w:lang w:val="en-IN"/>
        </w:rPr>
        <w:t xml:space="preserve">of </w:t>
      </w:r>
      <w:r w:rsidR="00B75B94" w:rsidRPr="00CF7510">
        <w:rPr>
          <w:rFonts w:ascii="Times New Roman" w:hAnsi="Times New Roman" w:cs="Times New Roman"/>
          <w:color w:val="000000"/>
          <w:sz w:val="20"/>
          <w:szCs w:val="20"/>
          <w:lang w:val="en-IN"/>
        </w:rPr>
        <w:t>FN</w:t>
      </w:r>
      <w:r w:rsidR="00F26079" w:rsidRPr="00CF7510">
        <w:rPr>
          <w:rFonts w:ascii="Times New Roman" w:hAnsi="Times New Roman" w:cs="Times New Roman"/>
          <w:color w:val="000000"/>
          <w:sz w:val="20"/>
          <w:szCs w:val="20"/>
          <w:lang w:val="en-IN"/>
        </w:rPr>
        <w:t>.</w:t>
      </w:r>
    </w:p>
    <w:p w:rsidR="00782D8A" w:rsidRPr="00CF7510" w:rsidRDefault="006C6BCF" w:rsidP="00782D8A">
      <w:pPr>
        <w:pStyle w:val="ListParagraph"/>
        <w:numPr>
          <w:ilvl w:val="0"/>
          <w:numId w:val="4"/>
        </w:numPr>
        <w:ind w:right="720"/>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lastRenderedPageBreak/>
        <w:t xml:space="preserve">Subsequent dose </w:t>
      </w:r>
      <w:r w:rsidR="00B75B94" w:rsidRPr="00CF7510">
        <w:rPr>
          <w:rFonts w:ascii="Times New Roman" w:hAnsi="Times New Roman" w:cs="Times New Roman"/>
          <w:color w:val="000000"/>
          <w:sz w:val="20"/>
          <w:szCs w:val="20"/>
          <w:lang w:val="en-IN"/>
        </w:rPr>
        <w:t xml:space="preserve">reduction, </w:t>
      </w:r>
      <w:r w:rsidRPr="00CF7510">
        <w:rPr>
          <w:rFonts w:ascii="Times New Roman" w:hAnsi="Times New Roman" w:cs="Times New Roman"/>
          <w:color w:val="000000"/>
          <w:sz w:val="20"/>
          <w:szCs w:val="20"/>
          <w:lang w:val="en-IN"/>
        </w:rPr>
        <w:t>dose delay</w:t>
      </w:r>
      <w:r w:rsidR="00B75B94" w:rsidRPr="00CF7510">
        <w:rPr>
          <w:rFonts w:ascii="Times New Roman" w:hAnsi="Times New Roman" w:cs="Times New Roman"/>
          <w:color w:val="000000"/>
          <w:sz w:val="20"/>
          <w:szCs w:val="20"/>
          <w:lang w:val="en-IN"/>
        </w:rPr>
        <w:t xml:space="preserve"> or suspension of chemotherapy in </w:t>
      </w:r>
      <w:proofErr w:type="spellStart"/>
      <w:r w:rsidR="00B75B94" w:rsidRPr="00CF7510">
        <w:rPr>
          <w:rFonts w:ascii="Times New Roman" w:hAnsi="Times New Roman" w:cs="Times New Roman"/>
          <w:color w:val="000000"/>
          <w:sz w:val="20"/>
          <w:szCs w:val="20"/>
          <w:lang w:val="en-IN"/>
        </w:rPr>
        <w:t>neutropenic</w:t>
      </w:r>
      <w:proofErr w:type="spellEnd"/>
      <w:r w:rsidR="00B75B94" w:rsidRPr="00CF7510">
        <w:rPr>
          <w:rFonts w:ascii="Times New Roman" w:hAnsi="Times New Roman" w:cs="Times New Roman"/>
          <w:color w:val="000000"/>
          <w:sz w:val="20"/>
          <w:szCs w:val="20"/>
          <w:lang w:val="en-IN"/>
        </w:rPr>
        <w:t xml:space="preserve"> patients</w:t>
      </w:r>
      <w:r w:rsidRPr="00CF7510">
        <w:rPr>
          <w:rFonts w:ascii="Times New Roman" w:hAnsi="Times New Roman" w:cs="Times New Roman"/>
          <w:color w:val="000000"/>
          <w:sz w:val="20"/>
          <w:szCs w:val="20"/>
          <w:lang w:val="en-IN"/>
        </w:rPr>
        <w:t>.</w:t>
      </w:r>
    </w:p>
    <w:p w:rsidR="00D35966" w:rsidRPr="005966F5" w:rsidRDefault="006C6BCF" w:rsidP="00D35966">
      <w:pPr>
        <w:pStyle w:val="ListParagraph"/>
        <w:numPr>
          <w:ilvl w:val="0"/>
          <w:numId w:val="4"/>
        </w:numPr>
        <w:ind w:right="720"/>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t>Use of G-CSF</w:t>
      </w:r>
      <w:r w:rsidR="00F26079" w:rsidRPr="00CF7510">
        <w:rPr>
          <w:rFonts w:ascii="Times New Roman" w:hAnsi="Times New Roman" w:cs="Times New Roman"/>
          <w:color w:val="000000"/>
          <w:sz w:val="20"/>
          <w:szCs w:val="20"/>
          <w:lang w:val="en-IN"/>
        </w:rPr>
        <w:t>.</w:t>
      </w:r>
    </w:p>
    <w:p w:rsidR="00D35966" w:rsidRPr="002219F2" w:rsidRDefault="00C94396" w:rsidP="005966F5">
      <w:pPr>
        <w:ind w:right="720"/>
        <w:jc w:val="center"/>
        <w:rPr>
          <w:rFonts w:ascii="Times New Roman" w:hAnsi="Times New Roman" w:cs="Times New Roman"/>
          <w:color w:val="000000"/>
          <w:sz w:val="20"/>
          <w:szCs w:val="20"/>
          <w:lang w:val="en-IN"/>
        </w:rPr>
      </w:pPr>
      <w:r>
        <w:rPr>
          <w:rFonts w:ascii="Times New Roman" w:hAnsi="Times New Roman" w:cs="Times New Roman"/>
          <w:b/>
          <w:color w:val="000000"/>
          <w:sz w:val="20"/>
          <w:szCs w:val="20"/>
          <w:lang w:val="en-IN"/>
        </w:rPr>
        <w:t xml:space="preserve">Table 1: CTCAE V </w:t>
      </w:r>
      <w:r w:rsidR="00D35966" w:rsidRPr="002219F2">
        <w:rPr>
          <w:rFonts w:ascii="Times New Roman" w:hAnsi="Times New Roman" w:cs="Times New Roman"/>
          <w:b/>
          <w:color w:val="000000"/>
          <w:sz w:val="20"/>
          <w:szCs w:val="20"/>
          <w:lang w:val="en-IN"/>
        </w:rPr>
        <w:t>4.0 grading of CIN</w:t>
      </w:r>
    </w:p>
    <w:tbl>
      <w:tblPr>
        <w:tblStyle w:val="TableGrid"/>
        <w:tblW w:w="0" w:type="auto"/>
        <w:tblInd w:w="288" w:type="dxa"/>
        <w:tblLook w:val="04A0"/>
      </w:tblPr>
      <w:tblGrid>
        <w:gridCol w:w="3420"/>
        <w:gridCol w:w="3870"/>
      </w:tblGrid>
      <w:tr w:rsidR="00665DE3" w:rsidRPr="00CF7510" w:rsidTr="005966F5">
        <w:tc>
          <w:tcPr>
            <w:tcW w:w="342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Grade of </w:t>
            </w:r>
            <w:proofErr w:type="spellStart"/>
            <w:r w:rsidRPr="00A07FDB">
              <w:rPr>
                <w:rFonts w:ascii="Times New Roman" w:hAnsi="Times New Roman" w:cs="Times New Roman"/>
                <w:color w:val="000000"/>
                <w:sz w:val="18"/>
                <w:szCs w:val="18"/>
                <w:lang w:val="en-IN"/>
              </w:rPr>
              <w:t>Neutropenia</w:t>
            </w:r>
            <w:proofErr w:type="spellEnd"/>
          </w:p>
        </w:tc>
        <w:tc>
          <w:tcPr>
            <w:tcW w:w="387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Absolute </w:t>
            </w:r>
            <w:proofErr w:type="spellStart"/>
            <w:r w:rsidRPr="00A07FDB">
              <w:rPr>
                <w:rFonts w:ascii="Times New Roman" w:hAnsi="Times New Roman" w:cs="Times New Roman"/>
                <w:color w:val="000000"/>
                <w:sz w:val="18"/>
                <w:szCs w:val="18"/>
                <w:lang w:val="en-IN"/>
              </w:rPr>
              <w:t>Neutrophil</w:t>
            </w:r>
            <w:proofErr w:type="spellEnd"/>
            <w:r w:rsidRPr="00A07FDB">
              <w:rPr>
                <w:rFonts w:ascii="Times New Roman" w:hAnsi="Times New Roman" w:cs="Times New Roman"/>
                <w:color w:val="000000"/>
                <w:sz w:val="18"/>
                <w:szCs w:val="18"/>
                <w:lang w:val="en-IN"/>
              </w:rPr>
              <w:t xml:space="preserve"> count </w:t>
            </w:r>
          </w:p>
        </w:tc>
      </w:tr>
      <w:tr w:rsidR="00665DE3" w:rsidRPr="00CF7510" w:rsidTr="005966F5">
        <w:tc>
          <w:tcPr>
            <w:tcW w:w="342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1</w:t>
            </w:r>
          </w:p>
        </w:tc>
        <w:tc>
          <w:tcPr>
            <w:tcW w:w="387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LLN-1500/µL</w:t>
            </w:r>
          </w:p>
        </w:tc>
      </w:tr>
      <w:tr w:rsidR="00665DE3" w:rsidRPr="00CF7510" w:rsidTr="005966F5">
        <w:tc>
          <w:tcPr>
            <w:tcW w:w="342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2</w:t>
            </w:r>
          </w:p>
        </w:tc>
        <w:tc>
          <w:tcPr>
            <w:tcW w:w="387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1000-1500/ µL</w:t>
            </w:r>
          </w:p>
        </w:tc>
      </w:tr>
      <w:tr w:rsidR="00665DE3" w:rsidRPr="00CF7510" w:rsidTr="005966F5">
        <w:tc>
          <w:tcPr>
            <w:tcW w:w="342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3</w:t>
            </w:r>
          </w:p>
        </w:tc>
        <w:tc>
          <w:tcPr>
            <w:tcW w:w="387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500-1000/ µL</w:t>
            </w:r>
          </w:p>
        </w:tc>
      </w:tr>
      <w:tr w:rsidR="00665DE3" w:rsidRPr="00CF7510" w:rsidTr="005966F5">
        <w:tc>
          <w:tcPr>
            <w:tcW w:w="342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4</w:t>
            </w:r>
          </w:p>
        </w:tc>
        <w:tc>
          <w:tcPr>
            <w:tcW w:w="3870" w:type="dxa"/>
          </w:tcPr>
          <w:p w:rsidR="00665DE3" w:rsidRPr="00A07FDB" w:rsidRDefault="00665DE3" w:rsidP="00D35966">
            <w:pPr>
              <w:ind w:right="720"/>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&lt;500/ µL</w:t>
            </w:r>
          </w:p>
        </w:tc>
      </w:tr>
    </w:tbl>
    <w:p w:rsidR="00D35966" w:rsidRPr="00CF7510" w:rsidRDefault="00D35966" w:rsidP="00D35966">
      <w:pPr>
        <w:ind w:right="720"/>
        <w:rPr>
          <w:rFonts w:ascii="Times New Roman" w:hAnsi="Times New Roman" w:cs="Times New Roman"/>
          <w:b/>
          <w:color w:val="000000"/>
          <w:sz w:val="20"/>
          <w:szCs w:val="20"/>
          <w:lang w:val="en-IN"/>
        </w:rPr>
      </w:pPr>
    </w:p>
    <w:p w:rsidR="00996745" w:rsidRPr="002219F2" w:rsidRDefault="002219F2" w:rsidP="009462A7">
      <w:pPr>
        <w:pStyle w:val="NoSpacing"/>
        <w:rPr>
          <w:rFonts w:ascii="Times New Roman" w:hAnsi="Times New Roman" w:cs="Times New Roman"/>
          <w:b/>
          <w:color w:val="000000"/>
          <w:sz w:val="20"/>
          <w:szCs w:val="20"/>
          <w:lang w:val="en-IN"/>
        </w:rPr>
      </w:pPr>
      <w:r>
        <w:rPr>
          <w:rFonts w:ascii="Times New Roman" w:hAnsi="Times New Roman" w:cs="Times New Roman"/>
          <w:b/>
          <w:sz w:val="20"/>
          <w:szCs w:val="20"/>
        </w:rPr>
        <w:t>Statistical analysis:</w:t>
      </w:r>
    </w:p>
    <w:p w:rsidR="009D52A2" w:rsidRPr="009462A7" w:rsidRDefault="00782D8A" w:rsidP="009462A7">
      <w:pPr>
        <w:pStyle w:val="NoSpacing"/>
        <w:jc w:val="both"/>
        <w:rPr>
          <w:rFonts w:ascii="Times New Roman" w:hAnsi="Times New Roman" w:cs="Times New Roman"/>
          <w:sz w:val="20"/>
          <w:szCs w:val="20"/>
          <w:lang w:val="en-IN"/>
        </w:rPr>
      </w:pPr>
      <w:r w:rsidRPr="009462A7">
        <w:rPr>
          <w:rFonts w:ascii="Times New Roman" w:hAnsi="Times New Roman" w:cs="Times New Roman"/>
          <w:sz w:val="20"/>
          <w:szCs w:val="20"/>
          <w:lang w:val="en-IN"/>
        </w:rPr>
        <w:t>Baseline characteris</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cs of the study par</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cipants are expressed in mean ± SD.</w:t>
      </w:r>
      <w:r w:rsidR="00996745" w:rsidRPr="009462A7">
        <w:rPr>
          <w:rFonts w:ascii="Times New Roman" w:hAnsi="Times New Roman" w:cs="Times New Roman"/>
          <w:b/>
          <w:bCs/>
          <w:sz w:val="20"/>
          <w:szCs w:val="20"/>
        </w:rPr>
        <w:t xml:space="preserve"> </w:t>
      </w:r>
      <w:r w:rsidRPr="009462A7">
        <w:rPr>
          <w:rFonts w:ascii="Times New Roman" w:hAnsi="Times New Roman" w:cs="Times New Roman"/>
          <w:sz w:val="20"/>
          <w:szCs w:val="20"/>
          <w:lang w:val="en-IN"/>
        </w:rPr>
        <w:t>Correla</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ons were observed by using Pearson’s correla</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on co</w:t>
      </w:r>
      <w:r w:rsidR="00996745" w:rsidRPr="009462A7">
        <w:rPr>
          <w:rFonts w:ascii="Times New Roman" w:hAnsi="Times New Roman" w:cs="Times New Roman"/>
          <w:sz w:val="20"/>
          <w:szCs w:val="20"/>
          <w:lang w:val="en-IN"/>
        </w:rPr>
        <w:t>-</w:t>
      </w:r>
      <w:proofErr w:type="spellStart"/>
      <w:r w:rsidRPr="009462A7">
        <w:rPr>
          <w:rFonts w:ascii="Times New Roman" w:hAnsi="Times New Roman" w:cs="Times New Roman"/>
          <w:sz w:val="20"/>
          <w:szCs w:val="20"/>
          <w:lang w:val="en-IN"/>
        </w:rPr>
        <w:t>eﬃcient</w:t>
      </w:r>
      <w:proofErr w:type="spellEnd"/>
      <w:r w:rsidRPr="009462A7">
        <w:rPr>
          <w:rFonts w:ascii="Times New Roman" w:hAnsi="Times New Roman" w:cs="Times New Roman"/>
          <w:sz w:val="20"/>
          <w:szCs w:val="20"/>
          <w:lang w:val="en-IN"/>
        </w:rPr>
        <w:t xml:space="preserve">. The results were considered </w:t>
      </w:r>
      <w:proofErr w:type="spellStart"/>
      <w:r w:rsidRPr="009462A7">
        <w:rPr>
          <w:rFonts w:ascii="Times New Roman" w:hAnsi="Times New Roman" w:cs="Times New Roman"/>
          <w:sz w:val="20"/>
          <w:szCs w:val="20"/>
          <w:lang w:val="en-IN"/>
        </w:rPr>
        <w:t>signiﬁcant</w:t>
      </w:r>
      <w:proofErr w:type="spellEnd"/>
      <w:r w:rsidRPr="009462A7">
        <w:rPr>
          <w:rFonts w:ascii="Times New Roman" w:hAnsi="Times New Roman" w:cs="Times New Roman"/>
          <w:sz w:val="20"/>
          <w:szCs w:val="20"/>
          <w:lang w:val="en-IN"/>
        </w:rPr>
        <w:t xml:space="preserve"> when the probability (p value) was less than 0.05 % of the observed values of “t” at a par</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cular degree of freedom.</w:t>
      </w:r>
      <w:r w:rsidR="00996745" w:rsidRPr="009462A7">
        <w:rPr>
          <w:rFonts w:ascii="Times New Roman" w:hAnsi="Times New Roman" w:cs="Times New Roman"/>
          <w:b/>
          <w:bCs/>
          <w:sz w:val="20"/>
          <w:szCs w:val="20"/>
        </w:rPr>
        <w:t xml:space="preserve"> </w:t>
      </w:r>
      <w:r w:rsidRPr="009462A7">
        <w:rPr>
          <w:rFonts w:ascii="Times New Roman" w:hAnsi="Times New Roman" w:cs="Times New Roman"/>
          <w:sz w:val="20"/>
          <w:szCs w:val="20"/>
          <w:lang w:val="en-IN"/>
        </w:rPr>
        <w:t>Sta</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s</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 xml:space="preserve">cal analysis was done using </w:t>
      </w:r>
      <w:proofErr w:type="spellStart"/>
      <w:r w:rsidRPr="009462A7">
        <w:rPr>
          <w:rFonts w:ascii="Times New Roman" w:hAnsi="Times New Roman" w:cs="Times New Roman"/>
          <w:sz w:val="20"/>
          <w:szCs w:val="20"/>
          <w:lang w:val="en-IN"/>
        </w:rPr>
        <w:t>GraphPad</w:t>
      </w:r>
      <w:proofErr w:type="spellEnd"/>
      <w:r w:rsidRPr="009462A7">
        <w:rPr>
          <w:rFonts w:ascii="Times New Roman" w:hAnsi="Times New Roman" w:cs="Times New Roman"/>
          <w:sz w:val="20"/>
          <w:szCs w:val="20"/>
          <w:lang w:val="en-IN"/>
        </w:rPr>
        <w:t xml:space="preserve"> </w:t>
      </w:r>
      <w:proofErr w:type="spellStart"/>
      <w:r w:rsidRPr="009462A7">
        <w:rPr>
          <w:rFonts w:ascii="Times New Roman" w:hAnsi="Times New Roman" w:cs="Times New Roman"/>
          <w:sz w:val="20"/>
          <w:szCs w:val="20"/>
          <w:lang w:val="en-IN"/>
        </w:rPr>
        <w:t>InStat</w:t>
      </w:r>
      <w:proofErr w:type="spellEnd"/>
      <w:r w:rsidRPr="009462A7">
        <w:rPr>
          <w:rFonts w:ascii="Times New Roman" w:hAnsi="Times New Roman" w:cs="Times New Roman"/>
          <w:sz w:val="20"/>
          <w:szCs w:val="20"/>
          <w:lang w:val="en-IN"/>
        </w:rPr>
        <w:t xml:space="preserve"> version 3.00.</w:t>
      </w:r>
      <w:r w:rsidR="00996745" w:rsidRPr="009462A7">
        <w:rPr>
          <w:rFonts w:ascii="Times New Roman" w:hAnsi="Times New Roman" w:cs="Times New Roman"/>
          <w:b/>
          <w:bCs/>
          <w:sz w:val="20"/>
          <w:szCs w:val="20"/>
        </w:rPr>
        <w:t xml:space="preserve"> </w:t>
      </w:r>
      <w:r w:rsidRPr="009462A7">
        <w:rPr>
          <w:rFonts w:ascii="Times New Roman" w:hAnsi="Times New Roman" w:cs="Times New Roman"/>
          <w:sz w:val="20"/>
          <w:szCs w:val="20"/>
          <w:lang w:val="en-IN"/>
        </w:rPr>
        <w:t>All the sta</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s</w:t>
      </w:r>
      <w:r w:rsidR="00996745" w:rsidRPr="009462A7">
        <w:rPr>
          <w:rFonts w:ascii="Times New Roman" w:hAnsi="Times New Roman" w:cs="Times New Roman"/>
          <w:sz w:val="20"/>
          <w:szCs w:val="20"/>
          <w:lang w:val="en-IN"/>
        </w:rPr>
        <w:t>ti</w:t>
      </w:r>
      <w:r w:rsidRPr="009462A7">
        <w:rPr>
          <w:rFonts w:ascii="Times New Roman" w:hAnsi="Times New Roman" w:cs="Times New Roman"/>
          <w:sz w:val="20"/>
          <w:szCs w:val="20"/>
          <w:lang w:val="en-IN"/>
        </w:rPr>
        <w:t>cal graphs were prepared using Microso</w:t>
      </w:r>
      <w:r w:rsidR="00996745" w:rsidRPr="009462A7">
        <w:rPr>
          <w:rFonts w:ascii="Times New Roman" w:hAnsi="Times New Roman" w:cs="Times New Roman"/>
          <w:sz w:val="20"/>
          <w:szCs w:val="20"/>
          <w:lang w:val="en-IN"/>
        </w:rPr>
        <w:t>ft</w:t>
      </w:r>
      <w:r w:rsidR="00DA4675" w:rsidRPr="009462A7">
        <w:rPr>
          <w:rFonts w:ascii="Times New Roman" w:hAnsi="Times New Roman" w:cs="Times New Roman"/>
          <w:sz w:val="20"/>
          <w:szCs w:val="20"/>
          <w:lang w:val="en-IN"/>
        </w:rPr>
        <w:t xml:space="preserve"> Excel 2007.</w:t>
      </w:r>
    </w:p>
    <w:p w:rsidR="009462A7" w:rsidRDefault="009462A7" w:rsidP="009462A7">
      <w:pPr>
        <w:pStyle w:val="NoSpacing"/>
        <w:jc w:val="both"/>
        <w:rPr>
          <w:rFonts w:ascii="Times New Roman" w:hAnsi="Times New Roman" w:cs="Times New Roman"/>
          <w:b/>
          <w:sz w:val="28"/>
          <w:szCs w:val="28"/>
          <w:lang w:val="en-IN"/>
        </w:rPr>
      </w:pPr>
    </w:p>
    <w:p w:rsidR="00DA4675" w:rsidRPr="009462A7" w:rsidRDefault="001566E4" w:rsidP="009462A7">
      <w:pPr>
        <w:pStyle w:val="NoSpacing"/>
        <w:jc w:val="both"/>
        <w:rPr>
          <w:rFonts w:ascii="Times New Roman" w:hAnsi="Times New Roman" w:cs="Times New Roman"/>
          <w:b/>
          <w:sz w:val="28"/>
          <w:szCs w:val="28"/>
          <w:lang w:val="en-IN"/>
        </w:rPr>
      </w:pPr>
      <w:r w:rsidRPr="009462A7">
        <w:rPr>
          <w:rFonts w:ascii="Times New Roman" w:hAnsi="Times New Roman" w:cs="Times New Roman"/>
          <w:b/>
          <w:sz w:val="28"/>
          <w:szCs w:val="28"/>
          <w:lang w:val="en-IN"/>
        </w:rPr>
        <w:t>RESULTS AND OBSERVATIONS</w:t>
      </w:r>
      <w:r w:rsidR="00DA4675" w:rsidRPr="009462A7">
        <w:rPr>
          <w:rFonts w:ascii="Times New Roman" w:hAnsi="Times New Roman" w:cs="Times New Roman"/>
          <w:b/>
          <w:sz w:val="28"/>
          <w:szCs w:val="28"/>
          <w:lang w:val="en-IN"/>
        </w:rPr>
        <w:t>:</w:t>
      </w:r>
    </w:p>
    <w:p w:rsidR="005966F5" w:rsidRPr="009462A7" w:rsidRDefault="00DA4675" w:rsidP="009462A7">
      <w:pPr>
        <w:pStyle w:val="NoSpacing"/>
        <w:jc w:val="both"/>
        <w:rPr>
          <w:rFonts w:ascii="Times New Roman" w:hAnsi="Times New Roman" w:cs="Times New Roman"/>
          <w:sz w:val="20"/>
          <w:szCs w:val="20"/>
        </w:rPr>
      </w:pPr>
      <w:r w:rsidRPr="009462A7">
        <w:rPr>
          <w:rFonts w:ascii="Times New Roman" w:hAnsi="Times New Roman" w:cs="Times New Roman"/>
          <w:sz w:val="20"/>
          <w:szCs w:val="20"/>
          <w:lang w:val="en-IN"/>
        </w:rPr>
        <w:t xml:space="preserve">A total of 210 breast cancer </w:t>
      </w:r>
      <w:r w:rsidR="00AB0CAA" w:rsidRPr="009462A7">
        <w:rPr>
          <w:rFonts w:ascii="Times New Roman" w:hAnsi="Times New Roman" w:cs="Times New Roman"/>
          <w:sz w:val="20"/>
          <w:szCs w:val="20"/>
          <w:lang w:val="en-IN"/>
        </w:rPr>
        <w:t xml:space="preserve">patients </w:t>
      </w:r>
      <w:r w:rsidRPr="009462A7">
        <w:rPr>
          <w:rFonts w:ascii="Times New Roman" w:hAnsi="Times New Roman" w:cs="Times New Roman"/>
          <w:sz w:val="20"/>
          <w:szCs w:val="20"/>
          <w:lang w:val="en-IN"/>
        </w:rPr>
        <w:t>were include</w:t>
      </w:r>
      <w:r w:rsidR="00AB0CAA" w:rsidRPr="009462A7">
        <w:rPr>
          <w:rFonts w:ascii="Times New Roman" w:hAnsi="Times New Roman" w:cs="Times New Roman"/>
          <w:sz w:val="20"/>
          <w:szCs w:val="20"/>
          <w:lang w:val="en-IN"/>
        </w:rPr>
        <w:t>d</w:t>
      </w:r>
      <w:r w:rsidRPr="009462A7">
        <w:rPr>
          <w:rFonts w:ascii="Times New Roman" w:hAnsi="Times New Roman" w:cs="Times New Roman"/>
          <w:sz w:val="20"/>
          <w:szCs w:val="20"/>
          <w:lang w:val="en-IN"/>
        </w:rPr>
        <w:t xml:space="preserve"> in the study with a mean age of 49.44± 9.13 years at diagnosis. Female to male ratio was 208:2</w:t>
      </w:r>
      <w:r w:rsidR="00F80E28" w:rsidRPr="009462A7">
        <w:rPr>
          <w:rFonts w:ascii="Times New Roman" w:hAnsi="Times New Roman" w:cs="Times New Roman"/>
          <w:sz w:val="20"/>
          <w:szCs w:val="20"/>
          <w:lang w:val="en-IN"/>
        </w:rPr>
        <w:t>. Majority of female patients were postmenopausal (56.19%).</w:t>
      </w:r>
      <w:r w:rsidR="003A7291" w:rsidRPr="009462A7">
        <w:rPr>
          <w:rFonts w:ascii="Times New Roman" w:hAnsi="Times New Roman" w:cs="Times New Roman"/>
          <w:sz w:val="20"/>
          <w:szCs w:val="20"/>
          <w:lang w:val="en-IN"/>
        </w:rPr>
        <w:t xml:space="preserve"> </w:t>
      </w:r>
      <w:r w:rsidR="00AB0CAA" w:rsidRPr="009462A7">
        <w:rPr>
          <w:rFonts w:ascii="Times New Roman" w:hAnsi="Times New Roman" w:cs="Times New Roman"/>
          <w:sz w:val="20"/>
          <w:szCs w:val="20"/>
        </w:rPr>
        <w:t xml:space="preserve">Total 836 cycles of </w:t>
      </w:r>
      <w:proofErr w:type="spellStart"/>
      <w:r w:rsidR="00AB0CAA" w:rsidRPr="009462A7">
        <w:rPr>
          <w:rFonts w:ascii="Times New Roman" w:hAnsi="Times New Roman" w:cs="Times New Roman"/>
          <w:sz w:val="20"/>
          <w:szCs w:val="20"/>
        </w:rPr>
        <w:t>pa</w:t>
      </w:r>
      <w:r w:rsidR="002B095D" w:rsidRPr="009462A7">
        <w:rPr>
          <w:rFonts w:ascii="Times New Roman" w:hAnsi="Times New Roman" w:cs="Times New Roman"/>
          <w:sz w:val="20"/>
          <w:szCs w:val="20"/>
        </w:rPr>
        <w:t>clitaxel</w:t>
      </w:r>
      <w:proofErr w:type="spellEnd"/>
      <w:r w:rsidR="002B095D" w:rsidRPr="009462A7">
        <w:rPr>
          <w:rFonts w:ascii="Times New Roman" w:hAnsi="Times New Roman" w:cs="Times New Roman"/>
          <w:sz w:val="20"/>
          <w:szCs w:val="20"/>
        </w:rPr>
        <w:t xml:space="preserve"> were observed in</w:t>
      </w:r>
      <w:r w:rsidR="00AB0CAA" w:rsidRPr="009462A7">
        <w:rPr>
          <w:rFonts w:ascii="Times New Roman" w:hAnsi="Times New Roman" w:cs="Times New Roman"/>
          <w:sz w:val="20"/>
          <w:szCs w:val="20"/>
        </w:rPr>
        <w:t xml:space="preserve"> 210 patients with 4 patients did not complete last cycle due to peripheral neuropathy</w:t>
      </w:r>
      <w:r w:rsidR="00A751FE" w:rsidRPr="009462A7">
        <w:rPr>
          <w:rFonts w:ascii="Times New Roman" w:hAnsi="Times New Roman" w:cs="Times New Roman"/>
          <w:sz w:val="20"/>
          <w:szCs w:val="20"/>
        </w:rPr>
        <w:t>. (Table 2, 3)</w:t>
      </w:r>
    </w:p>
    <w:p w:rsidR="009462A7" w:rsidRDefault="009462A7" w:rsidP="009462A7">
      <w:pPr>
        <w:pStyle w:val="NoSpacing"/>
      </w:pPr>
    </w:p>
    <w:p w:rsidR="00F26079" w:rsidRPr="002219F2" w:rsidRDefault="00F26079" w:rsidP="009462A7">
      <w:pPr>
        <w:pStyle w:val="NoSpacing"/>
        <w:jc w:val="center"/>
        <w:rPr>
          <w:rFonts w:ascii="Times New Roman" w:hAnsi="Times New Roman" w:cs="Times New Roman"/>
          <w:b/>
          <w:sz w:val="20"/>
          <w:szCs w:val="20"/>
        </w:rPr>
      </w:pPr>
      <w:r w:rsidRPr="002219F2">
        <w:rPr>
          <w:rFonts w:ascii="Times New Roman" w:hAnsi="Times New Roman" w:cs="Times New Roman"/>
          <w:b/>
          <w:sz w:val="20"/>
          <w:szCs w:val="20"/>
        </w:rPr>
        <w:t xml:space="preserve">Table </w:t>
      </w:r>
      <w:r w:rsidR="00A751FE" w:rsidRPr="002219F2">
        <w:rPr>
          <w:rFonts w:ascii="Times New Roman" w:hAnsi="Times New Roman" w:cs="Times New Roman"/>
          <w:b/>
          <w:sz w:val="20"/>
          <w:szCs w:val="20"/>
        </w:rPr>
        <w:t>2</w:t>
      </w:r>
      <w:r w:rsidR="004A649F" w:rsidRPr="002219F2">
        <w:rPr>
          <w:rFonts w:ascii="Times New Roman" w:hAnsi="Times New Roman" w:cs="Times New Roman"/>
          <w:b/>
          <w:sz w:val="20"/>
          <w:szCs w:val="20"/>
        </w:rPr>
        <w:t>:</w:t>
      </w:r>
      <w:r w:rsidR="00322614" w:rsidRPr="002219F2">
        <w:rPr>
          <w:rFonts w:ascii="Times New Roman" w:hAnsi="Times New Roman" w:cs="Times New Roman"/>
          <w:b/>
          <w:sz w:val="20"/>
          <w:szCs w:val="20"/>
        </w:rPr>
        <w:t xml:space="preserve"> </w:t>
      </w:r>
      <w:r w:rsidR="0007162D" w:rsidRPr="002219F2">
        <w:rPr>
          <w:rFonts w:ascii="Times New Roman" w:hAnsi="Times New Roman" w:cs="Times New Roman"/>
          <w:b/>
          <w:sz w:val="20"/>
          <w:szCs w:val="20"/>
        </w:rPr>
        <w:t>Baseline c</w:t>
      </w:r>
      <w:r w:rsidRPr="002219F2">
        <w:rPr>
          <w:rFonts w:ascii="Times New Roman" w:hAnsi="Times New Roman" w:cs="Times New Roman"/>
          <w:b/>
          <w:sz w:val="20"/>
          <w:szCs w:val="20"/>
        </w:rPr>
        <w:t>linical characteristics</w:t>
      </w:r>
    </w:p>
    <w:tbl>
      <w:tblPr>
        <w:tblStyle w:val="TableGrid"/>
        <w:tblW w:w="7208" w:type="dxa"/>
        <w:jc w:val="center"/>
        <w:tblInd w:w="1267" w:type="dxa"/>
        <w:tblLook w:val="04A0"/>
      </w:tblPr>
      <w:tblGrid>
        <w:gridCol w:w="1162"/>
        <w:gridCol w:w="3306"/>
        <w:gridCol w:w="2740"/>
      </w:tblGrid>
      <w:tr w:rsidR="00F26079" w:rsidRPr="00CF7510" w:rsidTr="009462A7">
        <w:trPr>
          <w:jc w:val="center"/>
        </w:trPr>
        <w:tc>
          <w:tcPr>
            <w:tcW w:w="1162" w:type="dxa"/>
          </w:tcPr>
          <w:p w:rsidR="00F26079" w:rsidRPr="00A07FDB" w:rsidRDefault="00F26079" w:rsidP="009462A7">
            <w:pPr>
              <w:pStyle w:val="NoSpacing"/>
              <w:rPr>
                <w:sz w:val="18"/>
                <w:szCs w:val="18"/>
              </w:rPr>
            </w:pPr>
            <w:r w:rsidRPr="00A07FDB">
              <w:rPr>
                <w:sz w:val="18"/>
                <w:szCs w:val="18"/>
              </w:rPr>
              <w:t>Serial No.</w:t>
            </w:r>
          </w:p>
        </w:tc>
        <w:tc>
          <w:tcPr>
            <w:tcW w:w="3306" w:type="dxa"/>
          </w:tcPr>
          <w:p w:rsidR="00F26079" w:rsidRPr="00A07FDB" w:rsidRDefault="00F26079" w:rsidP="009462A7">
            <w:pPr>
              <w:pStyle w:val="NoSpacing"/>
              <w:rPr>
                <w:sz w:val="18"/>
                <w:szCs w:val="18"/>
              </w:rPr>
            </w:pPr>
            <w:r w:rsidRPr="00A07FDB">
              <w:rPr>
                <w:sz w:val="18"/>
                <w:szCs w:val="18"/>
              </w:rPr>
              <w:t>Parameters</w:t>
            </w:r>
          </w:p>
        </w:tc>
        <w:tc>
          <w:tcPr>
            <w:tcW w:w="2740" w:type="dxa"/>
          </w:tcPr>
          <w:p w:rsidR="00F26079" w:rsidRPr="00A07FDB" w:rsidRDefault="00F26079" w:rsidP="009462A7">
            <w:pPr>
              <w:pStyle w:val="NoSpacing"/>
              <w:rPr>
                <w:sz w:val="18"/>
                <w:szCs w:val="18"/>
              </w:rPr>
            </w:pPr>
            <w:r w:rsidRPr="00A07FDB">
              <w:rPr>
                <w:sz w:val="18"/>
                <w:szCs w:val="18"/>
              </w:rPr>
              <w:t>Number (%)</w:t>
            </w:r>
          </w:p>
        </w:tc>
      </w:tr>
      <w:tr w:rsidR="00F26079" w:rsidRPr="00CF7510" w:rsidTr="009462A7">
        <w:trPr>
          <w:jc w:val="center"/>
        </w:trPr>
        <w:tc>
          <w:tcPr>
            <w:tcW w:w="1162" w:type="dxa"/>
          </w:tcPr>
          <w:p w:rsidR="00F26079" w:rsidRPr="00A07FDB" w:rsidRDefault="00F26079" w:rsidP="009462A7">
            <w:pPr>
              <w:pStyle w:val="NoSpacing"/>
              <w:rPr>
                <w:sz w:val="18"/>
                <w:szCs w:val="18"/>
              </w:rPr>
            </w:pPr>
            <w:r w:rsidRPr="00A07FDB">
              <w:rPr>
                <w:sz w:val="18"/>
                <w:szCs w:val="18"/>
              </w:rPr>
              <w:t>1.</w:t>
            </w:r>
          </w:p>
        </w:tc>
        <w:tc>
          <w:tcPr>
            <w:tcW w:w="3306" w:type="dxa"/>
          </w:tcPr>
          <w:p w:rsidR="00F26079" w:rsidRPr="00A07FDB" w:rsidRDefault="00F26079" w:rsidP="009462A7">
            <w:pPr>
              <w:pStyle w:val="NoSpacing"/>
              <w:rPr>
                <w:sz w:val="18"/>
                <w:szCs w:val="18"/>
              </w:rPr>
            </w:pPr>
            <w:r w:rsidRPr="00A07FDB">
              <w:rPr>
                <w:sz w:val="18"/>
                <w:szCs w:val="18"/>
              </w:rPr>
              <w:t>Total number of patients Included</w:t>
            </w:r>
          </w:p>
        </w:tc>
        <w:tc>
          <w:tcPr>
            <w:tcW w:w="2740" w:type="dxa"/>
          </w:tcPr>
          <w:p w:rsidR="00F26079" w:rsidRPr="00A07FDB" w:rsidRDefault="00F26079" w:rsidP="009462A7">
            <w:pPr>
              <w:pStyle w:val="NoSpacing"/>
              <w:rPr>
                <w:sz w:val="18"/>
                <w:szCs w:val="18"/>
              </w:rPr>
            </w:pPr>
            <w:r w:rsidRPr="00A07FDB">
              <w:rPr>
                <w:sz w:val="18"/>
                <w:szCs w:val="18"/>
              </w:rPr>
              <w:t>210</w:t>
            </w:r>
          </w:p>
        </w:tc>
      </w:tr>
      <w:tr w:rsidR="00F26079" w:rsidRPr="00CF7510" w:rsidTr="009462A7">
        <w:trPr>
          <w:jc w:val="center"/>
        </w:trPr>
        <w:tc>
          <w:tcPr>
            <w:tcW w:w="1162" w:type="dxa"/>
          </w:tcPr>
          <w:p w:rsidR="00F26079" w:rsidRPr="00A07FDB" w:rsidRDefault="00F26079" w:rsidP="009462A7">
            <w:pPr>
              <w:pStyle w:val="NoSpacing"/>
              <w:rPr>
                <w:sz w:val="18"/>
                <w:szCs w:val="18"/>
              </w:rPr>
            </w:pPr>
            <w:r w:rsidRPr="00A07FDB">
              <w:rPr>
                <w:sz w:val="18"/>
                <w:szCs w:val="18"/>
              </w:rPr>
              <w:t>2.</w:t>
            </w:r>
          </w:p>
        </w:tc>
        <w:tc>
          <w:tcPr>
            <w:tcW w:w="3306" w:type="dxa"/>
          </w:tcPr>
          <w:p w:rsidR="00F26079" w:rsidRPr="00A07FDB" w:rsidRDefault="00F26079" w:rsidP="009462A7">
            <w:pPr>
              <w:pStyle w:val="NoSpacing"/>
              <w:rPr>
                <w:sz w:val="18"/>
                <w:szCs w:val="18"/>
              </w:rPr>
            </w:pPr>
            <w:r w:rsidRPr="00A07FDB">
              <w:rPr>
                <w:sz w:val="18"/>
                <w:szCs w:val="18"/>
              </w:rPr>
              <w:t>Age of presentation (years)</w:t>
            </w:r>
          </w:p>
        </w:tc>
        <w:tc>
          <w:tcPr>
            <w:tcW w:w="2740" w:type="dxa"/>
          </w:tcPr>
          <w:p w:rsidR="00F26079" w:rsidRPr="00A07FDB" w:rsidRDefault="00F26079" w:rsidP="009462A7">
            <w:pPr>
              <w:pStyle w:val="NoSpacing"/>
              <w:rPr>
                <w:sz w:val="18"/>
                <w:szCs w:val="18"/>
              </w:rPr>
            </w:pPr>
            <w:r w:rsidRPr="00A07FDB">
              <w:rPr>
                <w:sz w:val="18"/>
                <w:szCs w:val="18"/>
              </w:rPr>
              <w:t xml:space="preserve">49.44±9.13 </w:t>
            </w:r>
            <w:r w:rsidR="00F6002B" w:rsidRPr="00A07FDB">
              <w:rPr>
                <w:sz w:val="18"/>
                <w:szCs w:val="18"/>
              </w:rPr>
              <w:t>years</w:t>
            </w:r>
          </w:p>
        </w:tc>
      </w:tr>
      <w:tr w:rsidR="00746024" w:rsidRPr="00CF7510" w:rsidTr="009462A7">
        <w:trPr>
          <w:jc w:val="center"/>
        </w:trPr>
        <w:tc>
          <w:tcPr>
            <w:tcW w:w="1162" w:type="dxa"/>
            <w:vMerge w:val="restart"/>
          </w:tcPr>
          <w:p w:rsidR="00746024" w:rsidRPr="00A07FDB" w:rsidRDefault="00746024" w:rsidP="009462A7">
            <w:pPr>
              <w:pStyle w:val="NoSpacing"/>
              <w:rPr>
                <w:sz w:val="18"/>
                <w:szCs w:val="18"/>
              </w:rPr>
            </w:pPr>
            <w:r w:rsidRPr="00A07FDB">
              <w:rPr>
                <w:sz w:val="18"/>
                <w:szCs w:val="18"/>
              </w:rPr>
              <w:t>3.</w:t>
            </w:r>
          </w:p>
        </w:tc>
        <w:tc>
          <w:tcPr>
            <w:tcW w:w="6046" w:type="dxa"/>
            <w:gridSpan w:val="2"/>
          </w:tcPr>
          <w:p w:rsidR="00746024" w:rsidRPr="00A07FDB" w:rsidRDefault="00746024" w:rsidP="009462A7">
            <w:pPr>
              <w:pStyle w:val="NoSpacing"/>
              <w:rPr>
                <w:sz w:val="18"/>
                <w:szCs w:val="18"/>
              </w:rPr>
            </w:pPr>
            <w:r w:rsidRPr="00A07FDB">
              <w:rPr>
                <w:sz w:val="18"/>
                <w:szCs w:val="18"/>
              </w:rPr>
              <w:t>Sex:</w:t>
            </w:r>
          </w:p>
        </w:tc>
      </w:tr>
      <w:tr w:rsidR="00F26079" w:rsidRPr="00CF7510" w:rsidTr="009462A7">
        <w:trPr>
          <w:jc w:val="center"/>
        </w:trPr>
        <w:tc>
          <w:tcPr>
            <w:tcW w:w="1162" w:type="dxa"/>
            <w:vMerge/>
          </w:tcPr>
          <w:p w:rsidR="00F26079" w:rsidRPr="00A07FDB" w:rsidRDefault="00F26079" w:rsidP="009462A7">
            <w:pPr>
              <w:pStyle w:val="NoSpacing"/>
              <w:rPr>
                <w:sz w:val="18"/>
                <w:szCs w:val="18"/>
              </w:rPr>
            </w:pPr>
          </w:p>
        </w:tc>
        <w:tc>
          <w:tcPr>
            <w:tcW w:w="3306" w:type="dxa"/>
          </w:tcPr>
          <w:p w:rsidR="00F26079" w:rsidRPr="00A07FDB" w:rsidRDefault="00F26079" w:rsidP="009462A7">
            <w:pPr>
              <w:pStyle w:val="NoSpacing"/>
              <w:rPr>
                <w:sz w:val="18"/>
                <w:szCs w:val="18"/>
              </w:rPr>
            </w:pPr>
            <w:r w:rsidRPr="00A07FDB">
              <w:rPr>
                <w:sz w:val="18"/>
                <w:szCs w:val="18"/>
              </w:rPr>
              <w:t>Male</w:t>
            </w:r>
          </w:p>
        </w:tc>
        <w:tc>
          <w:tcPr>
            <w:tcW w:w="2740" w:type="dxa"/>
          </w:tcPr>
          <w:p w:rsidR="00F26079" w:rsidRPr="00A07FDB" w:rsidRDefault="00F26079" w:rsidP="009462A7">
            <w:pPr>
              <w:pStyle w:val="NoSpacing"/>
              <w:rPr>
                <w:sz w:val="18"/>
                <w:szCs w:val="18"/>
              </w:rPr>
            </w:pPr>
            <w:r w:rsidRPr="00A07FDB">
              <w:rPr>
                <w:sz w:val="18"/>
                <w:szCs w:val="18"/>
              </w:rPr>
              <w:t>2</w:t>
            </w:r>
          </w:p>
        </w:tc>
      </w:tr>
      <w:tr w:rsidR="00CF7510" w:rsidRPr="00CF7510" w:rsidTr="009462A7">
        <w:trPr>
          <w:jc w:val="center"/>
        </w:trPr>
        <w:tc>
          <w:tcPr>
            <w:tcW w:w="1162" w:type="dxa"/>
            <w:vMerge/>
          </w:tcPr>
          <w:p w:rsidR="00CF7510" w:rsidRPr="00A07FDB" w:rsidRDefault="00CF7510" w:rsidP="009462A7">
            <w:pPr>
              <w:pStyle w:val="NoSpacing"/>
              <w:rPr>
                <w:sz w:val="18"/>
                <w:szCs w:val="18"/>
              </w:rPr>
            </w:pPr>
          </w:p>
        </w:tc>
        <w:tc>
          <w:tcPr>
            <w:tcW w:w="3306" w:type="dxa"/>
          </w:tcPr>
          <w:p w:rsidR="00CF7510" w:rsidRPr="00A07FDB" w:rsidRDefault="00CF7510" w:rsidP="009462A7">
            <w:pPr>
              <w:pStyle w:val="NoSpacing"/>
              <w:rPr>
                <w:sz w:val="18"/>
                <w:szCs w:val="18"/>
              </w:rPr>
            </w:pPr>
            <w:r w:rsidRPr="00A07FDB">
              <w:rPr>
                <w:sz w:val="18"/>
                <w:szCs w:val="18"/>
              </w:rPr>
              <w:t>Female</w:t>
            </w:r>
          </w:p>
        </w:tc>
        <w:tc>
          <w:tcPr>
            <w:tcW w:w="2740" w:type="dxa"/>
          </w:tcPr>
          <w:p w:rsidR="00CF7510" w:rsidRPr="00A07FDB" w:rsidRDefault="00CF7510" w:rsidP="009462A7">
            <w:pPr>
              <w:pStyle w:val="NoSpacing"/>
              <w:rPr>
                <w:sz w:val="18"/>
                <w:szCs w:val="18"/>
              </w:rPr>
            </w:pPr>
            <w:r w:rsidRPr="00A07FDB">
              <w:rPr>
                <w:sz w:val="18"/>
                <w:szCs w:val="18"/>
              </w:rPr>
              <w:t>208</w:t>
            </w:r>
          </w:p>
        </w:tc>
      </w:tr>
      <w:tr w:rsidR="00746024" w:rsidRPr="00CF7510" w:rsidTr="009462A7">
        <w:trPr>
          <w:jc w:val="center"/>
        </w:trPr>
        <w:tc>
          <w:tcPr>
            <w:tcW w:w="1162" w:type="dxa"/>
            <w:vMerge w:val="restart"/>
          </w:tcPr>
          <w:p w:rsidR="00746024" w:rsidRPr="00A07FDB" w:rsidRDefault="00746024" w:rsidP="009462A7">
            <w:pPr>
              <w:pStyle w:val="NoSpacing"/>
              <w:rPr>
                <w:sz w:val="18"/>
                <w:szCs w:val="18"/>
              </w:rPr>
            </w:pPr>
            <w:r w:rsidRPr="00A07FDB">
              <w:rPr>
                <w:sz w:val="18"/>
                <w:szCs w:val="18"/>
              </w:rPr>
              <w:t>4.</w:t>
            </w:r>
          </w:p>
        </w:tc>
        <w:tc>
          <w:tcPr>
            <w:tcW w:w="6046" w:type="dxa"/>
            <w:gridSpan w:val="2"/>
          </w:tcPr>
          <w:p w:rsidR="00746024" w:rsidRPr="00A07FDB" w:rsidRDefault="00746024" w:rsidP="009462A7">
            <w:pPr>
              <w:pStyle w:val="NoSpacing"/>
              <w:rPr>
                <w:sz w:val="18"/>
                <w:szCs w:val="18"/>
              </w:rPr>
            </w:pPr>
            <w:r w:rsidRPr="00A07FDB">
              <w:rPr>
                <w:sz w:val="18"/>
                <w:szCs w:val="18"/>
              </w:rPr>
              <w:t>Menopausal status:</w:t>
            </w:r>
          </w:p>
        </w:tc>
      </w:tr>
      <w:tr w:rsidR="00F26079" w:rsidRPr="00CF7510" w:rsidTr="009462A7">
        <w:trPr>
          <w:jc w:val="center"/>
        </w:trPr>
        <w:tc>
          <w:tcPr>
            <w:tcW w:w="1162" w:type="dxa"/>
            <w:vMerge/>
          </w:tcPr>
          <w:p w:rsidR="00F26079" w:rsidRPr="00A07FDB" w:rsidRDefault="00F26079" w:rsidP="009462A7">
            <w:pPr>
              <w:pStyle w:val="NoSpacing"/>
              <w:rPr>
                <w:sz w:val="18"/>
                <w:szCs w:val="18"/>
              </w:rPr>
            </w:pPr>
          </w:p>
        </w:tc>
        <w:tc>
          <w:tcPr>
            <w:tcW w:w="3306" w:type="dxa"/>
          </w:tcPr>
          <w:p w:rsidR="00F26079" w:rsidRPr="00A07FDB" w:rsidRDefault="00F26079" w:rsidP="009462A7">
            <w:pPr>
              <w:pStyle w:val="NoSpacing"/>
              <w:rPr>
                <w:sz w:val="18"/>
                <w:szCs w:val="18"/>
              </w:rPr>
            </w:pPr>
            <w:r w:rsidRPr="00A07FDB">
              <w:rPr>
                <w:sz w:val="18"/>
                <w:szCs w:val="18"/>
              </w:rPr>
              <w:t>Premenopausal</w:t>
            </w:r>
          </w:p>
        </w:tc>
        <w:tc>
          <w:tcPr>
            <w:tcW w:w="2740" w:type="dxa"/>
          </w:tcPr>
          <w:p w:rsidR="00F26079" w:rsidRPr="00A07FDB" w:rsidRDefault="00F26079" w:rsidP="009462A7">
            <w:pPr>
              <w:pStyle w:val="NoSpacing"/>
              <w:rPr>
                <w:sz w:val="18"/>
                <w:szCs w:val="18"/>
              </w:rPr>
            </w:pPr>
            <w:r w:rsidRPr="00A07FDB">
              <w:rPr>
                <w:sz w:val="18"/>
                <w:szCs w:val="18"/>
              </w:rPr>
              <w:t>43.81%</w:t>
            </w:r>
          </w:p>
        </w:tc>
      </w:tr>
      <w:tr w:rsidR="00F26079" w:rsidRPr="00CF7510" w:rsidTr="009462A7">
        <w:trPr>
          <w:jc w:val="center"/>
        </w:trPr>
        <w:tc>
          <w:tcPr>
            <w:tcW w:w="1162" w:type="dxa"/>
            <w:vMerge/>
          </w:tcPr>
          <w:p w:rsidR="00F26079" w:rsidRPr="00A07FDB" w:rsidRDefault="00F26079" w:rsidP="009462A7">
            <w:pPr>
              <w:pStyle w:val="NoSpacing"/>
              <w:rPr>
                <w:sz w:val="18"/>
                <w:szCs w:val="18"/>
              </w:rPr>
            </w:pPr>
          </w:p>
        </w:tc>
        <w:tc>
          <w:tcPr>
            <w:tcW w:w="3306" w:type="dxa"/>
          </w:tcPr>
          <w:p w:rsidR="00F26079" w:rsidRPr="00A07FDB" w:rsidRDefault="00F26079" w:rsidP="009462A7">
            <w:pPr>
              <w:pStyle w:val="NoSpacing"/>
              <w:rPr>
                <w:sz w:val="18"/>
                <w:szCs w:val="18"/>
              </w:rPr>
            </w:pPr>
            <w:r w:rsidRPr="00A07FDB">
              <w:rPr>
                <w:sz w:val="18"/>
                <w:szCs w:val="18"/>
              </w:rPr>
              <w:t>Postmenopausal</w:t>
            </w:r>
          </w:p>
        </w:tc>
        <w:tc>
          <w:tcPr>
            <w:tcW w:w="2740" w:type="dxa"/>
          </w:tcPr>
          <w:p w:rsidR="00F26079" w:rsidRPr="00A07FDB" w:rsidRDefault="00F26079" w:rsidP="009462A7">
            <w:pPr>
              <w:pStyle w:val="NoSpacing"/>
              <w:rPr>
                <w:sz w:val="18"/>
                <w:szCs w:val="18"/>
              </w:rPr>
            </w:pPr>
            <w:r w:rsidRPr="00A07FDB">
              <w:rPr>
                <w:sz w:val="18"/>
                <w:szCs w:val="18"/>
              </w:rPr>
              <w:t>56.19%</w:t>
            </w:r>
          </w:p>
        </w:tc>
      </w:tr>
      <w:tr w:rsidR="009D52A2" w:rsidRPr="00CF7510" w:rsidTr="009462A7">
        <w:trPr>
          <w:jc w:val="center"/>
        </w:trPr>
        <w:tc>
          <w:tcPr>
            <w:tcW w:w="1162" w:type="dxa"/>
            <w:vMerge w:val="restart"/>
          </w:tcPr>
          <w:p w:rsidR="009D52A2" w:rsidRPr="00A07FDB" w:rsidRDefault="009D52A2" w:rsidP="009462A7">
            <w:pPr>
              <w:pStyle w:val="NoSpacing"/>
              <w:rPr>
                <w:sz w:val="18"/>
                <w:szCs w:val="18"/>
              </w:rPr>
            </w:pPr>
            <w:r w:rsidRPr="00A07FDB">
              <w:rPr>
                <w:sz w:val="18"/>
                <w:szCs w:val="18"/>
              </w:rPr>
              <w:t>6.</w:t>
            </w:r>
          </w:p>
        </w:tc>
        <w:tc>
          <w:tcPr>
            <w:tcW w:w="6046" w:type="dxa"/>
            <w:gridSpan w:val="2"/>
          </w:tcPr>
          <w:p w:rsidR="009D52A2" w:rsidRPr="00A07FDB" w:rsidRDefault="009D52A2" w:rsidP="009462A7">
            <w:pPr>
              <w:pStyle w:val="NoSpacing"/>
              <w:rPr>
                <w:sz w:val="18"/>
                <w:szCs w:val="18"/>
              </w:rPr>
            </w:pPr>
            <w:r w:rsidRPr="00A07FDB">
              <w:rPr>
                <w:sz w:val="18"/>
                <w:szCs w:val="18"/>
              </w:rPr>
              <w:t xml:space="preserve">Baseline receptor Status </w:t>
            </w:r>
          </w:p>
        </w:tc>
      </w:tr>
      <w:tr w:rsidR="00746024" w:rsidRPr="00CF7510" w:rsidTr="009462A7">
        <w:trPr>
          <w:jc w:val="center"/>
        </w:trPr>
        <w:tc>
          <w:tcPr>
            <w:tcW w:w="1162" w:type="dxa"/>
            <w:vMerge/>
          </w:tcPr>
          <w:p w:rsidR="00746024" w:rsidRPr="00A07FDB" w:rsidRDefault="00746024" w:rsidP="009462A7">
            <w:pPr>
              <w:pStyle w:val="NoSpacing"/>
              <w:rPr>
                <w:sz w:val="18"/>
                <w:szCs w:val="18"/>
              </w:rPr>
            </w:pPr>
          </w:p>
        </w:tc>
        <w:tc>
          <w:tcPr>
            <w:tcW w:w="3306" w:type="dxa"/>
          </w:tcPr>
          <w:p w:rsidR="00746024" w:rsidRPr="00A07FDB" w:rsidRDefault="007D27F9" w:rsidP="009462A7">
            <w:pPr>
              <w:pStyle w:val="NoSpacing"/>
              <w:rPr>
                <w:sz w:val="18"/>
                <w:szCs w:val="18"/>
              </w:rPr>
            </w:pPr>
            <w:r w:rsidRPr="00A07FDB">
              <w:rPr>
                <w:sz w:val="18"/>
                <w:szCs w:val="18"/>
              </w:rPr>
              <w:t>H</w:t>
            </w:r>
            <w:r w:rsidR="00746024" w:rsidRPr="00A07FDB">
              <w:rPr>
                <w:sz w:val="18"/>
                <w:szCs w:val="18"/>
              </w:rPr>
              <w:t>R</w:t>
            </w:r>
            <w:r w:rsidR="003A7291" w:rsidRPr="00A07FDB">
              <w:rPr>
                <w:sz w:val="18"/>
                <w:szCs w:val="18"/>
              </w:rPr>
              <w:t xml:space="preserve"> positive</w:t>
            </w:r>
          </w:p>
        </w:tc>
        <w:tc>
          <w:tcPr>
            <w:tcW w:w="2740" w:type="dxa"/>
          </w:tcPr>
          <w:p w:rsidR="00746024" w:rsidRPr="00A07FDB" w:rsidRDefault="00746024" w:rsidP="009462A7">
            <w:pPr>
              <w:pStyle w:val="NoSpacing"/>
              <w:rPr>
                <w:sz w:val="18"/>
                <w:szCs w:val="18"/>
              </w:rPr>
            </w:pPr>
            <w:r w:rsidRPr="00A07FDB">
              <w:rPr>
                <w:sz w:val="18"/>
                <w:szCs w:val="18"/>
              </w:rPr>
              <w:t>1</w:t>
            </w:r>
            <w:r w:rsidR="006624DC" w:rsidRPr="00A07FDB">
              <w:rPr>
                <w:sz w:val="18"/>
                <w:szCs w:val="18"/>
              </w:rPr>
              <w:t>17 (55.71%)</w:t>
            </w:r>
          </w:p>
        </w:tc>
      </w:tr>
      <w:tr w:rsidR="00746024" w:rsidRPr="00CF7510" w:rsidTr="009462A7">
        <w:trPr>
          <w:jc w:val="center"/>
        </w:trPr>
        <w:tc>
          <w:tcPr>
            <w:tcW w:w="1162" w:type="dxa"/>
            <w:vMerge/>
          </w:tcPr>
          <w:p w:rsidR="00746024" w:rsidRPr="00A07FDB" w:rsidRDefault="00746024" w:rsidP="009462A7">
            <w:pPr>
              <w:pStyle w:val="NoSpacing"/>
              <w:rPr>
                <w:sz w:val="18"/>
                <w:szCs w:val="18"/>
              </w:rPr>
            </w:pPr>
          </w:p>
        </w:tc>
        <w:tc>
          <w:tcPr>
            <w:tcW w:w="3306" w:type="dxa"/>
          </w:tcPr>
          <w:p w:rsidR="00746024" w:rsidRPr="00A07FDB" w:rsidRDefault="007D27F9" w:rsidP="009462A7">
            <w:pPr>
              <w:pStyle w:val="NoSpacing"/>
              <w:rPr>
                <w:sz w:val="18"/>
                <w:szCs w:val="18"/>
              </w:rPr>
            </w:pPr>
            <w:r w:rsidRPr="00A07FDB">
              <w:rPr>
                <w:sz w:val="18"/>
                <w:szCs w:val="18"/>
              </w:rPr>
              <w:t>Her2neu positive</w:t>
            </w:r>
          </w:p>
        </w:tc>
        <w:tc>
          <w:tcPr>
            <w:tcW w:w="2740" w:type="dxa"/>
          </w:tcPr>
          <w:p w:rsidR="00746024" w:rsidRPr="00A07FDB" w:rsidRDefault="006624DC" w:rsidP="009462A7">
            <w:pPr>
              <w:pStyle w:val="NoSpacing"/>
              <w:rPr>
                <w:sz w:val="18"/>
                <w:szCs w:val="18"/>
              </w:rPr>
            </w:pPr>
            <w:r w:rsidRPr="00A07FDB">
              <w:rPr>
                <w:sz w:val="18"/>
                <w:szCs w:val="18"/>
              </w:rPr>
              <w:t>65 (31.42%)</w:t>
            </w:r>
          </w:p>
        </w:tc>
      </w:tr>
      <w:tr w:rsidR="00746024" w:rsidRPr="00CF7510" w:rsidTr="009462A7">
        <w:trPr>
          <w:jc w:val="center"/>
        </w:trPr>
        <w:tc>
          <w:tcPr>
            <w:tcW w:w="1162" w:type="dxa"/>
            <w:vMerge/>
          </w:tcPr>
          <w:p w:rsidR="00746024" w:rsidRPr="00A07FDB" w:rsidRDefault="00746024" w:rsidP="009462A7">
            <w:pPr>
              <w:pStyle w:val="NoSpacing"/>
              <w:rPr>
                <w:sz w:val="18"/>
                <w:szCs w:val="18"/>
              </w:rPr>
            </w:pPr>
          </w:p>
        </w:tc>
        <w:tc>
          <w:tcPr>
            <w:tcW w:w="3306" w:type="dxa"/>
          </w:tcPr>
          <w:p w:rsidR="00746024" w:rsidRPr="00A07FDB" w:rsidRDefault="007D27F9" w:rsidP="009462A7">
            <w:pPr>
              <w:pStyle w:val="NoSpacing"/>
              <w:rPr>
                <w:sz w:val="18"/>
                <w:szCs w:val="18"/>
              </w:rPr>
            </w:pPr>
            <w:r w:rsidRPr="00A07FDB">
              <w:rPr>
                <w:sz w:val="18"/>
                <w:szCs w:val="18"/>
              </w:rPr>
              <w:t>TNBC</w:t>
            </w:r>
          </w:p>
        </w:tc>
        <w:tc>
          <w:tcPr>
            <w:tcW w:w="2740" w:type="dxa"/>
          </w:tcPr>
          <w:p w:rsidR="00746024" w:rsidRPr="00A07FDB" w:rsidRDefault="006624DC" w:rsidP="009462A7">
            <w:pPr>
              <w:pStyle w:val="NoSpacing"/>
              <w:rPr>
                <w:sz w:val="18"/>
                <w:szCs w:val="18"/>
              </w:rPr>
            </w:pPr>
            <w:r w:rsidRPr="00A07FDB">
              <w:rPr>
                <w:sz w:val="18"/>
                <w:szCs w:val="18"/>
              </w:rPr>
              <w:t>4</w:t>
            </w:r>
            <w:r w:rsidR="00F85414" w:rsidRPr="00A07FDB">
              <w:rPr>
                <w:sz w:val="18"/>
                <w:szCs w:val="18"/>
              </w:rPr>
              <w:t>3</w:t>
            </w:r>
            <w:r w:rsidRPr="00A07FDB">
              <w:rPr>
                <w:sz w:val="18"/>
                <w:szCs w:val="18"/>
              </w:rPr>
              <w:t xml:space="preserve"> (</w:t>
            </w:r>
            <w:r w:rsidR="00F85414" w:rsidRPr="00A07FDB">
              <w:rPr>
                <w:sz w:val="18"/>
                <w:szCs w:val="18"/>
              </w:rPr>
              <w:t>20.47</w:t>
            </w:r>
            <w:r w:rsidRPr="00A07FDB">
              <w:rPr>
                <w:sz w:val="18"/>
                <w:szCs w:val="18"/>
              </w:rPr>
              <w:t>%)</w:t>
            </w:r>
          </w:p>
        </w:tc>
      </w:tr>
      <w:tr w:rsidR="00746024" w:rsidRPr="00CF7510" w:rsidTr="009462A7">
        <w:trPr>
          <w:jc w:val="center"/>
        </w:trPr>
        <w:tc>
          <w:tcPr>
            <w:tcW w:w="1162" w:type="dxa"/>
            <w:vMerge/>
          </w:tcPr>
          <w:p w:rsidR="00746024" w:rsidRPr="00A07FDB" w:rsidRDefault="00746024" w:rsidP="009462A7">
            <w:pPr>
              <w:pStyle w:val="NoSpacing"/>
              <w:rPr>
                <w:sz w:val="18"/>
                <w:szCs w:val="18"/>
              </w:rPr>
            </w:pPr>
          </w:p>
        </w:tc>
        <w:tc>
          <w:tcPr>
            <w:tcW w:w="3306" w:type="dxa"/>
          </w:tcPr>
          <w:p w:rsidR="00746024" w:rsidRPr="00A07FDB" w:rsidRDefault="007D27F9" w:rsidP="009462A7">
            <w:pPr>
              <w:pStyle w:val="NoSpacing"/>
              <w:rPr>
                <w:sz w:val="18"/>
                <w:szCs w:val="18"/>
              </w:rPr>
            </w:pPr>
            <w:r w:rsidRPr="00A07FDB">
              <w:rPr>
                <w:sz w:val="18"/>
                <w:szCs w:val="18"/>
              </w:rPr>
              <w:t>Combined HR &amp; Her2neu positive</w:t>
            </w:r>
          </w:p>
        </w:tc>
        <w:tc>
          <w:tcPr>
            <w:tcW w:w="2740" w:type="dxa"/>
          </w:tcPr>
          <w:p w:rsidR="00746024" w:rsidRPr="00A07FDB" w:rsidRDefault="006624DC" w:rsidP="009462A7">
            <w:pPr>
              <w:pStyle w:val="NoSpacing"/>
              <w:rPr>
                <w:sz w:val="18"/>
                <w:szCs w:val="18"/>
              </w:rPr>
            </w:pPr>
            <w:r w:rsidRPr="00A07FDB">
              <w:rPr>
                <w:sz w:val="18"/>
                <w:szCs w:val="18"/>
              </w:rPr>
              <w:t>83 (39.52%)</w:t>
            </w:r>
          </w:p>
        </w:tc>
      </w:tr>
      <w:tr w:rsidR="00F41030" w:rsidRPr="00CF7510" w:rsidTr="009462A7">
        <w:trPr>
          <w:jc w:val="center"/>
        </w:trPr>
        <w:tc>
          <w:tcPr>
            <w:tcW w:w="1162" w:type="dxa"/>
            <w:vMerge w:val="restart"/>
          </w:tcPr>
          <w:p w:rsidR="00F41030" w:rsidRPr="00A07FDB" w:rsidRDefault="003A7291" w:rsidP="009462A7">
            <w:pPr>
              <w:pStyle w:val="NoSpacing"/>
              <w:rPr>
                <w:sz w:val="18"/>
                <w:szCs w:val="18"/>
              </w:rPr>
            </w:pPr>
            <w:r w:rsidRPr="00A07FDB">
              <w:rPr>
                <w:sz w:val="18"/>
                <w:szCs w:val="18"/>
              </w:rPr>
              <w:t>7</w:t>
            </w:r>
            <w:r w:rsidR="00F41030" w:rsidRPr="00A07FDB">
              <w:rPr>
                <w:sz w:val="18"/>
                <w:szCs w:val="18"/>
              </w:rPr>
              <w:t>.</w:t>
            </w:r>
          </w:p>
        </w:tc>
        <w:tc>
          <w:tcPr>
            <w:tcW w:w="6046" w:type="dxa"/>
            <w:gridSpan w:val="2"/>
          </w:tcPr>
          <w:p w:rsidR="00F41030" w:rsidRPr="00A07FDB" w:rsidRDefault="00F41030" w:rsidP="009462A7">
            <w:pPr>
              <w:pStyle w:val="NoSpacing"/>
              <w:rPr>
                <w:sz w:val="18"/>
                <w:szCs w:val="18"/>
              </w:rPr>
            </w:pPr>
            <w:r w:rsidRPr="00A07FDB">
              <w:rPr>
                <w:sz w:val="18"/>
                <w:szCs w:val="18"/>
              </w:rPr>
              <w:t xml:space="preserve">Baseline </w:t>
            </w:r>
            <w:proofErr w:type="spellStart"/>
            <w:r w:rsidRPr="00A07FDB">
              <w:rPr>
                <w:sz w:val="18"/>
                <w:szCs w:val="18"/>
              </w:rPr>
              <w:t>haematological</w:t>
            </w:r>
            <w:proofErr w:type="spellEnd"/>
            <w:r w:rsidRPr="00A07FDB">
              <w:rPr>
                <w:sz w:val="18"/>
                <w:szCs w:val="18"/>
              </w:rPr>
              <w:t xml:space="preserve"> parameters</w:t>
            </w:r>
            <w:r w:rsidRPr="00A07FDB">
              <w:rPr>
                <w:sz w:val="18"/>
                <w:szCs w:val="18"/>
              </w:rPr>
              <w:tab/>
            </w:r>
          </w:p>
        </w:tc>
      </w:tr>
      <w:tr w:rsidR="00F41030" w:rsidRPr="00CF7510" w:rsidTr="009462A7">
        <w:trPr>
          <w:jc w:val="center"/>
        </w:trPr>
        <w:tc>
          <w:tcPr>
            <w:tcW w:w="1162" w:type="dxa"/>
            <w:vMerge/>
          </w:tcPr>
          <w:p w:rsidR="00F41030" w:rsidRPr="00A07FDB" w:rsidRDefault="00F41030" w:rsidP="009462A7">
            <w:pPr>
              <w:pStyle w:val="NoSpacing"/>
              <w:rPr>
                <w:sz w:val="18"/>
                <w:szCs w:val="18"/>
              </w:rPr>
            </w:pPr>
          </w:p>
        </w:tc>
        <w:tc>
          <w:tcPr>
            <w:tcW w:w="3306" w:type="dxa"/>
          </w:tcPr>
          <w:p w:rsidR="00F41030" w:rsidRPr="00A07FDB" w:rsidRDefault="00F14B02" w:rsidP="009462A7">
            <w:pPr>
              <w:pStyle w:val="NoSpacing"/>
              <w:rPr>
                <w:sz w:val="18"/>
                <w:szCs w:val="18"/>
              </w:rPr>
            </w:pPr>
            <w:r>
              <w:rPr>
                <w:sz w:val="18"/>
                <w:szCs w:val="18"/>
              </w:rPr>
              <w:t>Hemoglobin</w:t>
            </w:r>
            <w:r w:rsidR="009E2953" w:rsidRPr="00A07FDB">
              <w:rPr>
                <w:sz w:val="18"/>
                <w:szCs w:val="18"/>
              </w:rPr>
              <w:t xml:space="preserve"> (</w:t>
            </w:r>
            <w:proofErr w:type="gramStart"/>
            <w:r w:rsidR="009E2953" w:rsidRPr="00A07FDB">
              <w:rPr>
                <w:sz w:val="18"/>
                <w:szCs w:val="18"/>
              </w:rPr>
              <w:t>gm%</w:t>
            </w:r>
            <w:proofErr w:type="gramEnd"/>
            <w:r w:rsidR="009E2953" w:rsidRPr="00A07FDB">
              <w:rPr>
                <w:sz w:val="18"/>
                <w:szCs w:val="18"/>
              </w:rPr>
              <w:t>)</w:t>
            </w:r>
          </w:p>
        </w:tc>
        <w:tc>
          <w:tcPr>
            <w:tcW w:w="2740" w:type="dxa"/>
          </w:tcPr>
          <w:p w:rsidR="00F41030" w:rsidRPr="00A07FDB" w:rsidRDefault="006624DC" w:rsidP="009462A7">
            <w:pPr>
              <w:pStyle w:val="NoSpacing"/>
              <w:rPr>
                <w:sz w:val="18"/>
                <w:szCs w:val="18"/>
              </w:rPr>
            </w:pPr>
            <w:r w:rsidRPr="00A07FDB">
              <w:rPr>
                <w:sz w:val="18"/>
                <w:szCs w:val="18"/>
              </w:rPr>
              <w:t>11.2±2.1 gm%</w:t>
            </w:r>
          </w:p>
        </w:tc>
      </w:tr>
      <w:tr w:rsidR="00F41030" w:rsidRPr="00CF7510" w:rsidTr="009462A7">
        <w:trPr>
          <w:jc w:val="center"/>
        </w:trPr>
        <w:tc>
          <w:tcPr>
            <w:tcW w:w="1162" w:type="dxa"/>
            <w:vMerge/>
          </w:tcPr>
          <w:p w:rsidR="00F41030" w:rsidRPr="00A07FDB" w:rsidRDefault="00F41030" w:rsidP="0000583C">
            <w:pPr>
              <w:pStyle w:val="ListParagraph"/>
              <w:spacing w:before="144" w:after="144"/>
              <w:ind w:left="0"/>
              <w:jc w:val="both"/>
              <w:outlineLvl w:val="4"/>
              <w:rPr>
                <w:rFonts w:ascii="Times New Roman" w:eastAsia="Times New Roman" w:hAnsi="Times New Roman" w:cs="Times New Roman"/>
                <w:color w:val="000000" w:themeColor="text1"/>
                <w:sz w:val="18"/>
                <w:szCs w:val="18"/>
              </w:rPr>
            </w:pPr>
          </w:p>
        </w:tc>
        <w:tc>
          <w:tcPr>
            <w:tcW w:w="3306" w:type="dxa"/>
          </w:tcPr>
          <w:p w:rsidR="00F41030" w:rsidRPr="00A07FDB" w:rsidRDefault="00F14B02" w:rsidP="009462A7">
            <w:pPr>
              <w:pStyle w:val="NoSpacing"/>
              <w:rPr>
                <w:sz w:val="18"/>
                <w:szCs w:val="18"/>
              </w:rPr>
            </w:pPr>
            <w:r>
              <w:rPr>
                <w:sz w:val="18"/>
                <w:szCs w:val="18"/>
              </w:rPr>
              <w:t>Total count</w:t>
            </w:r>
            <w:r w:rsidR="009E2953" w:rsidRPr="00A07FDB">
              <w:rPr>
                <w:sz w:val="18"/>
                <w:szCs w:val="18"/>
              </w:rPr>
              <w:t xml:space="preserve"> (10</w:t>
            </w:r>
            <w:r w:rsidR="009E2953" w:rsidRPr="00A07FDB">
              <w:rPr>
                <w:sz w:val="18"/>
                <w:szCs w:val="18"/>
                <w:vertAlign w:val="superscript"/>
              </w:rPr>
              <w:t>9</w:t>
            </w:r>
            <w:r w:rsidR="009E2953" w:rsidRPr="00A07FDB">
              <w:rPr>
                <w:sz w:val="18"/>
                <w:szCs w:val="18"/>
              </w:rPr>
              <w:t>/L)</w:t>
            </w:r>
          </w:p>
        </w:tc>
        <w:tc>
          <w:tcPr>
            <w:tcW w:w="2740" w:type="dxa"/>
          </w:tcPr>
          <w:p w:rsidR="00F41030" w:rsidRPr="00A07FDB" w:rsidRDefault="006624DC" w:rsidP="009462A7">
            <w:pPr>
              <w:pStyle w:val="NoSpacing"/>
              <w:rPr>
                <w:sz w:val="18"/>
                <w:szCs w:val="18"/>
              </w:rPr>
            </w:pPr>
            <w:r w:rsidRPr="00A07FDB">
              <w:rPr>
                <w:sz w:val="18"/>
                <w:szCs w:val="18"/>
              </w:rPr>
              <w:t>7.6±3.3 ×10</w:t>
            </w:r>
            <w:r w:rsidRPr="00A07FDB">
              <w:rPr>
                <w:sz w:val="18"/>
                <w:szCs w:val="18"/>
                <w:vertAlign w:val="superscript"/>
              </w:rPr>
              <w:t>9</w:t>
            </w:r>
            <w:r w:rsidRPr="00A07FDB">
              <w:rPr>
                <w:sz w:val="18"/>
                <w:szCs w:val="18"/>
              </w:rPr>
              <w:t>/L</w:t>
            </w:r>
          </w:p>
        </w:tc>
      </w:tr>
      <w:tr w:rsidR="00F41030" w:rsidRPr="00CF7510" w:rsidTr="009462A7">
        <w:trPr>
          <w:jc w:val="center"/>
        </w:trPr>
        <w:tc>
          <w:tcPr>
            <w:tcW w:w="1162" w:type="dxa"/>
            <w:vMerge/>
          </w:tcPr>
          <w:p w:rsidR="00F41030" w:rsidRPr="00A07FDB" w:rsidRDefault="00F41030" w:rsidP="0000583C">
            <w:pPr>
              <w:pStyle w:val="ListParagraph"/>
              <w:spacing w:before="144" w:after="144"/>
              <w:ind w:left="0"/>
              <w:jc w:val="both"/>
              <w:outlineLvl w:val="4"/>
              <w:rPr>
                <w:rFonts w:ascii="Times New Roman" w:eastAsia="Times New Roman" w:hAnsi="Times New Roman" w:cs="Times New Roman"/>
                <w:color w:val="000000" w:themeColor="text1"/>
                <w:sz w:val="18"/>
                <w:szCs w:val="18"/>
              </w:rPr>
            </w:pPr>
          </w:p>
        </w:tc>
        <w:tc>
          <w:tcPr>
            <w:tcW w:w="3306" w:type="dxa"/>
          </w:tcPr>
          <w:p w:rsidR="00F41030" w:rsidRPr="00A07FDB" w:rsidRDefault="00F41030" w:rsidP="009462A7">
            <w:pPr>
              <w:pStyle w:val="NoSpacing"/>
              <w:rPr>
                <w:sz w:val="18"/>
                <w:szCs w:val="18"/>
              </w:rPr>
            </w:pPr>
            <w:r w:rsidRPr="00A07FDB">
              <w:rPr>
                <w:sz w:val="18"/>
                <w:szCs w:val="18"/>
              </w:rPr>
              <w:t>Platelet</w:t>
            </w:r>
            <w:r w:rsidR="00031A7A">
              <w:rPr>
                <w:sz w:val="18"/>
                <w:szCs w:val="18"/>
              </w:rPr>
              <w:t xml:space="preserve"> count</w:t>
            </w:r>
            <w:r w:rsidRPr="00A07FDB">
              <w:rPr>
                <w:sz w:val="18"/>
                <w:szCs w:val="18"/>
              </w:rPr>
              <w:t xml:space="preserve"> (10</w:t>
            </w:r>
            <w:r w:rsidRPr="00A07FDB">
              <w:rPr>
                <w:sz w:val="18"/>
                <w:szCs w:val="18"/>
                <w:vertAlign w:val="superscript"/>
              </w:rPr>
              <w:t>9</w:t>
            </w:r>
            <w:r w:rsidRPr="00A07FDB">
              <w:rPr>
                <w:sz w:val="18"/>
                <w:szCs w:val="18"/>
              </w:rPr>
              <w:t>/L)</w:t>
            </w:r>
          </w:p>
        </w:tc>
        <w:tc>
          <w:tcPr>
            <w:tcW w:w="2740" w:type="dxa"/>
          </w:tcPr>
          <w:p w:rsidR="00F41030" w:rsidRPr="00A07FDB" w:rsidRDefault="006624DC" w:rsidP="009462A7">
            <w:pPr>
              <w:pStyle w:val="NoSpacing"/>
              <w:rPr>
                <w:sz w:val="18"/>
                <w:szCs w:val="18"/>
              </w:rPr>
            </w:pPr>
            <w:r w:rsidRPr="00A07FDB">
              <w:rPr>
                <w:sz w:val="18"/>
                <w:szCs w:val="18"/>
              </w:rPr>
              <w:t>2.8±1.45 × 10</w:t>
            </w:r>
            <w:r w:rsidRPr="00A07FDB">
              <w:rPr>
                <w:sz w:val="18"/>
                <w:szCs w:val="18"/>
                <w:vertAlign w:val="superscript"/>
              </w:rPr>
              <w:t>9</w:t>
            </w:r>
            <w:r w:rsidRPr="00A07FDB">
              <w:rPr>
                <w:sz w:val="18"/>
                <w:szCs w:val="18"/>
              </w:rPr>
              <w:t>/L</w:t>
            </w:r>
          </w:p>
        </w:tc>
      </w:tr>
    </w:tbl>
    <w:p w:rsidR="00150339" w:rsidRDefault="00150339" w:rsidP="002219F2">
      <w:pPr>
        <w:pStyle w:val="NoSpacing"/>
        <w:rPr>
          <w:rFonts w:ascii="Times New Roman" w:hAnsi="Times New Roman" w:cs="Times New Roman"/>
          <w:color w:val="000000"/>
          <w:sz w:val="20"/>
          <w:szCs w:val="20"/>
          <w:lang w:val="en-IN"/>
        </w:rPr>
      </w:pPr>
    </w:p>
    <w:p w:rsidR="00A07FDB" w:rsidRDefault="00A07FDB" w:rsidP="002219F2">
      <w:pPr>
        <w:pStyle w:val="NoSpacing"/>
        <w:rPr>
          <w:rFonts w:ascii="Times New Roman" w:hAnsi="Times New Roman" w:cs="Times New Roman"/>
          <w:color w:val="000000"/>
          <w:sz w:val="20"/>
          <w:szCs w:val="20"/>
          <w:lang w:val="en-IN"/>
        </w:rPr>
      </w:pPr>
    </w:p>
    <w:p w:rsidR="002219F2" w:rsidRPr="002219F2" w:rsidRDefault="003111BE" w:rsidP="002219F2">
      <w:pPr>
        <w:pStyle w:val="NoSpacing"/>
        <w:rPr>
          <w:rFonts w:ascii="Times New Roman" w:hAnsi="Times New Roman" w:cs="Times New Roman"/>
          <w:b/>
          <w:sz w:val="20"/>
          <w:szCs w:val="20"/>
          <w:lang w:val="en-IN"/>
        </w:rPr>
      </w:pPr>
      <w:r w:rsidRPr="002219F2">
        <w:rPr>
          <w:rFonts w:ascii="Times New Roman" w:hAnsi="Times New Roman" w:cs="Times New Roman"/>
          <w:b/>
          <w:sz w:val="20"/>
          <w:szCs w:val="20"/>
          <w:lang w:val="en-IN"/>
        </w:rPr>
        <w:t xml:space="preserve">Incidence of CIN: </w:t>
      </w:r>
    </w:p>
    <w:p w:rsidR="00540D0C" w:rsidRDefault="003111BE" w:rsidP="00540D0C">
      <w:pPr>
        <w:pStyle w:val="NoSpacing"/>
        <w:jc w:val="both"/>
        <w:rPr>
          <w:sz w:val="20"/>
          <w:szCs w:val="20"/>
        </w:rPr>
      </w:pPr>
      <w:r w:rsidRPr="00150339">
        <w:rPr>
          <w:sz w:val="20"/>
          <w:szCs w:val="20"/>
        </w:rPr>
        <w:t xml:space="preserve">Among 210 breast cancer patients who received </w:t>
      </w:r>
      <w:proofErr w:type="spellStart"/>
      <w:r w:rsidRPr="00150339">
        <w:rPr>
          <w:sz w:val="20"/>
          <w:szCs w:val="20"/>
        </w:rPr>
        <w:t>palcitaxel</w:t>
      </w:r>
      <w:proofErr w:type="spellEnd"/>
      <w:r w:rsidRPr="00150339">
        <w:rPr>
          <w:sz w:val="20"/>
          <w:szCs w:val="20"/>
        </w:rPr>
        <w:t>, 82 patients (39.05%) developed CIN. Total 128</w:t>
      </w:r>
      <w:r w:rsidR="0095777C" w:rsidRPr="00150339">
        <w:rPr>
          <w:sz w:val="20"/>
          <w:szCs w:val="20"/>
        </w:rPr>
        <w:t>(15.24%)</w:t>
      </w:r>
      <w:r w:rsidRPr="00150339">
        <w:rPr>
          <w:sz w:val="20"/>
          <w:szCs w:val="20"/>
        </w:rPr>
        <w:t xml:space="preserve"> episodes of CIN were docume</w:t>
      </w:r>
      <w:r w:rsidR="00F85414" w:rsidRPr="00150339">
        <w:rPr>
          <w:sz w:val="20"/>
          <w:szCs w:val="20"/>
        </w:rPr>
        <w:t>nted</w:t>
      </w:r>
      <w:r w:rsidRPr="00150339">
        <w:rPr>
          <w:sz w:val="20"/>
          <w:szCs w:val="20"/>
        </w:rPr>
        <w:t>. Majority of</w:t>
      </w:r>
      <w:r w:rsidR="00A6548C" w:rsidRPr="00150339">
        <w:rPr>
          <w:sz w:val="20"/>
          <w:szCs w:val="20"/>
        </w:rPr>
        <w:t xml:space="preserve"> </w:t>
      </w:r>
      <w:proofErr w:type="spellStart"/>
      <w:r w:rsidRPr="00150339">
        <w:rPr>
          <w:sz w:val="20"/>
          <w:szCs w:val="20"/>
        </w:rPr>
        <w:t>neutropenic</w:t>
      </w:r>
      <w:proofErr w:type="spellEnd"/>
      <w:r w:rsidRPr="00150339">
        <w:rPr>
          <w:sz w:val="20"/>
          <w:szCs w:val="20"/>
        </w:rPr>
        <w:t xml:space="preserve"> breast cancer patients had triple negative </w:t>
      </w:r>
      <w:r w:rsidR="00F85414" w:rsidRPr="00150339">
        <w:rPr>
          <w:sz w:val="20"/>
          <w:szCs w:val="20"/>
        </w:rPr>
        <w:t>disease (n=27, 32.93</w:t>
      </w:r>
      <w:r w:rsidRPr="00150339">
        <w:rPr>
          <w:sz w:val="20"/>
          <w:szCs w:val="20"/>
        </w:rPr>
        <w:t>%) and majority (</w:t>
      </w:r>
      <w:r w:rsidR="007407F1" w:rsidRPr="00150339">
        <w:rPr>
          <w:sz w:val="20"/>
          <w:szCs w:val="20"/>
        </w:rPr>
        <w:t>n=48 episodes, 38.28</w:t>
      </w:r>
      <w:r w:rsidRPr="00150339">
        <w:rPr>
          <w:sz w:val="20"/>
          <w:szCs w:val="20"/>
        </w:rPr>
        <w:t xml:space="preserve">%) received </w:t>
      </w:r>
      <w:proofErr w:type="spellStart"/>
      <w:r w:rsidRPr="00150339">
        <w:rPr>
          <w:sz w:val="20"/>
          <w:szCs w:val="20"/>
        </w:rPr>
        <w:t>paclitaxel</w:t>
      </w:r>
      <w:proofErr w:type="spellEnd"/>
      <w:r w:rsidRPr="00150339">
        <w:rPr>
          <w:sz w:val="20"/>
          <w:szCs w:val="20"/>
        </w:rPr>
        <w:t xml:space="preserve"> in palliative setting followed by adjuvant (31.42%) and </w:t>
      </w:r>
      <w:proofErr w:type="spellStart"/>
      <w:r w:rsidRPr="00150339">
        <w:rPr>
          <w:sz w:val="20"/>
          <w:szCs w:val="20"/>
        </w:rPr>
        <w:t>neoadjuvant</w:t>
      </w:r>
      <w:proofErr w:type="spellEnd"/>
      <w:r w:rsidRPr="00150339">
        <w:rPr>
          <w:sz w:val="20"/>
          <w:szCs w:val="20"/>
        </w:rPr>
        <w:t xml:space="preserve"> (29.52%) setting. Grade I </w:t>
      </w:r>
      <w:proofErr w:type="spellStart"/>
      <w:r w:rsidRPr="00150339">
        <w:rPr>
          <w:sz w:val="20"/>
          <w:szCs w:val="20"/>
        </w:rPr>
        <w:t>neutropenia</w:t>
      </w:r>
      <w:proofErr w:type="spellEnd"/>
      <w:r w:rsidR="00FB626E" w:rsidRPr="00150339">
        <w:rPr>
          <w:sz w:val="20"/>
          <w:szCs w:val="20"/>
        </w:rPr>
        <w:t xml:space="preserve"> (51.22%) </w:t>
      </w:r>
      <w:r w:rsidRPr="00150339">
        <w:rPr>
          <w:sz w:val="20"/>
          <w:szCs w:val="20"/>
        </w:rPr>
        <w:t xml:space="preserve">was most common among </w:t>
      </w:r>
      <w:proofErr w:type="spellStart"/>
      <w:r w:rsidRPr="00150339">
        <w:rPr>
          <w:sz w:val="20"/>
          <w:szCs w:val="20"/>
        </w:rPr>
        <w:t>neutropenic</w:t>
      </w:r>
      <w:proofErr w:type="spellEnd"/>
      <w:r w:rsidRPr="00150339">
        <w:rPr>
          <w:sz w:val="20"/>
          <w:szCs w:val="20"/>
        </w:rPr>
        <w:t xml:space="preserve"> patie</w:t>
      </w:r>
      <w:r w:rsidR="00C4477E" w:rsidRPr="00150339">
        <w:rPr>
          <w:sz w:val="20"/>
          <w:szCs w:val="20"/>
        </w:rPr>
        <w:t>nts followed by Grade III (18.29</w:t>
      </w:r>
      <w:r w:rsidRPr="00150339">
        <w:rPr>
          <w:sz w:val="20"/>
          <w:szCs w:val="20"/>
        </w:rPr>
        <w:t>%) a</w:t>
      </w:r>
      <w:r w:rsidR="00C4477E" w:rsidRPr="00150339">
        <w:rPr>
          <w:sz w:val="20"/>
          <w:szCs w:val="20"/>
        </w:rPr>
        <w:t xml:space="preserve">nd </w:t>
      </w:r>
      <w:proofErr w:type="spellStart"/>
      <w:r w:rsidR="00C4477E" w:rsidRPr="00150339">
        <w:rPr>
          <w:sz w:val="20"/>
          <w:szCs w:val="20"/>
        </w:rPr>
        <w:t>Garde</w:t>
      </w:r>
      <w:proofErr w:type="spellEnd"/>
      <w:r w:rsidR="00C4477E" w:rsidRPr="00150339">
        <w:rPr>
          <w:sz w:val="20"/>
          <w:szCs w:val="20"/>
        </w:rPr>
        <w:t xml:space="preserve"> I</w:t>
      </w:r>
      <w:r w:rsidR="0056750E" w:rsidRPr="00150339">
        <w:rPr>
          <w:sz w:val="20"/>
          <w:szCs w:val="20"/>
        </w:rPr>
        <w:t xml:space="preserve">I </w:t>
      </w:r>
      <w:proofErr w:type="spellStart"/>
      <w:r w:rsidR="0056750E" w:rsidRPr="00150339">
        <w:rPr>
          <w:sz w:val="20"/>
          <w:szCs w:val="20"/>
        </w:rPr>
        <w:t>neutropenia</w:t>
      </w:r>
      <w:proofErr w:type="spellEnd"/>
      <w:r w:rsidR="0056750E" w:rsidRPr="00150339">
        <w:rPr>
          <w:sz w:val="20"/>
          <w:szCs w:val="20"/>
        </w:rPr>
        <w:t xml:space="preserve"> (17.07%). Total 7 (8.54</w:t>
      </w:r>
      <w:r w:rsidRPr="00150339">
        <w:rPr>
          <w:sz w:val="20"/>
          <w:szCs w:val="20"/>
        </w:rPr>
        <w:t xml:space="preserve">%) </w:t>
      </w:r>
      <w:r w:rsidR="00FB626E" w:rsidRPr="00150339">
        <w:rPr>
          <w:sz w:val="20"/>
          <w:szCs w:val="20"/>
        </w:rPr>
        <w:t xml:space="preserve">patients presented with FN. </w:t>
      </w:r>
      <w:r w:rsidR="00A751FE" w:rsidRPr="00150339">
        <w:rPr>
          <w:sz w:val="20"/>
          <w:szCs w:val="20"/>
        </w:rPr>
        <w:lastRenderedPageBreak/>
        <w:t>Among</w:t>
      </w:r>
      <w:r w:rsidR="0056750E" w:rsidRPr="00150339">
        <w:rPr>
          <w:sz w:val="20"/>
          <w:szCs w:val="20"/>
        </w:rPr>
        <w:t xml:space="preserve"> 7</w:t>
      </w:r>
      <w:r w:rsidRPr="00150339">
        <w:rPr>
          <w:sz w:val="20"/>
          <w:szCs w:val="20"/>
        </w:rPr>
        <w:t xml:space="preserve"> FN patients, </w:t>
      </w:r>
      <w:r w:rsidR="0056750E" w:rsidRPr="00150339">
        <w:rPr>
          <w:sz w:val="20"/>
          <w:szCs w:val="20"/>
        </w:rPr>
        <w:t>6</w:t>
      </w:r>
      <w:r w:rsidR="00FB626E" w:rsidRPr="00150339">
        <w:rPr>
          <w:sz w:val="20"/>
          <w:szCs w:val="20"/>
        </w:rPr>
        <w:t xml:space="preserve"> </w:t>
      </w:r>
      <w:r w:rsidR="0056750E" w:rsidRPr="00150339">
        <w:rPr>
          <w:sz w:val="20"/>
          <w:szCs w:val="20"/>
        </w:rPr>
        <w:t xml:space="preserve">had grade IV </w:t>
      </w:r>
      <w:proofErr w:type="spellStart"/>
      <w:r w:rsidR="0056750E" w:rsidRPr="00150339">
        <w:rPr>
          <w:sz w:val="20"/>
          <w:szCs w:val="20"/>
        </w:rPr>
        <w:t>neutropenia</w:t>
      </w:r>
      <w:proofErr w:type="spellEnd"/>
      <w:r w:rsidR="0056750E" w:rsidRPr="00150339">
        <w:rPr>
          <w:sz w:val="20"/>
          <w:szCs w:val="20"/>
        </w:rPr>
        <w:t xml:space="preserve"> while 1</w:t>
      </w:r>
      <w:r w:rsidR="002219F2" w:rsidRPr="00150339">
        <w:rPr>
          <w:sz w:val="20"/>
          <w:szCs w:val="20"/>
        </w:rPr>
        <w:t xml:space="preserve"> patient</w:t>
      </w:r>
      <w:r w:rsidRPr="00150339">
        <w:rPr>
          <w:sz w:val="20"/>
          <w:szCs w:val="20"/>
        </w:rPr>
        <w:t xml:space="preserve"> had gr</w:t>
      </w:r>
      <w:r w:rsidR="002134ED" w:rsidRPr="00150339">
        <w:rPr>
          <w:sz w:val="20"/>
          <w:szCs w:val="20"/>
        </w:rPr>
        <w:t>a</w:t>
      </w:r>
      <w:r w:rsidR="00FB626E" w:rsidRPr="00150339">
        <w:rPr>
          <w:sz w:val="20"/>
          <w:szCs w:val="20"/>
        </w:rPr>
        <w:t>de 3</w:t>
      </w:r>
      <w:r w:rsidRPr="00150339">
        <w:rPr>
          <w:sz w:val="20"/>
          <w:szCs w:val="20"/>
        </w:rPr>
        <w:t xml:space="preserve"> </w:t>
      </w:r>
      <w:proofErr w:type="spellStart"/>
      <w:r w:rsidRPr="00150339">
        <w:rPr>
          <w:sz w:val="20"/>
          <w:szCs w:val="20"/>
        </w:rPr>
        <w:t>neutropenia</w:t>
      </w:r>
      <w:proofErr w:type="spellEnd"/>
      <w:r w:rsidRPr="00150339">
        <w:rPr>
          <w:sz w:val="20"/>
          <w:szCs w:val="20"/>
        </w:rPr>
        <w:t xml:space="preserve">. </w:t>
      </w:r>
      <w:r w:rsidR="00A751FE" w:rsidRPr="00150339">
        <w:rPr>
          <w:sz w:val="20"/>
          <w:szCs w:val="20"/>
        </w:rPr>
        <w:t>(Figure 1, Table 3)</w:t>
      </w:r>
    </w:p>
    <w:p w:rsidR="009462A7" w:rsidRPr="00540D0C" w:rsidRDefault="009462A7" w:rsidP="00540D0C">
      <w:pPr>
        <w:pStyle w:val="NoSpacing"/>
        <w:jc w:val="both"/>
        <w:rPr>
          <w:sz w:val="20"/>
          <w:szCs w:val="20"/>
        </w:rPr>
      </w:pPr>
    </w:p>
    <w:p w:rsidR="009462A7" w:rsidRDefault="00015FAC" w:rsidP="00750194">
      <w:pPr>
        <w:autoSpaceDE w:val="0"/>
        <w:autoSpaceDN w:val="0"/>
        <w:adjustRightInd w:val="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noProof/>
          <w:color w:val="000000" w:themeColor="text1"/>
          <w:sz w:val="20"/>
          <w:szCs w:val="20"/>
        </w:rPr>
        <w:drawing>
          <wp:anchor distT="0" distB="0" distL="114300" distR="114300" simplePos="0" relativeHeight="251658240" behindDoc="0" locked="0" layoutInCell="1" allowOverlap="1">
            <wp:simplePos x="0" y="0"/>
            <wp:positionH relativeFrom="margin">
              <wp:posOffset>690880</wp:posOffset>
            </wp:positionH>
            <wp:positionV relativeFrom="margin">
              <wp:posOffset>476885</wp:posOffset>
            </wp:positionV>
            <wp:extent cx="3657600" cy="1861820"/>
            <wp:effectExtent l="19050" t="0" r="19050" b="508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9462A7" w:rsidRDefault="009462A7" w:rsidP="00750194">
      <w:pPr>
        <w:autoSpaceDE w:val="0"/>
        <w:autoSpaceDN w:val="0"/>
        <w:adjustRightInd w:val="0"/>
        <w:jc w:val="both"/>
        <w:rPr>
          <w:rFonts w:ascii="Times New Roman" w:eastAsia="Times New Roman" w:hAnsi="Times New Roman" w:cs="Times New Roman"/>
          <w:b/>
          <w:color w:val="000000" w:themeColor="text1"/>
          <w:sz w:val="20"/>
          <w:szCs w:val="20"/>
        </w:rPr>
      </w:pPr>
    </w:p>
    <w:p w:rsidR="009462A7" w:rsidRDefault="009462A7" w:rsidP="00750194">
      <w:pPr>
        <w:autoSpaceDE w:val="0"/>
        <w:autoSpaceDN w:val="0"/>
        <w:adjustRightInd w:val="0"/>
        <w:jc w:val="both"/>
        <w:rPr>
          <w:rFonts w:ascii="Times New Roman" w:eastAsia="Times New Roman" w:hAnsi="Times New Roman" w:cs="Times New Roman"/>
          <w:b/>
          <w:color w:val="000000" w:themeColor="text1"/>
          <w:sz w:val="20"/>
          <w:szCs w:val="20"/>
        </w:rPr>
      </w:pPr>
    </w:p>
    <w:p w:rsidR="00A07FDB" w:rsidRDefault="00A07FDB" w:rsidP="00D01818">
      <w:pPr>
        <w:autoSpaceDE w:val="0"/>
        <w:autoSpaceDN w:val="0"/>
        <w:adjustRightInd w:val="0"/>
        <w:jc w:val="center"/>
        <w:rPr>
          <w:rFonts w:ascii="Times New Roman" w:eastAsia="Times New Roman" w:hAnsi="Times New Roman" w:cs="Times New Roman"/>
          <w:b/>
          <w:color w:val="000000" w:themeColor="text1"/>
          <w:sz w:val="20"/>
          <w:szCs w:val="20"/>
        </w:rPr>
      </w:pPr>
    </w:p>
    <w:p w:rsidR="00A07FDB" w:rsidRDefault="00A07FDB" w:rsidP="00D01818">
      <w:pPr>
        <w:autoSpaceDE w:val="0"/>
        <w:autoSpaceDN w:val="0"/>
        <w:adjustRightInd w:val="0"/>
        <w:jc w:val="center"/>
        <w:rPr>
          <w:rFonts w:ascii="Times New Roman" w:eastAsia="Times New Roman" w:hAnsi="Times New Roman" w:cs="Times New Roman"/>
          <w:b/>
          <w:color w:val="000000" w:themeColor="text1"/>
          <w:sz w:val="20"/>
          <w:szCs w:val="20"/>
        </w:rPr>
      </w:pPr>
    </w:p>
    <w:p w:rsidR="00A07FDB" w:rsidRDefault="00A07FDB" w:rsidP="00D01818">
      <w:pPr>
        <w:autoSpaceDE w:val="0"/>
        <w:autoSpaceDN w:val="0"/>
        <w:adjustRightInd w:val="0"/>
        <w:jc w:val="center"/>
        <w:rPr>
          <w:rFonts w:ascii="Times New Roman" w:eastAsia="Times New Roman" w:hAnsi="Times New Roman" w:cs="Times New Roman"/>
          <w:b/>
          <w:color w:val="000000" w:themeColor="text1"/>
          <w:sz w:val="20"/>
          <w:szCs w:val="20"/>
        </w:rPr>
      </w:pPr>
    </w:p>
    <w:p w:rsidR="00015FAC" w:rsidRDefault="00015FAC" w:rsidP="00D01818">
      <w:pPr>
        <w:autoSpaceDE w:val="0"/>
        <w:autoSpaceDN w:val="0"/>
        <w:adjustRightInd w:val="0"/>
        <w:jc w:val="center"/>
        <w:rPr>
          <w:rFonts w:ascii="Times New Roman" w:eastAsia="Times New Roman" w:hAnsi="Times New Roman" w:cs="Times New Roman"/>
          <w:b/>
          <w:color w:val="000000" w:themeColor="text1"/>
          <w:sz w:val="20"/>
          <w:szCs w:val="20"/>
        </w:rPr>
      </w:pPr>
    </w:p>
    <w:p w:rsidR="00EA6369" w:rsidRDefault="00C91954" w:rsidP="00D01818">
      <w:pPr>
        <w:autoSpaceDE w:val="0"/>
        <w:autoSpaceDN w:val="0"/>
        <w:adjustRightInd w:val="0"/>
        <w:jc w:val="center"/>
        <w:rPr>
          <w:rFonts w:ascii="Times New Roman" w:hAnsi="Times New Roman" w:cs="Times New Roman"/>
          <w:b/>
          <w:bCs/>
          <w:color w:val="000000" w:themeColor="text1"/>
          <w:sz w:val="20"/>
          <w:szCs w:val="20"/>
        </w:rPr>
      </w:pPr>
      <w:r w:rsidRPr="009462A7">
        <w:rPr>
          <w:rFonts w:ascii="Times New Roman" w:eastAsia="Times New Roman" w:hAnsi="Times New Roman" w:cs="Times New Roman"/>
          <w:b/>
          <w:color w:val="000000" w:themeColor="text1"/>
          <w:sz w:val="20"/>
          <w:szCs w:val="20"/>
        </w:rPr>
        <w:t xml:space="preserve">Figure 1: </w:t>
      </w:r>
      <w:r w:rsidRPr="009462A7">
        <w:rPr>
          <w:rFonts w:ascii="Times New Roman" w:hAnsi="Times New Roman" w:cs="Times New Roman"/>
          <w:b/>
          <w:bCs/>
          <w:color w:val="000000" w:themeColor="text1"/>
          <w:sz w:val="20"/>
          <w:szCs w:val="20"/>
        </w:rPr>
        <w:t xml:space="preserve">Receptor status in </w:t>
      </w:r>
      <w:proofErr w:type="spellStart"/>
      <w:r w:rsidRPr="009462A7">
        <w:rPr>
          <w:rFonts w:ascii="Times New Roman" w:hAnsi="Times New Roman" w:cs="Times New Roman"/>
          <w:b/>
          <w:bCs/>
          <w:color w:val="000000" w:themeColor="text1"/>
          <w:sz w:val="20"/>
          <w:szCs w:val="20"/>
        </w:rPr>
        <w:t>Neutropenic</w:t>
      </w:r>
      <w:proofErr w:type="spellEnd"/>
      <w:r w:rsidRPr="009462A7">
        <w:rPr>
          <w:rFonts w:ascii="Times New Roman" w:hAnsi="Times New Roman" w:cs="Times New Roman"/>
          <w:b/>
          <w:bCs/>
          <w:color w:val="000000" w:themeColor="text1"/>
          <w:sz w:val="20"/>
          <w:szCs w:val="20"/>
        </w:rPr>
        <w:t xml:space="preserve"> patients</w:t>
      </w:r>
    </w:p>
    <w:p w:rsidR="00EA6369" w:rsidRPr="00EA6369" w:rsidRDefault="00EA6369" w:rsidP="00EA6369">
      <w:pPr>
        <w:autoSpaceDE w:val="0"/>
        <w:autoSpaceDN w:val="0"/>
        <w:adjustRightInd w:val="0"/>
        <w:rPr>
          <w:rFonts w:ascii="Times New Roman" w:hAnsi="Times New Roman" w:cs="Times New Roman"/>
          <w:bCs/>
          <w:color w:val="000000" w:themeColor="text1"/>
          <w:sz w:val="20"/>
          <w:szCs w:val="20"/>
        </w:rPr>
      </w:pPr>
      <w:r w:rsidRPr="00EA6369">
        <w:rPr>
          <w:rFonts w:ascii="Times New Roman" w:hAnsi="Times New Roman" w:cs="Times New Roman"/>
          <w:b/>
          <w:bCs/>
          <w:color w:val="000000" w:themeColor="text1"/>
          <w:sz w:val="20"/>
          <w:szCs w:val="20"/>
        </w:rPr>
        <w:t>Abbreviations</w:t>
      </w:r>
      <w:r w:rsidRPr="00EA6369">
        <w:rPr>
          <w:rFonts w:ascii="Times New Roman" w:hAnsi="Times New Roman" w:cs="Times New Roman"/>
          <w:bCs/>
          <w:color w:val="000000" w:themeColor="text1"/>
          <w:sz w:val="20"/>
          <w:szCs w:val="20"/>
        </w:rPr>
        <w:t xml:space="preserve">: HR, Hormone receptor; </w:t>
      </w:r>
      <w:r>
        <w:rPr>
          <w:rFonts w:ascii="Times New Roman" w:hAnsi="Times New Roman" w:cs="Times New Roman"/>
          <w:bCs/>
          <w:color w:val="000000" w:themeColor="text1"/>
          <w:sz w:val="20"/>
          <w:szCs w:val="20"/>
        </w:rPr>
        <w:t>Her2neu</w:t>
      </w:r>
      <w:proofErr w:type="gramStart"/>
      <w:r>
        <w:rPr>
          <w:rFonts w:ascii="Times New Roman" w:hAnsi="Times New Roman" w:cs="Times New Roman"/>
          <w:bCs/>
          <w:color w:val="000000" w:themeColor="text1"/>
          <w:sz w:val="20"/>
          <w:szCs w:val="20"/>
        </w:rPr>
        <w:t>,Human</w:t>
      </w:r>
      <w:proofErr w:type="gramEnd"/>
      <w:r>
        <w:rPr>
          <w:rFonts w:ascii="Times New Roman" w:hAnsi="Times New Roman" w:cs="Times New Roman"/>
          <w:bCs/>
          <w:color w:val="000000" w:themeColor="text1"/>
          <w:sz w:val="20"/>
          <w:szCs w:val="20"/>
        </w:rPr>
        <w:t xml:space="preserve"> epidermal growth factor 2; </w:t>
      </w:r>
      <w:r w:rsidRPr="00EA6369">
        <w:rPr>
          <w:rFonts w:ascii="Times New Roman" w:hAnsi="Times New Roman" w:cs="Times New Roman"/>
          <w:bCs/>
          <w:color w:val="000000" w:themeColor="text1"/>
          <w:sz w:val="20"/>
          <w:szCs w:val="20"/>
        </w:rPr>
        <w:t>TNBC, Triple negative breast cancer</w:t>
      </w:r>
    </w:p>
    <w:p w:rsidR="009758D3" w:rsidRPr="00D01818" w:rsidRDefault="009758D3" w:rsidP="00D01818">
      <w:pPr>
        <w:autoSpaceDE w:val="0"/>
        <w:autoSpaceDN w:val="0"/>
        <w:adjustRightInd w:val="0"/>
        <w:jc w:val="both"/>
        <w:rPr>
          <w:rFonts w:ascii="Times New Roman" w:hAnsi="Times New Roman" w:cs="Times New Roman"/>
          <w:b/>
          <w:color w:val="000000" w:themeColor="text1"/>
          <w:sz w:val="20"/>
          <w:szCs w:val="20"/>
        </w:rPr>
      </w:pPr>
      <w:r w:rsidRPr="00CF7510">
        <w:rPr>
          <w:rFonts w:ascii="Times New Roman" w:hAnsi="Times New Roman" w:cs="Times New Roman"/>
          <w:color w:val="000000"/>
          <w:sz w:val="20"/>
          <w:szCs w:val="20"/>
          <w:lang w:val="en-IN"/>
        </w:rPr>
        <w:t xml:space="preserve">Most of the CIN patients were asymptomatic at presentation while 9 </w:t>
      </w:r>
      <w:r w:rsidR="00D01818">
        <w:rPr>
          <w:rFonts w:ascii="Times New Roman" w:hAnsi="Times New Roman" w:cs="Times New Roman"/>
          <w:color w:val="000000"/>
          <w:sz w:val="20"/>
          <w:szCs w:val="20"/>
          <w:lang w:val="en-IN"/>
        </w:rPr>
        <w:t xml:space="preserve">patients present with fever and </w:t>
      </w:r>
      <w:r w:rsidRPr="00CF7510">
        <w:rPr>
          <w:rFonts w:ascii="Times New Roman" w:hAnsi="Times New Roman" w:cs="Times New Roman"/>
          <w:color w:val="000000"/>
          <w:sz w:val="20"/>
          <w:szCs w:val="20"/>
          <w:lang w:val="en-IN"/>
        </w:rPr>
        <w:t xml:space="preserve">3 patients presented with </w:t>
      </w:r>
      <w:proofErr w:type="spellStart"/>
      <w:r w:rsidRPr="00CF7510">
        <w:rPr>
          <w:rFonts w:ascii="Times New Roman" w:hAnsi="Times New Roman" w:cs="Times New Roman"/>
          <w:color w:val="000000"/>
          <w:sz w:val="20"/>
          <w:szCs w:val="20"/>
          <w:lang w:val="en-IN"/>
        </w:rPr>
        <w:t>diarrhea</w:t>
      </w:r>
      <w:proofErr w:type="spellEnd"/>
      <w:r w:rsidRPr="00CF7510">
        <w:rPr>
          <w:rFonts w:ascii="Times New Roman" w:hAnsi="Times New Roman" w:cs="Times New Roman"/>
          <w:color w:val="000000"/>
          <w:sz w:val="20"/>
          <w:szCs w:val="20"/>
          <w:lang w:val="en-IN"/>
        </w:rPr>
        <w:t>.</w:t>
      </w:r>
    </w:p>
    <w:p w:rsidR="009E2953" w:rsidRPr="00150339" w:rsidRDefault="00A751FE" w:rsidP="00150339">
      <w:pPr>
        <w:autoSpaceDE w:val="0"/>
        <w:autoSpaceDN w:val="0"/>
        <w:adjustRightInd w:val="0"/>
        <w:jc w:val="center"/>
        <w:rPr>
          <w:rFonts w:ascii="Times New Roman" w:hAnsi="Times New Roman" w:cs="Times New Roman"/>
          <w:b/>
          <w:color w:val="000000"/>
          <w:sz w:val="20"/>
          <w:szCs w:val="20"/>
          <w:lang w:val="en-IN"/>
        </w:rPr>
      </w:pPr>
      <w:r w:rsidRPr="00150339">
        <w:rPr>
          <w:rFonts w:ascii="Times New Roman" w:hAnsi="Times New Roman" w:cs="Times New Roman"/>
          <w:b/>
          <w:color w:val="000000"/>
          <w:sz w:val="20"/>
          <w:szCs w:val="20"/>
          <w:lang w:val="en-IN"/>
        </w:rPr>
        <w:t>Table 3</w:t>
      </w:r>
      <w:r w:rsidR="004B1470" w:rsidRPr="00150339">
        <w:rPr>
          <w:rFonts w:ascii="Times New Roman" w:hAnsi="Times New Roman" w:cs="Times New Roman"/>
          <w:b/>
          <w:color w:val="000000"/>
          <w:sz w:val="20"/>
          <w:szCs w:val="20"/>
          <w:lang w:val="en-IN"/>
        </w:rPr>
        <w:t xml:space="preserve">: </w:t>
      </w:r>
      <w:proofErr w:type="spellStart"/>
      <w:r w:rsidR="004B1470" w:rsidRPr="00150339">
        <w:rPr>
          <w:rFonts w:ascii="Times New Roman" w:hAnsi="Times New Roman" w:cs="Times New Roman"/>
          <w:b/>
          <w:color w:val="000000"/>
          <w:sz w:val="20"/>
          <w:szCs w:val="20"/>
          <w:lang w:val="en-IN"/>
        </w:rPr>
        <w:t>Neutropenic</w:t>
      </w:r>
      <w:proofErr w:type="spellEnd"/>
      <w:r w:rsidR="004B1470" w:rsidRPr="00150339">
        <w:rPr>
          <w:rFonts w:ascii="Times New Roman" w:hAnsi="Times New Roman" w:cs="Times New Roman"/>
          <w:b/>
          <w:color w:val="000000"/>
          <w:sz w:val="20"/>
          <w:szCs w:val="20"/>
          <w:lang w:val="en-IN"/>
        </w:rPr>
        <w:t xml:space="preserve"> events in the present study</w:t>
      </w:r>
    </w:p>
    <w:tbl>
      <w:tblPr>
        <w:tblStyle w:val="TableGrid"/>
        <w:tblW w:w="0" w:type="auto"/>
        <w:tblInd w:w="288" w:type="dxa"/>
        <w:tblLook w:val="04A0"/>
      </w:tblPr>
      <w:tblGrid>
        <w:gridCol w:w="1170"/>
        <w:gridCol w:w="2970"/>
        <w:gridCol w:w="3060"/>
      </w:tblGrid>
      <w:tr w:rsidR="00322614" w:rsidRPr="00CF7510" w:rsidTr="009462A7">
        <w:trPr>
          <w:trHeight w:val="109"/>
        </w:trPr>
        <w:tc>
          <w:tcPr>
            <w:tcW w:w="11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Serial no.</w:t>
            </w: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Parameters</w:t>
            </w:r>
          </w:p>
        </w:tc>
        <w:tc>
          <w:tcPr>
            <w:tcW w:w="306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No.(n=210)</w:t>
            </w:r>
          </w:p>
        </w:tc>
      </w:tr>
      <w:tr w:rsidR="00322614" w:rsidRPr="00CF7510" w:rsidTr="009462A7">
        <w:tc>
          <w:tcPr>
            <w:tcW w:w="11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w:t>
            </w: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Total no</w:t>
            </w:r>
            <w:r w:rsidR="002134ED" w:rsidRPr="00A07FDB">
              <w:rPr>
                <w:rFonts w:ascii="Times New Roman" w:hAnsi="Times New Roman" w:cs="Times New Roman"/>
                <w:color w:val="000000"/>
                <w:sz w:val="18"/>
                <w:szCs w:val="18"/>
                <w:lang w:val="en-IN"/>
              </w:rPr>
              <w:t>.</w:t>
            </w:r>
            <w:r w:rsidRPr="00A07FDB">
              <w:rPr>
                <w:rFonts w:ascii="Times New Roman" w:hAnsi="Times New Roman" w:cs="Times New Roman"/>
                <w:color w:val="000000"/>
                <w:sz w:val="18"/>
                <w:szCs w:val="18"/>
                <w:lang w:val="en-IN"/>
              </w:rPr>
              <w:t xml:space="preserve"> of </w:t>
            </w:r>
            <w:r w:rsidR="002134ED" w:rsidRPr="00A07FDB">
              <w:rPr>
                <w:rFonts w:ascii="Times New Roman" w:hAnsi="Times New Roman" w:cs="Times New Roman"/>
                <w:color w:val="000000"/>
                <w:sz w:val="18"/>
                <w:szCs w:val="18"/>
                <w:lang w:val="en-IN"/>
              </w:rPr>
              <w:t xml:space="preserve">patients developing </w:t>
            </w:r>
            <w:r w:rsidRPr="00A07FDB">
              <w:rPr>
                <w:rFonts w:ascii="Times New Roman" w:hAnsi="Times New Roman" w:cs="Times New Roman"/>
                <w:color w:val="000000"/>
                <w:sz w:val="18"/>
                <w:szCs w:val="18"/>
                <w:lang w:val="en-IN"/>
              </w:rPr>
              <w:t xml:space="preserve">CIN </w:t>
            </w:r>
          </w:p>
        </w:tc>
        <w:tc>
          <w:tcPr>
            <w:tcW w:w="3060" w:type="dxa"/>
          </w:tcPr>
          <w:p w:rsidR="00322614" w:rsidRPr="00A07FDB" w:rsidRDefault="002A1D8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82 (39.05</w:t>
            </w:r>
            <w:r w:rsidR="00322614" w:rsidRPr="00A07FDB">
              <w:rPr>
                <w:rFonts w:ascii="Times New Roman" w:hAnsi="Times New Roman" w:cs="Times New Roman"/>
                <w:color w:val="000000"/>
                <w:sz w:val="18"/>
                <w:szCs w:val="18"/>
                <w:lang w:val="en-IN"/>
              </w:rPr>
              <w:t>%)</w:t>
            </w:r>
          </w:p>
        </w:tc>
      </w:tr>
      <w:tr w:rsidR="00F26918" w:rsidRPr="00CF7510" w:rsidTr="009462A7">
        <w:tc>
          <w:tcPr>
            <w:tcW w:w="1170" w:type="dxa"/>
            <w:vMerge w:val="restart"/>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2.</w:t>
            </w:r>
          </w:p>
        </w:tc>
        <w:tc>
          <w:tcPr>
            <w:tcW w:w="6030" w:type="dxa"/>
            <w:gridSpan w:val="2"/>
          </w:tcPr>
          <w:p w:rsidR="00F26918" w:rsidRPr="00A07FDB" w:rsidRDefault="002134ED"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Grades of </w:t>
            </w:r>
            <w:proofErr w:type="spellStart"/>
            <w:r w:rsidR="00F26918" w:rsidRPr="00A07FDB">
              <w:rPr>
                <w:rFonts w:ascii="Times New Roman" w:hAnsi="Times New Roman" w:cs="Times New Roman"/>
                <w:color w:val="000000"/>
                <w:sz w:val="18"/>
                <w:szCs w:val="18"/>
                <w:lang w:val="en-IN"/>
              </w:rPr>
              <w:t>Neutropenia</w:t>
            </w:r>
            <w:proofErr w:type="spellEnd"/>
          </w:p>
        </w:tc>
      </w:tr>
      <w:tr w:rsidR="00F26918" w:rsidRPr="00CF7510" w:rsidTr="009462A7">
        <w:tc>
          <w:tcPr>
            <w:tcW w:w="1170" w:type="dxa"/>
            <w:vMerge/>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Grade I </w:t>
            </w:r>
          </w:p>
        </w:tc>
        <w:tc>
          <w:tcPr>
            <w:tcW w:w="3060" w:type="dxa"/>
          </w:tcPr>
          <w:p w:rsidR="00F26918" w:rsidRPr="00A07FDB" w:rsidRDefault="00FB626E"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42 (51.22</w:t>
            </w:r>
            <w:r w:rsidR="00F26918" w:rsidRPr="00A07FDB">
              <w:rPr>
                <w:rFonts w:ascii="Times New Roman" w:hAnsi="Times New Roman" w:cs="Times New Roman"/>
                <w:color w:val="000000"/>
                <w:sz w:val="18"/>
                <w:szCs w:val="18"/>
                <w:lang w:val="en-IN"/>
              </w:rPr>
              <w:t>%)</w:t>
            </w:r>
          </w:p>
        </w:tc>
      </w:tr>
      <w:tr w:rsidR="00F26918" w:rsidRPr="00CF7510" w:rsidTr="009462A7">
        <w:tc>
          <w:tcPr>
            <w:tcW w:w="1170" w:type="dxa"/>
            <w:vMerge/>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Grade II </w:t>
            </w:r>
          </w:p>
        </w:tc>
        <w:tc>
          <w:tcPr>
            <w:tcW w:w="3060" w:type="dxa"/>
          </w:tcPr>
          <w:p w:rsidR="00F26918" w:rsidRPr="00A07FDB" w:rsidRDefault="00FB626E"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14 (17.07</w:t>
            </w:r>
            <w:r w:rsidR="00F26918" w:rsidRPr="00A07FDB">
              <w:rPr>
                <w:rFonts w:ascii="Times New Roman" w:hAnsi="Times New Roman" w:cs="Times New Roman"/>
                <w:color w:val="000000"/>
                <w:sz w:val="18"/>
                <w:szCs w:val="18"/>
                <w:lang w:val="en-IN"/>
              </w:rPr>
              <w:t>%)</w:t>
            </w:r>
          </w:p>
        </w:tc>
      </w:tr>
      <w:tr w:rsidR="00F26918" w:rsidRPr="00CF7510" w:rsidTr="009462A7">
        <w:tc>
          <w:tcPr>
            <w:tcW w:w="1170" w:type="dxa"/>
            <w:vMerge/>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Grade III </w:t>
            </w:r>
          </w:p>
        </w:tc>
        <w:tc>
          <w:tcPr>
            <w:tcW w:w="3060" w:type="dxa"/>
          </w:tcPr>
          <w:p w:rsidR="00F26918" w:rsidRPr="00A07FDB" w:rsidRDefault="00FB626E"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15 (18.29</w:t>
            </w:r>
            <w:r w:rsidR="00F26918" w:rsidRPr="00A07FDB">
              <w:rPr>
                <w:rFonts w:ascii="Times New Roman" w:hAnsi="Times New Roman" w:cs="Times New Roman"/>
                <w:color w:val="000000"/>
                <w:sz w:val="18"/>
                <w:szCs w:val="18"/>
                <w:lang w:val="en-IN"/>
              </w:rPr>
              <w:t>%)</w:t>
            </w:r>
          </w:p>
        </w:tc>
      </w:tr>
      <w:tr w:rsidR="00F26918" w:rsidRPr="00CF7510" w:rsidTr="009462A7">
        <w:tc>
          <w:tcPr>
            <w:tcW w:w="1170" w:type="dxa"/>
            <w:vMerge/>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F26918" w:rsidRPr="00A07FDB" w:rsidRDefault="00F26918"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IV</w:t>
            </w:r>
          </w:p>
        </w:tc>
        <w:tc>
          <w:tcPr>
            <w:tcW w:w="3060" w:type="dxa"/>
          </w:tcPr>
          <w:p w:rsidR="00F26918" w:rsidRPr="00A07FDB" w:rsidRDefault="00FB626E"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11 (13.41%)</w:t>
            </w:r>
          </w:p>
        </w:tc>
      </w:tr>
      <w:tr w:rsidR="00322614" w:rsidRPr="00CF7510" w:rsidTr="009462A7">
        <w:tc>
          <w:tcPr>
            <w:tcW w:w="11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w:t>
            </w: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Total episodes of CIN </w:t>
            </w:r>
          </w:p>
        </w:tc>
        <w:tc>
          <w:tcPr>
            <w:tcW w:w="3060" w:type="dxa"/>
          </w:tcPr>
          <w:p w:rsidR="00322614" w:rsidRPr="00A07FDB" w:rsidRDefault="0095777C" w:rsidP="002134ED">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128 (15.24%)</w:t>
            </w:r>
          </w:p>
        </w:tc>
      </w:tr>
      <w:tr w:rsidR="00322614" w:rsidRPr="00CF7510" w:rsidTr="009462A7">
        <w:tc>
          <w:tcPr>
            <w:tcW w:w="11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w:t>
            </w: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Patients presented with FN</w:t>
            </w:r>
          </w:p>
        </w:tc>
        <w:tc>
          <w:tcPr>
            <w:tcW w:w="3060" w:type="dxa"/>
          </w:tcPr>
          <w:p w:rsidR="00322614" w:rsidRPr="00A07FDB" w:rsidRDefault="0056750E"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7 (8.54</w:t>
            </w:r>
            <w:r w:rsidR="00322614" w:rsidRPr="00A07FDB">
              <w:rPr>
                <w:rFonts w:ascii="Times New Roman" w:hAnsi="Times New Roman" w:cs="Times New Roman"/>
                <w:color w:val="000000"/>
                <w:sz w:val="18"/>
                <w:szCs w:val="18"/>
                <w:lang w:val="en-IN"/>
              </w:rPr>
              <w:t>%)</w:t>
            </w:r>
          </w:p>
        </w:tc>
      </w:tr>
      <w:tr w:rsidR="00322614" w:rsidRPr="00CF7510" w:rsidTr="009462A7">
        <w:tc>
          <w:tcPr>
            <w:tcW w:w="1170" w:type="dxa"/>
            <w:vMerge w:val="restart"/>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5.</w:t>
            </w:r>
          </w:p>
        </w:tc>
        <w:tc>
          <w:tcPr>
            <w:tcW w:w="6030" w:type="dxa"/>
            <w:gridSpan w:val="2"/>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eastAsia="Times New Roman" w:hAnsi="Times New Roman" w:cs="Times New Roman"/>
                <w:color w:val="000000" w:themeColor="text1"/>
                <w:sz w:val="18"/>
                <w:szCs w:val="18"/>
              </w:rPr>
              <w:t>Chemotherapy setting</w:t>
            </w:r>
            <w:r w:rsidR="002134ED" w:rsidRPr="00A07FDB">
              <w:rPr>
                <w:rFonts w:ascii="Times New Roman" w:eastAsia="Times New Roman" w:hAnsi="Times New Roman" w:cs="Times New Roman"/>
                <w:color w:val="000000" w:themeColor="text1"/>
                <w:sz w:val="18"/>
                <w:szCs w:val="18"/>
              </w:rPr>
              <w:t xml:space="preserve"> in </w:t>
            </w:r>
            <w:proofErr w:type="spellStart"/>
            <w:r w:rsidR="002134ED" w:rsidRPr="00A07FDB">
              <w:rPr>
                <w:rFonts w:ascii="Times New Roman" w:eastAsia="Times New Roman" w:hAnsi="Times New Roman" w:cs="Times New Roman"/>
                <w:color w:val="000000" w:themeColor="text1"/>
                <w:sz w:val="18"/>
                <w:szCs w:val="18"/>
              </w:rPr>
              <w:t>Neutropenic</w:t>
            </w:r>
            <w:proofErr w:type="spellEnd"/>
            <w:r w:rsidR="002134ED" w:rsidRPr="00A07FDB">
              <w:rPr>
                <w:rFonts w:ascii="Times New Roman" w:eastAsia="Times New Roman" w:hAnsi="Times New Roman" w:cs="Times New Roman"/>
                <w:color w:val="000000" w:themeColor="text1"/>
                <w:sz w:val="18"/>
                <w:szCs w:val="18"/>
              </w:rPr>
              <w:t xml:space="preserve"> patients </w:t>
            </w:r>
          </w:p>
        </w:tc>
      </w:tr>
      <w:tr w:rsidR="00322614" w:rsidRPr="00CF7510" w:rsidTr="009462A7">
        <w:tc>
          <w:tcPr>
            <w:tcW w:w="1170" w:type="dxa"/>
            <w:vMerge/>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proofErr w:type="spellStart"/>
            <w:r w:rsidRPr="00A07FDB">
              <w:rPr>
                <w:rFonts w:ascii="Times New Roman" w:hAnsi="Times New Roman" w:cs="Times New Roman"/>
                <w:color w:val="000000"/>
                <w:sz w:val="18"/>
                <w:szCs w:val="18"/>
                <w:lang w:val="en-IN"/>
              </w:rPr>
              <w:t>Neoadjuvant</w:t>
            </w:r>
            <w:proofErr w:type="spellEnd"/>
          </w:p>
        </w:tc>
        <w:tc>
          <w:tcPr>
            <w:tcW w:w="3060" w:type="dxa"/>
          </w:tcPr>
          <w:p w:rsidR="00322614" w:rsidRPr="00A07FDB" w:rsidRDefault="007407F1"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37</w:t>
            </w:r>
            <w:r w:rsidR="0095777C" w:rsidRPr="00A07FDB">
              <w:rPr>
                <w:rFonts w:ascii="Times New Roman" w:hAnsi="Times New Roman" w:cs="Times New Roman"/>
                <w:color w:val="000000"/>
                <w:sz w:val="18"/>
                <w:szCs w:val="18"/>
                <w:lang w:val="en-IN"/>
              </w:rPr>
              <w:t xml:space="preserve"> (28.90%)</w:t>
            </w:r>
          </w:p>
        </w:tc>
      </w:tr>
      <w:tr w:rsidR="00322614" w:rsidRPr="00CF7510" w:rsidTr="009462A7">
        <w:tc>
          <w:tcPr>
            <w:tcW w:w="1170" w:type="dxa"/>
            <w:vMerge/>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Adjuvant</w:t>
            </w:r>
          </w:p>
        </w:tc>
        <w:tc>
          <w:tcPr>
            <w:tcW w:w="3060" w:type="dxa"/>
          </w:tcPr>
          <w:p w:rsidR="00322614" w:rsidRPr="00A07FDB" w:rsidRDefault="007407F1"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43</w:t>
            </w:r>
            <w:r w:rsidR="0095777C" w:rsidRPr="00A07FDB">
              <w:rPr>
                <w:rFonts w:ascii="Times New Roman" w:hAnsi="Times New Roman" w:cs="Times New Roman"/>
                <w:color w:val="000000"/>
                <w:sz w:val="18"/>
                <w:szCs w:val="18"/>
                <w:lang w:val="en-IN"/>
              </w:rPr>
              <w:t xml:space="preserve"> (33.59%)</w:t>
            </w:r>
          </w:p>
        </w:tc>
      </w:tr>
      <w:tr w:rsidR="00322614" w:rsidRPr="00CF7510" w:rsidTr="009462A7">
        <w:tc>
          <w:tcPr>
            <w:tcW w:w="1170" w:type="dxa"/>
            <w:vMerge/>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p>
        </w:tc>
        <w:tc>
          <w:tcPr>
            <w:tcW w:w="2970" w:type="dxa"/>
          </w:tcPr>
          <w:p w:rsidR="00322614" w:rsidRPr="00A07FDB" w:rsidRDefault="00322614"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Palliative</w:t>
            </w:r>
          </w:p>
        </w:tc>
        <w:tc>
          <w:tcPr>
            <w:tcW w:w="3060" w:type="dxa"/>
          </w:tcPr>
          <w:p w:rsidR="00322614" w:rsidRPr="00A07FDB" w:rsidRDefault="007407F1"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48 (</w:t>
            </w:r>
            <w:r w:rsidR="0095777C" w:rsidRPr="00A07FDB">
              <w:rPr>
                <w:rFonts w:ascii="Times New Roman" w:hAnsi="Times New Roman" w:cs="Times New Roman"/>
                <w:color w:val="000000"/>
                <w:sz w:val="18"/>
                <w:szCs w:val="18"/>
                <w:lang w:val="en-IN"/>
              </w:rPr>
              <w:t>37.5</w:t>
            </w:r>
            <w:r w:rsidRPr="00A07FDB">
              <w:rPr>
                <w:rFonts w:ascii="Times New Roman" w:hAnsi="Times New Roman" w:cs="Times New Roman"/>
                <w:color w:val="000000"/>
                <w:sz w:val="18"/>
                <w:szCs w:val="18"/>
                <w:lang w:val="en-IN"/>
              </w:rPr>
              <w:t>%)</w:t>
            </w:r>
            <w:r w:rsidR="002134ED" w:rsidRPr="00A07FDB">
              <w:rPr>
                <w:rFonts w:ascii="Times New Roman" w:hAnsi="Times New Roman" w:cs="Times New Roman"/>
                <w:color w:val="000000"/>
                <w:sz w:val="18"/>
                <w:szCs w:val="18"/>
                <w:lang w:val="en-IN"/>
              </w:rPr>
              <w:t xml:space="preserve"> </w:t>
            </w:r>
          </w:p>
        </w:tc>
      </w:tr>
    </w:tbl>
    <w:p w:rsidR="003111BE" w:rsidRPr="009462A7" w:rsidRDefault="003111BE" w:rsidP="003111BE">
      <w:pPr>
        <w:widowControl w:val="0"/>
        <w:tabs>
          <w:tab w:val="left" w:pos="90"/>
        </w:tabs>
        <w:autoSpaceDE w:val="0"/>
        <w:autoSpaceDN w:val="0"/>
        <w:adjustRightInd w:val="0"/>
        <w:spacing w:before="120" w:after="120" w:line="0" w:lineRule="atLeast"/>
        <w:contextualSpacing/>
        <w:rPr>
          <w:rFonts w:ascii="Times New Roman" w:eastAsia="Times New Roman" w:hAnsi="Times New Roman" w:cs="Times New Roman"/>
          <w:b/>
          <w:color w:val="000000" w:themeColor="text1"/>
          <w:sz w:val="28"/>
          <w:szCs w:val="28"/>
        </w:rPr>
      </w:pPr>
    </w:p>
    <w:p w:rsidR="00150339" w:rsidRDefault="009758D3" w:rsidP="00150339">
      <w:pPr>
        <w:autoSpaceDE w:val="0"/>
        <w:autoSpaceDN w:val="0"/>
        <w:adjustRightInd w:val="0"/>
        <w:jc w:val="both"/>
        <w:rPr>
          <w:rFonts w:ascii="Times New Roman" w:eastAsia="Times New Roman" w:hAnsi="Times New Roman" w:cs="Times New Roman"/>
          <w:b/>
          <w:color w:val="000000" w:themeColor="text1"/>
          <w:sz w:val="20"/>
          <w:szCs w:val="20"/>
        </w:rPr>
      </w:pPr>
      <w:r w:rsidRPr="00150339">
        <w:rPr>
          <w:rFonts w:ascii="Times New Roman" w:eastAsia="Times New Roman" w:hAnsi="Times New Roman" w:cs="Times New Roman"/>
          <w:b/>
          <w:color w:val="000000" w:themeColor="text1"/>
          <w:sz w:val="20"/>
          <w:szCs w:val="20"/>
        </w:rPr>
        <w:t xml:space="preserve">Risk factors of CIN: </w:t>
      </w:r>
    </w:p>
    <w:p w:rsidR="00CF7510" w:rsidRDefault="009758D3" w:rsidP="00150339">
      <w:pPr>
        <w:autoSpaceDE w:val="0"/>
        <w:autoSpaceDN w:val="0"/>
        <w:adjustRightInd w:val="0"/>
        <w:jc w:val="both"/>
        <w:rPr>
          <w:rFonts w:ascii="Times New Roman" w:eastAsia="Times New Roman" w:hAnsi="Times New Roman" w:cs="Times New Roman"/>
          <w:b/>
          <w:color w:val="000000" w:themeColor="text1"/>
          <w:sz w:val="20"/>
          <w:szCs w:val="20"/>
        </w:rPr>
      </w:pPr>
      <w:r w:rsidRPr="00CF7510">
        <w:rPr>
          <w:rFonts w:ascii="Times New Roman" w:eastAsia="Times New Roman" w:hAnsi="Times New Roman" w:cs="Times New Roman"/>
          <w:color w:val="000000" w:themeColor="text1"/>
          <w:sz w:val="20"/>
          <w:szCs w:val="20"/>
        </w:rPr>
        <w:t xml:space="preserve">Patient with advanced age (&gt;60 years), poor PS (≥2), </w:t>
      </w:r>
      <w:proofErr w:type="spellStart"/>
      <w:r w:rsidRPr="00CF7510">
        <w:rPr>
          <w:rFonts w:ascii="Times New Roman" w:eastAsia="Times New Roman" w:hAnsi="Times New Roman" w:cs="Times New Roman"/>
          <w:color w:val="000000" w:themeColor="text1"/>
          <w:sz w:val="20"/>
          <w:szCs w:val="20"/>
        </w:rPr>
        <w:t>comorbidity</w:t>
      </w:r>
      <w:proofErr w:type="spellEnd"/>
      <w:r w:rsidRPr="00CF7510">
        <w:rPr>
          <w:rFonts w:ascii="Times New Roman" w:eastAsia="Times New Roman" w:hAnsi="Times New Roman" w:cs="Times New Roman"/>
          <w:color w:val="000000" w:themeColor="text1"/>
          <w:sz w:val="20"/>
          <w:szCs w:val="20"/>
        </w:rPr>
        <w:t xml:space="preserve"> like baseline anemia and </w:t>
      </w:r>
      <w:proofErr w:type="spellStart"/>
      <w:r w:rsidRPr="00CF7510">
        <w:rPr>
          <w:rFonts w:ascii="Times New Roman" w:eastAsia="Times New Roman" w:hAnsi="Times New Roman" w:cs="Times New Roman"/>
          <w:color w:val="000000" w:themeColor="text1"/>
          <w:sz w:val="20"/>
          <w:szCs w:val="20"/>
        </w:rPr>
        <w:t>neutropenia</w:t>
      </w:r>
      <w:proofErr w:type="spellEnd"/>
      <w:r w:rsidRPr="00CF7510">
        <w:rPr>
          <w:rFonts w:ascii="Times New Roman" w:eastAsia="Times New Roman" w:hAnsi="Times New Roman" w:cs="Times New Roman"/>
          <w:color w:val="000000" w:themeColor="text1"/>
          <w:sz w:val="20"/>
          <w:szCs w:val="20"/>
        </w:rPr>
        <w:t xml:space="preserve"> and disease in advanced stage (</w:t>
      </w:r>
      <w:proofErr w:type="spellStart"/>
      <w:r w:rsidRPr="00CF7510">
        <w:rPr>
          <w:rFonts w:ascii="Times New Roman" w:eastAsia="Times New Roman" w:hAnsi="Times New Roman" w:cs="Times New Roman"/>
          <w:color w:val="000000" w:themeColor="text1"/>
          <w:sz w:val="20"/>
          <w:szCs w:val="20"/>
        </w:rPr>
        <w:t>i.e</w:t>
      </w:r>
      <w:proofErr w:type="spellEnd"/>
      <w:r w:rsidRPr="00CF7510">
        <w:rPr>
          <w:rFonts w:ascii="Times New Roman" w:eastAsia="Times New Roman" w:hAnsi="Times New Roman" w:cs="Times New Roman"/>
          <w:color w:val="000000" w:themeColor="text1"/>
          <w:sz w:val="20"/>
          <w:szCs w:val="20"/>
        </w:rPr>
        <w:t xml:space="preserve"> </w:t>
      </w:r>
      <w:proofErr w:type="spellStart"/>
      <w:r w:rsidRPr="00CF7510">
        <w:rPr>
          <w:rFonts w:ascii="Times New Roman" w:eastAsia="Times New Roman" w:hAnsi="Times New Roman" w:cs="Times New Roman"/>
          <w:color w:val="000000" w:themeColor="text1"/>
          <w:sz w:val="20"/>
          <w:szCs w:val="20"/>
        </w:rPr>
        <w:t>receieving</w:t>
      </w:r>
      <w:proofErr w:type="spellEnd"/>
      <w:r w:rsidRPr="00CF7510">
        <w:rPr>
          <w:rFonts w:ascii="Times New Roman" w:eastAsia="Times New Roman" w:hAnsi="Times New Roman" w:cs="Times New Roman"/>
          <w:color w:val="000000" w:themeColor="text1"/>
          <w:sz w:val="20"/>
          <w:szCs w:val="20"/>
        </w:rPr>
        <w:t xml:space="preserve"> chemotherapy in palliative setting) are at a higher risk of developing CIN. (Table 4)</w:t>
      </w:r>
    </w:p>
    <w:p w:rsidR="009758D3" w:rsidRPr="00150339" w:rsidRDefault="000A1FC3" w:rsidP="00D01818">
      <w:pPr>
        <w:autoSpaceDE w:val="0"/>
        <w:autoSpaceDN w:val="0"/>
        <w:adjustRightInd w:val="0"/>
        <w:jc w:val="center"/>
        <w:rPr>
          <w:rFonts w:ascii="Times New Roman" w:eastAsia="Times New Roman" w:hAnsi="Times New Roman" w:cs="Times New Roman"/>
          <w:b/>
          <w:color w:val="000000" w:themeColor="text1"/>
          <w:sz w:val="20"/>
          <w:szCs w:val="20"/>
        </w:rPr>
      </w:pPr>
      <w:r w:rsidRPr="00150339">
        <w:rPr>
          <w:rFonts w:ascii="Times New Roman" w:eastAsia="Times New Roman" w:hAnsi="Times New Roman" w:cs="Times New Roman"/>
          <w:b/>
          <w:color w:val="000000" w:themeColor="text1"/>
          <w:sz w:val="20"/>
          <w:szCs w:val="20"/>
        </w:rPr>
        <w:t xml:space="preserve">Table </w:t>
      </w:r>
      <w:r w:rsidR="009758D3" w:rsidRPr="00150339">
        <w:rPr>
          <w:rFonts w:ascii="Times New Roman" w:eastAsia="Times New Roman" w:hAnsi="Times New Roman" w:cs="Times New Roman"/>
          <w:b/>
          <w:color w:val="000000" w:themeColor="text1"/>
          <w:sz w:val="20"/>
          <w:szCs w:val="20"/>
        </w:rPr>
        <w:t>4: Association of CIN with other baseline factors:</w:t>
      </w:r>
    </w:p>
    <w:tbl>
      <w:tblPr>
        <w:tblStyle w:val="TableGrid"/>
        <w:tblW w:w="7650" w:type="dxa"/>
        <w:tblInd w:w="108" w:type="dxa"/>
        <w:tblLayout w:type="fixed"/>
        <w:tblLook w:val="04A0"/>
      </w:tblPr>
      <w:tblGrid>
        <w:gridCol w:w="2070"/>
        <w:gridCol w:w="1440"/>
        <w:gridCol w:w="2250"/>
        <w:gridCol w:w="1890"/>
      </w:tblGrid>
      <w:tr w:rsidR="00572EA3" w:rsidRPr="00CF7510" w:rsidTr="00D01818">
        <w:tc>
          <w:tcPr>
            <w:tcW w:w="207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Parameters</w:t>
            </w:r>
          </w:p>
        </w:tc>
        <w:tc>
          <w:tcPr>
            <w:tcW w:w="144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c>
          <w:tcPr>
            <w:tcW w:w="225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No. Of CIN patients </w:t>
            </w:r>
          </w:p>
        </w:tc>
        <w:tc>
          <w:tcPr>
            <w:tcW w:w="189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 value</w:t>
            </w:r>
          </w:p>
        </w:tc>
      </w:tr>
      <w:tr w:rsidR="00572EA3" w:rsidRPr="00CF7510" w:rsidTr="00D01818">
        <w:trPr>
          <w:trHeight w:val="287"/>
        </w:trPr>
        <w:tc>
          <w:tcPr>
            <w:tcW w:w="2070" w:type="dxa"/>
            <w:vMerge w:val="restart"/>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Age group </w:t>
            </w:r>
          </w:p>
        </w:tc>
        <w:tc>
          <w:tcPr>
            <w:tcW w:w="1440" w:type="dxa"/>
            <w:tcBorders>
              <w:bottom w:val="single" w:sz="4" w:space="0" w:color="auto"/>
            </w:tcBorders>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&lt; 40 years</w:t>
            </w:r>
          </w:p>
        </w:tc>
        <w:tc>
          <w:tcPr>
            <w:tcW w:w="225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12 (14.63%)</w:t>
            </w:r>
          </w:p>
        </w:tc>
        <w:tc>
          <w:tcPr>
            <w:tcW w:w="1890" w:type="dxa"/>
            <w:vMerge w:val="restart"/>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P=0.038</w:t>
            </w:r>
          </w:p>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r=0.39</w:t>
            </w:r>
          </w:p>
        </w:tc>
      </w:tr>
      <w:tr w:rsidR="00572EA3" w:rsidRPr="00CF7510" w:rsidTr="00D01818">
        <w:tc>
          <w:tcPr>
            <w:tcW w:w="2070" w:type="dxa"/>
            <w:vMerge/>
            <w:tcBorders>
              <w:right w:val="single" w:sz="4" w:space="0" w:color="auto"/>
            </w:tcBorders>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c>
          <w:tcPr>
            <w:tcW w:w="1440" w:type="dxa"/>
            <w:tcBorders>
              <w:left w:val="single" w:sz="4" w:space="0" w:color="auto"/>
              <w:bottom w:val="single" w:sz="4" w:space="0" w:color="auto"/>
              <w:right w:val="single" w:sz="4" w:space="0" w:color="auto"/>
            </w:tcBorders>
          </w:tcPr>
          <w:p w:rsidR="009758D3" w:rsidRPr="00A07FDB" w:rsidRDefault="009758D3" w:rsidP="008B7A17">
            <w:pPr>
              <w:jc w:val="both"/>
              <w:rPr>
                <w:rFonts w:ascii="Times New Roman" w:hAnsi="Times New Roman" w:cs="Times New Roman"/>
                <w:sz w:val="18"/>
                <w:szCs w:val="18"/>
                <w:lang w:val="en-IN"/>
              </w:rPr>
            </w:pPr>
            <w:r w:rsidRPr="00A07FDB">
              <w:rPr>
                <w:rFonts w:ascii="Times New Roman" w:hAnsi="Times New Roman" w:cs="Times New Roman"/>
                <w:sz w:val="18"/>
                <w:szCs w:val="18"/>
                <w:lang w:val="en-IN"/>
              </w:rPr>
              <w:t>40-60 years</w:t>
            </w:r>
          </w:p>
        </w:tc>
        <w:tc>
          <w:tcPr>
            <w:tcW w:w="2250" w:type="dxa"/>
            <w:tcBorders>
              <w:left w:val="single" w:sz="4" w:space="0" w:color="auto"/>
            </w:tcBorders>
          </w:tcPr>
          <w:p w:rsidR="009758D3" w:rsidRPr="00A07FDB" w:rsidRDefault="009758D3" w:rsidP="008B7A17">
            <w:pPr>
              <w:rPr>
                <w:rFonts w:ascii="Times New Roman" w:hAnsi="Times New Roman" w:cs="Times New Roman"/>
                <w:sz w:val="18"/>
                <w:szCs w:val="18"/>
                <w:lang w:val="en-IN"/>
              </w:rPr>
            </w:pPr>
            <w:r w:rsidRPr="00A07FDB">
              <w:rPr>
                <w:rFonts w:ascii="Times New Roman" w:hAnsi="Times New Roman" w:cs="Times New Roman"/>
                <w:sz w:val="18"/>
                <w:szCs w:val="18"/>
                <w:lang w:val="en-IN"/>
              </w:rPr>
              <w:t>26 (31.7%)</w:t>
            </w:r>
          </w:p>
        </w:tc>
        <w:tc>
          <w:tcPr>
            <w:tcW w:w="1890" w:type="dxa"/>
            <w:vMerge/>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r>
      <w:tr w:rsidR="00572EA3" w:rsidRPr="00CF7510" w:rsidTr="00D01818">
        <w:tc>
          <w:tcPr>
            <w:tcW w:w="2070" w:type="dxa"/>
            <w:vMerge/>
            <w:tcBorders>
              <w:right w:val="single" w:sz="4" w:space="0" w:color="auto"/>
            </w:tcBorders>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c>
          <w:tcPr>
            <w:tcW w:w="1440" w:type="dxa"/>
            <w:tcBorders>
              <w:top w:val="single" w:sz="4" w:space="0" w:color="auto"/>
              <w:left w:val="single" w:sz="4" w:space="0" w:color="auto"/>
              <w:bottom w:val="single" w:sz="4" w:space="0" w:color="auto"/>
              <w:right w:val="single" w:sz="4" w:space="0" w:color="auto"/>
            </w:tcBorders>
          </w:tcPr>
          <w:p w:rsidR="009758D3" w:rsidRPr="00A07FDB" w:rsidRDefault="009758D3" w:rsidP="008B7A17">
            <w:pPr>
              <w:rPr>
                <w:rFonts w:ascii="Times New Roman" w:hAnsi="Times New Roman" w:cs="Times New Roman"/>
                <w:sz w:val="18"/>
                <w:szCs w:val="18"/>
                <w:lang w:val="en-IN"/>
              </w:rPr>
            </w:pPr>
            <w:r w:rsidRPr="00A07FDB">
              <w:rPr>
                <w:rFonts w:ascii="Times New Roman" w:hAnsi="Times New Roman" w:cs="Times New Roman"/>
                <w:sz w:val="18"/>
                <w:szCs w:val="18"/>
                <w:lang w:val="en-IN"/>
              </w:rPr>
              <w:t xml:space="preserve">&gt;60 years </w:t>
            </w:r>
          </w:p>
        </w:tc>
        <w:tc>
          <w:tcPr>
            <w:tcW w:w="2250" w:type="dxa"/>
            <w:tcBorders>
              <w:left w:val="single" w:sz="4" w:space="0" w:color="auto"/>
            </w:tcBorders>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44 (53.65%)</w:t>
            </w:r>
          </w:p>
        </w:tc>
        <w:tc>
          <w:tcPr>
            <w:tcW w:w="1890" w:type="dxa"/>
            <w:vMerge/>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r>
      <w:tr w:rsidR="00572EA3" w:rsidRPr="00CF7510" w:rsidTr="00D01818">
        <w:tc>
          <w:tcPr>
            <w:tcW w:w="2070" w:type="dxa"/>
            <w:vMerge w:val="restart"/>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Baseline </w:t>
            </w:r>
            <w:proofErr w:type="spellStart"/>
            <w:r w:rsidRPr="00A07FDB">
              <w:rPr>
                <w:rFonts w:ascii="Times New Roman" w:hAnsi="Times New Roman" w:cs="Times New Roman"/>
                <w:color w:val="000000"/>
                <w:sz w:val="18"/>
                <w:szCs w:val="18"/>
                <w:lang w:val="en-IN"/>
              </w:rPr>
              <w:t>Hb</w:t>
            </w:r>
            <w:proofErr w:type="spellEnd"/>
            <w:r w:rsidRPr="00A07FDB">
              <w:rPr>
                <w:rFonts w:ascii="Times New Roman" w:hAnsi="Times New Roman" w:cs="Times New Roman"/>
                <w:color w:val="000000"/>
                <w:sz w:val="18"/>
                <w:szCs w:val="18"/>
                <w:lang w:val="en-IN"/>
              </w:rPr>
              <w:t xml:space="preserve"> status (%)</w:t>
            </w:r>
          </w:p>
        </w:tc>
        <w:tc>
          <w:tcPr>
            <w:tcW w:w="1440" w:type="dxa"/>
            <w:tcBorders>
              <w:top w:val="single" w:sz="4" w:space="0" w:color="auto"/>
            </w:tcBorders>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8-10 %</w:t>
            </w:r>
          </w:p>
        </w:tc>
        <w:tc>
          <w:tcPr>
            <w:tcW w:w="225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61 (74.39%)</w:t>
            </w:r>
          </w:p>
        </w:tc>
        <w:tc>
          <w:tcPr>
            <w:tcW w:w="1890" w:type="dxa"/>
            <w:vMerge w:val="restart"/>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P=0.022</w:t>
            </w:r>
          </w:p>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r=0.55</w:t>
            </w:r>
          </w:p>
        </w:tc>
      </w:tr>
      <w:tr w:rsidR="00572EA3" w:rsidRPr="00CF7510" w:rsidTr="00D01818">
        <w:tc>
          <w:tcPr>
            <w:tcW w:w="2070" w:type="dxa"/>
            <w:vMerge/>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c>
          <w:tcPr>
            <w:tcW w:w="144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&lt; 8gm %</w:t>
            </w:r>
          </w:p>
        </w:tc>
        <w:tc>
          <w:tcPr>
            <w:tcW w:w="225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21 (25.60%)</w:t>
            </w:r>
          </w:p>
        </w:tc>
        <w:tc>
          <w:tcPr>
            <w:tcW w:w="1890" w:type="dxa"/>
            <w:vMerge/>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r>
      <w:tr w:rsidR="00572EA3" w:rsidRPr="00CF7510" w:rsidTr="00D01818">
        <w:tc>
          <w:tcPr>
            <w:tcW w:w="207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History of prior CIN</w:t>
            </w:r>
          </w:p>
        </w:tc>
        <w:tc>
          <w:tcPr>
            <w:tcW w:w="144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c>
          <w:tcPr>
            <w:tcW w:w="225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38 (46.38%)</w:t>
            </w:r>
          </w:p>
        </w:tc>
        <w:tc>
          <w:tcPr>
            <w:tcW w:w="1890" w:type="dxa"/>
          </w:tcPr>
          <w:p w:rsidR="009758D3" w:rsidRPr="00A07FDB" w:rsidRDefault="009758D3" w:rsidP="008B7A17">
            <w:pPr>
              <w:autoSpaceDE w:val="0"/>
              <w:autoSpaceDN w:val="0"/>
              <w:adjustRightInd w:val="0"/>
              <w:jc w:val="both"/>
              <w:rPr>
                <w:rFonts w:ascii="Times New Roman" w:hAnsi="Times New Roman" w:cs="Times New Roman"/>
                <w:color w:val="000000"/>
                <w:sz w:val="18"/>
                <w:szCs w:val="18"/>
                <w:lang w:val="en-IN"/>
              </w:rPr>
            </w:pPr>
          </w:p>
        </w:tc>
      </w:tr>
    </w:tbl>
    <w:p w:rsidR="00D01818" w:rsidRDefault="00DD15CC" w:rsidP="00C94396">
      <w:pPr>
        <w:widowControl w:val="0"/>
        <w:tabs>
          <w:tab w:val="left" w:pos="90"/>
        </w:tabs>
        <w:autoSpaceDE w:val="0"/>
        <w:autoSpaceDN w:val="0"/>
        <w:adjustRightInd w:val="0"/>
        <w:spacing w:before="120" w:after="120" w:line="0" w:lineRule="atLeast"/>
        <w:contextualSpacing/>
        <w:rPr>
          <w:rFonts w:ascii="Times New Roman" w:eastAsia="Times New Roman" w:hAnsi="Times New Roman" w:cs="Times New Roman"/>
          <w:b/>
          <w:color w:val="000000" w:themeColor="text1"/>
          <w:sz w:val="20"/>
          <w:szCs w:val="20"/>
        </w:rPr>
      </w:pPr>
      <w:r w:rsidRPr="00150339">
        <w:rPr>
          <w:rFonts w:ascii="Times New Roman" w:eastAsia="Times New Roman" w:hAnsi="Times New Roman" w:cs="Times New Roman"/>
          <w:b/>
          <w:color w:val="000000" w:themeColor="text1"/>
          <w:sz w:val="20"/>
          <w:szCs w:val="20"/>
        </w:rPr>
        <w:lastRenderedPageBreak/>
        <w:t xml:space="preserve">Impact of CIN on chemotherapy schedule and use of G-CSF: </w:t>
      </w:r>
    </w:p>
    <w:p w:rsidR="00C94396" w:rsidRPr="00C94396" w:rsidRDefault="00C94396" w:rsidP="00C94396">
      <w:pPr>
        <w:widowControl w:val="0"/>
        <w:tabs>
          <w:tab w:val="left" w:pos="90"/>
        </w:tabs>
        <w:autoSpaceDE w:val="0"/>
        <w:autoSpaceDN w:val="0"/>
        <w:adjustRightInd w:val="0"/>
        <w:spacing w:before="120" w:after="120" w:line="0" w:lineRule="atLeast"/>
        <w:contextualSpacing/>
        <w:rPr>
          <w:rFonts w:ascii="Times New Roman" w:eastAsia="Times New Roman" w:hAnsi="Times New Roman" w:cs="Times New Roman"/>
          <w:b/>
          <w:color w:val="000000" w:themeColor="text1"/>
          <w:sz w:val="20"/>
          <w:szCs w:val="20"/>
        </w:rPr>
      </w:pPr>
    </w:p>
    <w:p w:rsidR="00DD15CC" w:rsidRPr="00CF7510" w:rsidRDefault="00DD15CC" w:rsidP="00572EA3">
      <w:pPr>
        <w:widowControl w:val="0"/>
        <w:tabs>
          <w:tab w:val="left" w:pos="90"/>
        </w:tabs>
        <w:autoSpaceDE w:val="0"/>
        <w:autoSpaceDN w:val="0"/>
        <w:adjustRightInd w:val="0"/>
        <w:spacing w:before="120" w:after="120"/>
        <w:contextualSpacing/>
        <w:jc w:val="both"/>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color w:val="000000" w:themeColor="text1"/>
          <w:sz w:val="20"/>
          <w:szCs w:val="20"/>
        </w:rPr>
        <w:t xml:space="preserve">Patients with FN were hospitalized and treated with </w:t>
      </w:r>
      <w:proofErr w:type="spellStart"/>
      <w:r w:rsidRPr="00CF7510">
        <w:rPr>
          <w:rFonts w:ascii="Times New Roman" w:eastAsia="Times New Roman" w:hAnsi="Times New Roman" w:cs="Times New Roman"/>
          <w:color w:val="000000" w:themeColor="text1"/>
          <w:sz w:val="20"/>
          <w:szCs w:val="20"/>
        </w:rPr>
        <w:t>injectable</w:t>
      </w:r>
      <w:proofErr w:type="spellEnd"/>
      <w:r w:rsidRPr="00CF7510">
        <w:rPr>
          <w:rFonts w:ascii="Times New Roman" w:eastAsia="Times New Roman" w:hAnsi="Times New Roman" w:cs="Times New Roman"/>
          <w:color w:val="000000" w:themeColor="text1"/>
          <w:sz w:val="20"/>
          <w:szCs w:val="20"/>
        </w:rPr>
        <w:t xml:space="preserve"> antibiotics and G-CSF support as per institutional protocol with temporary suspension of chemotherapy. Patients with grade III CIN, received G-CSF and in them chemotherapy schedule was delayed. Patient with grade 2 CIN received chemotherapy at a reduced dose while there is no dose reduction or delay in grade I CIN. </w:t>
      </w:r>
    </w:p>
    <w:p w:rsidR="00C94396" w:rsidRDefault="00C94396" w:rsidP="00DD15CC">
      <w:pPr>
        <w:autoSpaceDE w:val="0"/>
        <w:autoSpaceDN w:val="0"/>
        <w:adjustRightInd w:val="0"/>
        <w:jc w:val="both"/>
        <w:rPr>
          <w:rFonts w:ascii="Times New Roman" w:hAnsi="Times New Roman" w:cs="Times New Roman"/>
          <w:color w:val="000000"/>
          <w:sz w:val="20"/>
          <w:szCs w:val="20"/>
          <w:lang w:val="en-IN"/>
        </w:rPr>
      </w:pPr>
    </w:p>
    <w:p w:rsidR="004B1470" w:rsidRPr="00150339" w:rsidRDefault="009758D3" w:rsidP="00DD15CC">
      <w:pPr>
        <w:autoSpaceDE w:val="0"/>
        <w:autoSpaceDN w:val="0"/>
        <w:adjustRightInd w:val="0"/>
        <w:jc w:val="both"/>
        <w:rPr>
          <w:rFonts w:ascii="Times New Roman" w:hAnsi="Times New Roman" w:cs="Times New Roman"/>
          <w:color w:val="000000"/>
          <w:sz w:val="20"/>
          <w:szCs w:val="20"/>
          <w:lang w:val="en-IN"/>
        </w:rPr>
      </w:pPr>
      <w:r w:rsidRPr="00150339">
        <w:rPr>
          <w:rFonts w:ascii="Times New Roman" w:hAnsi="Times New Roman" w:cs="Times New Roman"/>
          <w:b/>
          <w:color w:val="000000"/>
          <w:sz w:val="20"/>
          <w:szCs w:val="20"/>
          <w:lang w:val="en-IN"/>
        </w:rPr>
        <w:t>Table 5</w:t>
      </w:r>
      <w:r w:rsidR="004B1470" w:rsidRPr="00150339">
        <w:rPr>
          <w:rFonts w:ascii="Times New Roman" w:hAnsi="Times New Roman" w:cs="Times New Roman"/>
          <w:b/>
          <w:color w:val="000000"/>
          <w:sz w:val="20"/>
          <w:szCs w:val="20"/>
          <w:lang w:val="en-IN"/>
        </w:rPr>
        <w:t>:</w:t>
      </w:r>
      <w:r w:rsidR="004B1470" w:rsidRPr="00150339">
        <w:rPr>
          <w:rFonts w:ascii="Times New Roman" w:hAnsi="Times New Roman" w:cs="Times New Roman"/>
          <w:color w:val="000000"/>
          <w:sz w:val="20"/>
          <w:szCs w:val="20"/>
          <w:lang w:val="en-IN"/>
        </w:rPr>
        <w:t xml:space="preserve"> </w:t>
      </w:r>
      <w:proofErr w:type="spellStart"/>
      <w:r w:rsidR="004B1470" w:rsidRPr="00150339">
        <w:rPr>
          <w:rFonts w:ascii="Times New Roman" w:hAnsi="Times New Roman" w:cs="Times New Roman"/>
          <w:b/>
          <w:color w:val="000000"/>
          <w:sz w:val="20"/>
          <w:szCs w:val="20"/>
          <w:lang w:val="en-IN"/>
        </w:rPr>
        <w:t>Neutropenic</w:t>
      </w:r>
      <w:proofErr w:type="spellEnd"/>
      <w:r w:rsidR="004B1470" w:rsidRPr="00150339">
        <w:rPr>
          <w:rFonts w:ascii="Times New Roman" w:hAnsi="Times New Roman" w:cs="Times New Roman"/>
          <w:b/>
          <w:color w:val="000000"/>
          <w:sz w:val="20"/>
          <w:szCs w:val="20"/>
          <w:lang w:val="en-IN"/>
        </w:rPr>
        <w:t xml:space="preserve"> episodes following </w:t>
      </w:r>
      <w:proofErr w:type="spellStart"/>
      <w:r w:rsidR="004B1470" w:rsidRPr="00150339">
        <w:rPr>
          <w:rFonts w:ascii="Times New Roman" w:hAnsi="Times New Roman" w:cs="Times New Roman"/>
          <w:b/>
          <w:color w:val="000000"/>
          <w:sz w:val="20"/>
          <w:szCs w:val="20"/>
          <w:lang w:val="en-IN"/>
        </w:rPr>
        <w:t>paclitaxel</w:t>
      </w:r>
      <w:proofErr w:type="spellEnd"/>
      <w:r w:rsidR="004B1470" w:rsidRPr="00150339">
        <w:rPr>
          <w:rFonts w:ascii="Times New Roman" w:hAnsi="Times New Roman" w:cs="Times New Roman"/>
          <w:b/>
          <w:color w:val="000000"/>
          <w:sz w:val="20"/>
          <w:szCs w:val="20"/>
          <w:lang w:val="en-IN"/>
        </w:rPr>
        <w:t xml:space="preserve"> </w:t>
      </w:r>
      <w:proofErr w:type="spellStart"/>
      <w:r w:rsidR="004B1470" w:rsidRPr="00150339">
        <w:rPr>
          <w:rFonts w:ascii="Times New Roman" w:hAnsi="Times New Roman" w:cs="Times New Roman"/>
          <w:b/>
          <w:color w:val="000000"/>
          <w:sz w:val="20"/>
          <w:szCs w:val="20"/>
          <w:lang w:val="en-IN"/>
        </w:rPr>
        <w:t>chemotherpy</w:t>
      </w:r>
      <w:proofErr w:type="spellEnd"/>
      <w:r w:rsidR="004B1470" w:rsidRPr="00150339">
        <w:rPr>
          <w:rFonts w:ascii="Times New Roman" w:hAnsi="Times New Roman" w:cs="Times New Roman"/>
          <w:b/>
          <w:color w:val="000000"/>
          <w:sz w:val="20"/>
          <w:szCs w:val="20"/>
          <w:lang w:val="en-IN"/>
        </w:rPr>
        <w:t xml:space="preserve"> in the study:</w:t>
      </w:r>
    </w:p>
    <w:tbl>
      <w:tblPr>
        <w:tblStyle w:val="TableGrid"/>
        <w:tblW w:w="7920" w:type="dxa"/>
        <w:tblInd w:w="108" w:type="dxa"/>
        <w:tblLayout w:type="fixed"/>
        <w:tblLook w:val="04A0"/>
      </w:tblPr>
      <w:tblGrid>
        <w:gridCol w:w="990"/>
        <w:gridCol w:w="1440"/>
        <w:gridCol w:w="1350"/>
        <w:gridCol w:w="1440"/>
        <w:gridCol w:w="1530"/>
        <w:gridCol w:w="1170"/>
      </w:tblGrid>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Following C1</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Following C2</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Following C3</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Following C4</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Total(n)</w:t>
            </w:r>
          </w:p>
        </w:tc>
      </w:tr>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1</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2</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19</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17</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42</w:t>
            </w:r>
          </w:p>
        </w:tc>
      </w:tr>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2</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2</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7</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14</w:t>
            </w:r>
          </w:p>
        </w:tc>
      </w:tr>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3</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4</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8</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2</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15</w:t>
            </w:r>
          </w:p>
        </w:tc>
      </w:tr>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Grade 4</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6</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11</w:t>
            </w:r>
          </w:p>
        </w:tc>
      </w:tr>
      <w:tr w:rsidR="00572EA3" w:rsidRPr="00CF7510" w:rsidTr="00572EA3">
        <w:tc>
          <w:tcPr>
            <w:tcW w:w="99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 xml:space="preserve">Total </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6</w:t>
            </w:r>
          </w:p>
        </w:tc>
        <w:tc>
          <w:tcPr>
            <w:tcW w:w="135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33</w:t>
            </w:r>
          </w:p>
        </w:tc>
        <w:tc>
          <w:tcPr>
            <w:tcW w:w="144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35</w:t>
            </w:r>
          </w:p>
        </w:tc>
        <w:tc>
          <w:tcPr>
            <w:tcW w:w="153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8</w:t>
            </w:r>
          </w:p>
        </w:tc>
        <w:tc>
          <w:tcPr>
            <w:tcW w:w="1170" w:type="dxa"/>
          </w:tcPr>
          <w:p w:rsidR="00D7010C" w:rsidRPr="00A07FDB" w:rsidRDefault="00D7010C" w:rsidP="00322614">
            <w:pPr>
              <w:autoSpaceDE w:val="0"/>
              <w:autoSpaceDN w:val="0"/>
              <w:adjustRightInd w:val="0"/>
              <w:jc w:val="both"/>
              <w:rPr>
                <w:rFonts w:ascii="Times New Roman" w:hAnsi="Times New Roman" w:cs="Times New Roman"/>
                <w:color w:val="000000"/>
                <w:sz w:val="18"/>
                <w:szCs w:val="18"/>
                <w:lang w:val="en-IN"/>
              </w:rPr>
            </w:pPr>
            <w:r w:rsidRPr="00A07FDB">
              <w:rPr>
                <w:rFonts w:ascii="Times New Roman" w:hAnsi="Times New Roman" w:cs="Times New Roman"/>
                <w:color w:val="000000"/>
                <w:sz w:val="18"/>
                <w:szCs w:val="18"/>
                <w:lang w:val="en-IN"/>
              </w:rPr>
              <w:t>82</w:t>
            </w:r>
          </w:p>
        </w:tc>
      </w:tr>
    </w:tbl>
    <w:p w:rsidR="00DD15CC" w:rsidRPr="00CF7510" w:rsidRDefault="00DD15CC" w:rsidP="00D01818">
      <w:pPr>
        <w:shd w:val="clear" w:color="auto" w:fill="FFFFFF"/>
        <w:spacing w:before="144" w:after="144" w:line="240" w:lineRule="auto"/>
        <w:jc w:val="both"/>
        <w:outlineLvl w:val="4"/>
        <w:rPr>
          <w:rFonts w:ascii="Times New Roman" w:hAnsi="Times New Roman" w:cs="Times New Roman"/>
          <w:color w:val="000000"/>
          <w:sz w:val="20"/>
          <w:szCs w:val="20"/>
          <w:lang w:val="en-IN"/>
        </w:rPr>
      </w:pPr>
      <w:r w:rsidRPr="00CF7510">
        <w:rPr>
          <w:rFonts w:ascii="Times New Roman" w:eastAsia="Times New Roman" w:hAnsi="Times New Roman" w:cs="Times New Roman"/>
          <w:color w:val="000000" w:themeColor="text1"/>
          <w:sz w:val="20"/>
          <w:szCs w:val="20"/>
        </w:rPr>
        <w:t xml:space="preserve">Among the 82 patients </w:t>
      </w:r>
      <w:r w:rsidR="00130E24" w:rsidRPr="00CF7510">
        <w:rPr>
          <w:rFonts w:ascii="Times New Roman" w:eastAsia="Times New Roman" w:hAnsi="Times New Roman" w:cs="Times New Roman"/>
          <w:color w:val="000000" w:themeColor="text1"/>
          <w:sz w:val="20"/>
          <w:szCs w:val="20"/>
        </w:rPr>
        <w:t>who developed CIN, 25</w:t>
      </w:r>
      <w:r w:rsidRPr="00CF7510">
        <w:rPr>
          <w:rFonts w:ascii="Times New Roman" w:eastAsia="Times New Roman" w:hAnsi="Times New Roman" w:cs="Times New Roman"/>
          <w:color w:val="000000" w:themeColor="text1"/>
          <w:sz w:val="20"/>
          <w:szCs w:val="20"/>
        </w:rPr>
        <w:t xml:space="preserve"> patients (</w:t>
      </w:r>
      <w:r w:rsidR="00130E24" w:rsidRPr="00CF7510">
        <w:rPr>
          <w:rFonts w:ascii="Times New Roman" w:eastAsia="Times New Roman" w:hAnsi="Times New Roman" w:cs="Times New Roman"/>
          <w:color w:val="000000" w:themeColor="text1"/>
          <w:sz w:val="20"/>
          <w:szCs w:val="20"/>
        </w:rPr>
        <w:t>30.49</w:t>
      </w:r>
      <w:r w:rsidRPr="00CF7510">
        <w:rPr>
          <w:rFonts w:ascii="Times New Roman" w:eastAsia="Times New Roman" w:hAnsi="Times New Roman" w:cs="Times New Roman"/>
          <w:color w:val="000000" w:themeColor="text1"/>
          <w:sz w:val="20"/>
          <w:szCs w:val="20"/>
        </w:rPr>
        <w:t>%) experienced dose delay</w:t>
      </w:r>
      <w:r w:rsidR="004063D0" w:rsidRPr="00CF7510">
        <w:rPr>
          <w:rFonts w:ascii="Times New Roman" w:eastAsia="Times New Roman" w:hAnsi="Times New Roman" w:cs="Times New Roman"/>
          <w:color w:val="000000" w:themeColor="text1"/>
          <w:sz w:val="20"/>
          <w:szCs w:val="20"/>
        </w:rPr>
        <w:t xml:space="preserve"> while 14</w:t>
      </w:r>
      <w:r w:rsidRPr="00CF7510">
        <w:rPr>
          <w:rFonts w:ascii="Times New Roman" w:eastAsia="Times New Roman" w:hAnsi="Times New Roman" w:cs="Times New Roman"/>
          <w:color w:val="000000" w:themeColor="text1"/>
          <w:sz w:val="20"/>
          <w:szCs w:val="20"/>
        </w:rPr>
        <w:t xml:space="preserve"> patients (</w:t>
      </w:r>
      <w:r w:rsidR="004063D0" w:rsidRPr="00CF7510">
        <w:rPr>
          <w:rFonts w:ascii="Times New Roman" w:eastAsia="Times New Roman" w:hAnsi="Times New Roman" w:cs="Times New Roman"/>
          <w:color w:val="000000" w:themeColor="text1"/>
          <w:sz w:val="20"/>
          <w:szCs w:val="20"/>
        </w:rPr>
        <w:t>1</w:t>
      </w:r>
      <w:r w:rsidRPr="00CF7510">
        <w:rPr>
          <w:rFonts w:ascii="Times New Roman" w:eastAsia="Times New Roman" w:hAnsi="Times New Roman" w:cs="Times New Roman"/>
          <w:color w:val="000000" w:themeColor="text1"/>
          <w:sz w:val="20"/>
          <w:szCs w:val="20"/>
        </w:rPr>
        <w:t>7</w:t>
      </w:r>
      <w:r w:rsidR="004063D0" w:rsidRPr="00CF7510">
        <w:rPr>
          <w:rFonts w:ascii="Times New Roman" w:eastAsia="Times New Roman" w:hAnsi="Times New Roman" w:cs="Times New Roman"/>
          <w:color w:val="000000" w:themeColor="text1"/>
          <w:sz w:val="20"/>
          <w:szCs w:val="20"/>
        </w:rPr>
        <w:t>.07</w:t>
      </w:r>
      <w:r w:rsidRPr="00CF7510">
        <w:rPr>
          <w:rFonts w:ascii="Times New Roman" w:eastAsia="Times New Roman" w:hAnsi="Times New Roman" w:cs="Times New Roman"/>
          <w:color w:val="000000" w:themeColor="text1"/>
          <w:sz w:val="20"/>
          <w:szCs w:val="20"/>
        </w:rPr>
        <w:t xml:space="preserve">%) experienced dose reduction. </w:t>
      </w:r>
      <w:r w:rsidRPr="00CF7510">
        <w:rPr>
          <w:rFonts w:ascii="Times New Roman" w:hAnsi="Times New Roman" w:cs="Times New Roman"/>
          <w:color w:val="000000"/>
          <w:sz w:val="20"/>
          <w:szCs w:val="20"/>
          <w:lang w:val="en-IN"/>
        </w:rPr>
        <w:t xml:space="preserve">There was greater occurrence of </w:t>
      </w:r>
      <w:proofErr w:type="spellStart"/>
      <w:r w:rsidRPr="00CF7510">
        <w:rPr>
          <w:rFonts w:ascii="Times New Roman" w:hAnsi="Times New Roman" w:cs="Times New Roman"/>
          <w:color w:val="000000"/>
          <w:sz w:val="20"/>
          <w:szCs w:val="20"/>
          <w:lang w:val="en-IN"/>
        </w:rPr>
        <w:t>ne</w:t>
      </w:r>
      <w:r w:rsidR="004063D0" w:rsidRPr="00CF7510">
        <w:rPr>
          <w:rFonts w:ascii="Times New Roman" w:hAnsi="Times New Roman" w:cs="Times New Roman"/>
          <w:color w:val="000000"/>
          <w:sz w:val="20"/>
          <w:szCs w:val="20"/>
          <w:lang w:val="en-IN"/>
        </w:rPr>
        <w:t>utropenia</w:t>
      </w:r>
      <w:proofErr w:type="spellEnd"/>
      <w:r w:rsidR="004063D0" w:rsidRPr="00CF7510">
        <w:rPr>
          <w:rFonts w:ascii="Times New Roman" w:hAnsi="Times New Roman" w:cs="Times New Roman"/>
          <w:color w:val="000000"/>
          <w:sz w:val="20"/>
          <w:szCs w:val="20"/>
          <w:lang w:val="en-IN"/>
        </w:rPr>
        <w:t xml:space="preserve"> following </w:t>
      </w:r>
      <w:r w:rsidRPr="00CF7510">
        <w:rPr>
          <w:rFonts w:ascii="Times New Roman" w:hAnsi="Times New Roman" w:cs="Times New Roman"/>
          <w:color w:val="000000"/>
          <w:sz w:val="20"/>
          <w:szCs w:val="20"/>
          <w:lang w:val="en-IN"/>
        </w:rPr>
        <w:t>3</w:t>
      </w:r>
      <w:r w:rsidR="004063D0" w:rsidRPr="00CF7510">
        <w:rPr>
          <w:rFonts w:ascii="Times New Roman" w:hAnsi="Times New Roman" w:cs="Times New Roman"/>
          <w:color w:val="000000"/>
          <w:sz w:val="20"/>
          <w:szCs w:val="20"/>
          <w:vertAlign w:val="superscript"/>
          <w:lang w:val="en-IN"/>
        </w:rPr>
        <w:t>rd</w:t>
      </w:r>
      <w:r w:rsidR="004063D0" w:rsidRPr="00CF7510">
        <w:rPr>
          <w:rFonts w:ascii="Times New Roman" w:hAnsi="Times New Roman" w:cs="Times New Roman"/>
          <w:color w:val="000000"/>
          <w:sz w:val="20"/>
          <w:szCs w:val="20"/>
          <w:lang w:val="en-IN"/>
        </w:rPr>
        <w:t xml:space="preserve"> cycle</w:t>
      </w:r>
      <w:r w:rsidRPr="00CF7510">
        <w:rPr>
          <w:rFonts w:ascii="Times New Roman" w:hAnsi="Times New Roman" w:cs="Times New Roman"/>
          <w:color w:val="000000"/>
          <w:sz w:val="20"/>
          <w:szCs w:val="20"/>
          <w:lang w:val="en-IN"/>
        </w:rPr>
        <w:t xml:space="preserve"> followed by</w:t>
      </w:r>
      <w:r w:rsidR="004063D0" w:rsidRPr="00CF7510">
        <w:rPr>
          <w:rFonts w:ascii="Times New Roman" w:hAnsi="Times New Roman" w:cs="Times New Roman"/>
          <w:color w:val="000000"/>
          <w:sz w:val="20"/>
          <w:szCs w:val="20"/>
          <w:lang w:val="en-IN"/>
        </w:rPr>
        <w:t xml:space="preserve"> </w:t>
      </w:r>
      <w:r w:rsidRPr="00CF7510">
        <w:rPr>
          <w:rFonts w:ascii="Times New Roman" w:hAnsi="Times New Roman" w:cs="Times New Roman"/>
          <w:color w:val="000000"/>
          <w:sz w:val="20"/>
          <w:szCs w:val="20"/>
          <w:lang w:val="en-IN"/>
        </w:rPr>
        <w:t>2</w:t>
      </w:r>
      <w:r w:rsidR="004063D0" w:rsidRPr="00CF7510">
        <w:rPr>
          <w:rFonts w:ascii="Times New Roman" w:hAnsi="Times New Roman" w:cs="Times New Roman"/>
          <w:color w:val="000000"/>
          <w:sz w:val="20"/>
          <w:szCs w:val="20"/>
          <w:vertAlign w:val="superscript"/>
          <w:lang w:val="en-IN"/>
        </w:rPr>
        <w:t>nd</w:t>
      </w:r>
      <w:r w:rsidR="004063D0" w:rsidRPr="00CF7510">
        <w:rPr>
          <w:rFonts w:ascii="Times New Roman" w:hAnsi="Times New Roman" w:cs="Times New Roman"/>
          <w:color w:val="000000"/>
          <w:sz w:val="20"/>
          <w:szCs w:val="20"/>
          <w:lang w:val="en-IN"/>
        </w:rPr>
        <w:t xml:space="preserve"> cycle</w:t>
      </w:r>
      <w:r w:rsidRPr="00CF7510">
        <w:rPr>
          <w:rFonts w:ascii="Times New Roman" w:hAnsi="Times New Roman" w:cs="Times New Roman"/>
          <w:color w:val="000000"/>
          <w:sz w:val="20"/>
          <w:szCs w:val="20"/>
          <w:lang w:val="en-IN"/>
        </w:rPr>
        <w:t xml:space="preserve"> of </w:t>
      </w:r>
      <w:proofErr w:type="spellStart"/>
      <w:r w:rsidRPr="00CF7510">
        <w:rPr>
          <w:rFonts w:ascii="Times New Roman" w:hAnsi="Times New Roman" w:cs="Times New Roman"/>
          <w:color w:val="000000"/>
          <w:sz w:val="20"/>
          <w:szCs w:val="20"/>
          <w:lang w:val="en-IN"/>
        </w:rPr>
        <w:t>paclitaxel</w:t>
      </w:r>
      <w:proofErr w:type="spellEnd"/>
      <w:r w:rsidR="00A751FE" w:rsidRPr="00CF7510">
        <w:rPr>
          <w:rFonts w:ascii="Times New Roman" w:hAnsi="Times New Roman" w:cs="Times New Roman"/>
          <w:color w:val="000000"/>
          <w:sz w:val="20"/>
          <w:szCs w:val="20"/>
          <w:lang w:val="en-IN"/>
        </w:rPr>
        <w:t xml:space="preserve"> </w:t>
      </w:r>
      <w:r w:rsidR="009758D3" w:rsidRPr="00CF7510">
        <w:rPr>
          <w:rFonts w:ascii="Times New Roman" w:hAnsi="Times New Roman" w:cs="Times New Roman"/>
          <w:b/>
          <w:color w:val="000000"/>
          <w:sz w:val="20"/>
          <w:szCs w:val="20"/>
          <w:lang w:val="en-IN"/>
        </w:rPr>
        <w:t>(Table 5</w:t>
      </w:r>
      <w:r w:rsidR="00A751FE" w:rsidRPr="00CF7510">
        <w:rPr>
          <w:rFonts w:ascii="Times New Roman" w:hAnsi="Times New Roman" w:cs="Times New Roman"/>
          <w:b/>
          <w:color w:val="000000"/>
          <w:sz w:val="20"/>
          <w:szCs w:val="20"/>
          <w:lang w:val="en-IN"/>
        </w:rPr>
        <w:t>)</w:t>
      </w:r>
      <w:r w:rsidRPr="00CF7510">
        <w:rPr>
          <w:rFonts w:ascii="Times New Roman" w:hAnsi="Times New Roman" w:cs="Times New Roman"/>
          <w:color w:val="000000"/>
          <w:sz w:val="20"/>
          <w:szCs w:val="20"/>
          <w:lang w:val="en-IN"/>
        </w:rPr>
        <w:t xml:space="preserve">. </w:t>
      </w:r>
      <w:r w:rsidR="00AA7BA3" w:rsidRPr="00CF7510">
        <w:rPr>
          <w:rFonts w:ascii="Times New Roman" w:hAnsi="Times New Roman" w:cs="Times New Roman"/>
          <w:color w:val="000000"/>
          <w:sz w:val="20"/>
          <w:szCs w:val="20"/>
          <w:lang w:val="en-IN"/>
        </w:rPr>
        <w:t xml:space="preserve">A mean duration of </w:t>
      </w:r>
      <w:proofErr w:type="spellStart"/>
      <w:r w:rsidR="00AA7BA3" w:rsidRPr="00CF7510">
        <w:rPr>
          <w:rFonts w:ascii="Times New Roman" w:hAnsi="Times New Roman" w:cs="Times New Roman"/>
          <w:color w:val="000000"/>
          <w:sz w:val="20"/>
          <w:szCs w:val="20"/>
          <w:lang w:val="en-IN"/>
        </w:rPr>
        <w:t>neutropenia</w:t>
      </w:r>
      <w:proofErr w:type="spellEnd"/>
      <w:r w:rsidR="00AA7BA3" w:rsidRPr="00CF7510">
        <w:rPr>
          <w:rFonts w:ascii="Times New Roman" w:hAnsi="Times New Roman" w:cs="Times New Roman"/>
          <w:color w:val="000000"/>
          <w:sz w:val="20"/>
          <w:szCs w:val="20"/>
          <w:lang w:val="en-IN"/>
        </w:rPr>
        <w:t xml:space="preserve"> was 5±3 days. </w:t>
      </w:r>
      <w:r w:rsidRPr="00CF7510">
        <w:rPr>
          <w:rFonts w:ascii="Times New Roman" w:eastAsia="Times New Roman" w:hAnsi="Times New Roman" w:cs="Times New Roman"/>
          <w:color w:val="000000" w:themeColor="text1"/>
          <w:sz w:val="20"/>
          <w:szCs w:val="20"/>
        </w:rPr>
        <w:t>CI</w:t>
      </w:r>
      <w:r w:rsidRPr="00CF7510">
        <w:rPr>
          <w:rFonts w:ascii="Times New Roman" w:hAnsi="Times New Roman" w:cs="Times New Roman"/>
          <w:color w:val="000000"/>
          <w:sz w:val="20"/>
          <w:szCs w:val="20"/>
          <w:lang w:val="en-IN"/>
        </w:rPr>
        <w:t xml:space="preserve">N was found to be the most common cause of temporary suspension of </w:t>
      </w:r>
      <w:r w:rsidR="00AA7BA3" w:rsidRPr="00CF7510">
        <w:rPr>
          <w:rFonts w:ascii="Times New Roman" w:hAnsi="Times New Roman" w:cs="Times New Roman"/>
          <w:color w:val="000000"/>
          <w:sz w:val="20"/>
          <w:szCs w:val="20"/>
          <w:lang w:val="en-IN"/>
        </w:rPr>
        <w:t>chemotherapy</w:t>
      </w:r>
      <w:r w:rsidR="00A751FE" w:rsidRPr="00CF7510">
        <w:rPr>
          <w:rFonts w:ascii="Times New Roman" w:hAnsi="Times New Roman" w:cs="Times New Roman"/>
          <w:color w:val="000000"/>
          <w:sz w:val="20"/>
          <w:szCs w:val="20"/>
          <w:lang w:val="en-IN"/>
        </w:rPr>
        <w:t xml:space="preserve"> </w:t>
      </w:r>
      <w:r w:rsidR="00A751FE" w:rsidRPr="00CF7510">
        <w:rPr>
          <w:rFonts w:ascii="Times New Roman" w:hAnsi="Times New Roman" w:cs="Times New Roman"/>
          <w:b/>
          <w:color w:val="000000"/>
          <w:sz w:val="20"/>
          <w:szCs w:val="20"/>
          <w:lang w:val="en-IN"/>
        </w:rPr>
        <w:t>(Figure 2)</w:t>
      </w:r>
      <w:r w:rsidR="00AA7BA3" w:rsidRPr="00CF7510">
        <w:rPr>
          <w:rFonts w:ascii="Times New Roman" w:hAnsi="Times New Roman" w:cs="Times New Roman"/>
          <w:color w:val="000000"/>
          <w:sz w:val="20"/>
          <w:szCs w:val="20"/>
          <w:lang w:val="en-IN"/>
        </w:rPr>
        <w:t>, a delay of about 7±2</w:t>
      </w:r>
      <w:r w:rsidRPr="00CF7510">
        <w:rPr>
          <w:rFonts w:ascii="Times New Roman" w:hAnsi="Times New Roman" w:cs="Times New Roman"/>
          <w:color w:val="000000"/>
          <w:sz w:val="20"/>
          <w:szCs w:val="20"/>
          <w:lang w:val="en-IN"/>
        </w:rPr>
        <w:t xml:space="preserve"> days occurred between cycles. In no patient chemotherapy was completely discontinued due to CIN.  </w:t>
      </w:r>
    </w:p>
    <w:p w:rsidR="00DD15CC" w:rsidRPr="00CF7510" w:rsidRDefault="00DD15CC" w:rsidP="00DD15CC">
      <w:pPr>
        <w:shd w:val="clear" w:color="auto" w:fill="FFFFFF"/>
        <w:spacing w:before="144" w:after="144" w:line="240" w:lineRule="auto"/>
        <w:ind w:firstLine="720"/>
        <w:jc w:val="both"/>
        <w:outlineLvl w:val="4"/>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t xml:space="preserve"> </w:t>
      </w:r>
    </w:p>
    <w:p w:rsidR="00AF2E00" w:rsidRPr="00CF7510" w:rsidRDefault="00DD15CC" w:rsidP="004A649F">
      <w:pPr>
        <w:autoSpaceDE w:val="0"/>
        <w:autoSpaceDN w:val="0"/>
        <w:adjustRightInd w:val="0"/>
        <w:jc w:val="both"/>
        <w:rPr>
          <w:rFonts w:ascii="Times New Roman" w:hAnsi="Times New Roman" w:cs="Times New Roman"/>
          <w:b/>
          <w:color w:val="000000"/>
          <w:sz w:val="20"/>
          <w:szCs w:val="20"/>
          <w:lang w:val="en-IN"/>
        </w:rPr>
      </w:pPr>
      <w:r w:rsidRPr="00CF7510">
        <w:rPr>
          <w:rFonts w:ascii="Times New Roman" w:hAnsi="Times New Roman" w:cs="Times New Roman"/>
          <w:b/>
          <w:noProof/>
          <w:color w:val="000000"/>
          <w:sz w:val="20"/>
          <w:szCs w:val="20"/>
        </w:rPr>
        <w:drawing>
          <wp:inline distT="0" distB="0" distL="0" distR="0">
            <wp:extent cx="4653750" cy="1634400"/>
            <wp:effectExtent l="19050" t="0" r="13500" b="390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6369" w:rsidRDefault="00081FA3" w:rsidP="00EA6369">
      <w:pPr>
        <w:autoSpaceDE w:val="0"/>
        <w:autoSpaceDN w:val="0"/>
        <w:adjustRightInd w:val="0"/>
        <w:ind w:left="720" w:firstLine="720"/>
        <w:jc w:val="both"/>
        <w:rPr>
          <w:rFonts w:ascii="Times New Roman" w:hAnsi="Times New Roman" w:cs="Times New Roman"/>
          <w:b/>
          <w:color w:val="000000"/>
          <w:sz w:val="20"/>
          <w:szCs w:val="20"/>
          <w:lang w:val="en-IN"/>
        </w:rPr>
      </w:pPr>
      <w:r w:rsidRPr="00CF7510">
        <w:rPr>
          <w:rFonts w:ascii="Times New Roman" w:hAnsi="Times New Roman" w:cs="Times New Roman"/>
          <w:b/>
          <w:color w:val="000000"/>
          <w:sz w:val="20"/>
          <w:szCs w:val="20"/>
          <w:lang w:val="en-IN"/>
        </w:rPr>
        <w:t>Figure</w:t>
      </w:r>
      <w:r w:rsidR="00417915" w:rsidRPr="00CF7510">
        <w:rPr>
          <w:rFonts w:ascii="Times New Roman" w:hAnsi="Times New Roman" w:cs="Times New Roman"/>
          <w:b/>
          <w:color w:val="000000"/>
          <w:sz w:val="20"/>
          <w:szCs w:val="20"/>
          <w:lang w:val="en-IN"/>
        </w:rPr>
        <w:t xml:space="preserve"> </w:t>
      </w:r>
      <w:r w:rsidR="00C91954" w:rsidRPr="00CF7510">
        <w:rPr>
          <w:rFonts w:ascii="Times New Roman" w:hAnsi="Times New Roman" w:cs="Times New Roman"/>
          <w:b/>
          <w:color w:val="000000"/>
          <w:sz w:val="20"/>
          <w:szCs w:val="20"/>
          <w:lang w:val="en-IN"/>
        </w:rPr>
        <w:t>2</w:t>
      </w:r>
      <w:r w:rsidRPr="00CF7510">
        <w:rPr>
          <w:rFonts w:ascii="Times New Roman" w:hAnsi="Times New Roman" w:cs="Times New Roman"/>
          <w:b/>
          <w:color w:val="000000"/>
          <w:sz w:val="20"/>
          <w:szCs w:val="20"/>
          <w:lang w:val="en-IN"/>
        </w:rPr>
        <w:t xml:space="preserve">: Reason for delay between the chemotherapy </w:t>
      </w:r>
      <w:r w:rsidR="00477BBF" w:rsidRPr="00CF7510">
        <w:rPr>
          <w:rFonts w:ascii="Times New Roman" w:hAnsi="Times New Roman" w:cs="Times New Roman"/>
          <w:b/>
          <w:color w:val="000000"/>
          <w:sz w:val="20"/>
          <w:szCs w:val="20"/>
          <w:lang w:val="en-IN"/>
        </w:rPr>
        <w:t>cycles</w:t>
      </w:r>
    </w:p>
    <w:p w:rsidR="00EA6369" w:rsidRPr="00EA6369" w:rsidRDefault="00EA6369" w:rsidP="00EA6369">
      <w:pPr>
        <w:autoSpaceDE w:val="0"/>
        <w:autoSpaceDN w:val="0"/>
        <w:adjustRightInd w:val="0"/>
        <w:ind w:left="720" w:hanging="630"/>
        <w:rPr>
          <w:rFonts w:ascii="Times New Roman" w:hAnsi="Times New Roman" w:cs="Times New Roman"/>
          <w:color w:val="000000"/>
          <w:sz w:val="20"/>
          <w:szCs w:val="20"/>
          <w:lang w:val="en-IN"/>
        </w:rPr>
      </w:pPr>
      <w:r w:rsidRPr="00EA6369">
        <w:rPr>
          <w:rFonts w:ascii="Times New Roman" w:hAnsi="Times New Roman" w:cs="Times New Roman"/>
          <w:b/>
          <w:color w:val="000000"/>
          <w:sz w:val="20"/>
          <w:szCs w:val="20"/>
          <w:lang w:val="en-IN"/>
        </w:rPr>
        <w:t>Abbreviations:</w:t>
      </w:r>
      <w:r w:rsidRPr="00EA6369">
        <w:rPr>
          <w:rFonts w:ascii="Times New Roman" w:hAnsi="Times New Roman" w:cs="Times New Roman"/>
          <w:color w:val="000000"/>
          <w:sz w:val="20"/>
          <w:szCs w:val="20"/>
          <w:lang w:val="en-IN"/>
        </w:rPr>
        <w:t xml:space="preserve"> CIN, chemotherapy induced </w:t>
      </w:r>
      <w:proofErr w:type="spellStart"/>
      <w:r w:rsidRPr="00EA6369">
        <w:rPr>
          <w:rFonts w:ascii="Times New Roman" w:hAnsi="Times New Roman" w:cs="Times New Roman"/>
          <w:color w:val="000000"/>
          <w:sz w:val="20"/>
          <w:szCs w:val="20"/>
          <w:lang w:val="en-IN"/>
        </w:rPr>
        <w:t>neutropenia</w:t>
      </w:r>
      <w:proofErr w:type="spellEnd"/>
      <w:r w:rsidRPr="00EA6369">
        <w:rPr>
          <w:rFonts w:ascii="Times New Roman" w:hAnsi="Times New Roman" w:cs="Times New Roman"/>
          <w:color w:val="000000"/>
          <w:sz w:val="20"/>
          <w:szCs w:val="20"/>
          <w:lang w:val="en-IN"/>
        </w:rPr>
        <w:t xml:space="preserve">; FN, febrile </w:t>
      </w:r>
      <w:proofErr w:type="spellStart"/>
      <w:r w:rsidRPr="00EA6369">
        <w:rPr>
          <w:rFonts w:ascii="Times New Roman" w:hAnsi="Times New Roman" w:cs="Times New Roman"/>
          <w:color w:val="000000"/>
          <w:sz w:val="20"/>
          <w:szCs w:val="20"/>
          <w:lang w:val="en-IN"/>
        </w:rPr>
        <w:t>neutropenia</w:t>
      </w:r>
      <w:proofErr w:type="spellEnd"/>
      <w:r>
        <w:rPr>
          <w:rFonts w:ascii="Times New Roman" w:hAnsi="Times New Roman" w:cs="Times New Roman"/>
          <w:color w:val="000000"/>
          <w:sz w:val="20"/>
          <w:szCs w:val="20"/>
          <w:lang w:val="en-IN"/>
        </w:rPr>
        <w:t>.</w:t>
      </w:r>
    </w:p>
    <w:p w:rsidR="00477BBF" w:rsidRPr="00D01818" w:rsidRDefault="001D3C10" w:rsidP="00D01818">
      <w:pPr>
        <w:tabs>
          <w:tab w:val="left" w:pos="0"/>
        </w:tabs>
        <w:autoSpaceDE w:val="0"/>
        <w:autoSpaceDN w:val="0"/>
        <w:adjustRightInd w:val="0"/>
        <w:ind w:left="90"/>
        <w:jc w:val="both"/>
        <w:rPr>
          <w:rFonts w:ascii="Times New Roman" w:hAnsi="Times New Roman" w:cs="Times New Roman"/>
          <w:b/>
          <w:color w:val="000000"/>
          <w:sz w:val="20"/>
          <w:szCs w:val="20"/>
          <w:lang w:val="en-IN"/>
        </w:rPr>
      </w:pPr>
      <w:r w:rsidRPr="00CF7510">
        <w:rPr>
          <w:rFonts w:ascii="Times New Roman" w:hAnsi="Times New Roman" w:cs="Times New Roman"/>
          <w:color w:val="000000"/>
          <w:sz w:val="20"/>
          <w:szCs w:val="20"/>
          <w:lang w:val="en-IN"/>
        </w:rPr>
        <w:t xml:space="preserve">In the present study, G-CSF was used in highest number for secondary prophylaxis </w:t>
      </w:r>
      <w:r w:rsidR="001566E4" w:rsidRPr="00CF7510">
        <w:rPr>
          <w:rFonts w:ascii="Times New Roman" w:hAnsi="Times New Roman" w:cs="Times New Roman"/>
          <w:color w:val="000000"/>
          <w:sz w:val="20"/>
          <w:szCs w:val="20"/>
          <w:lang w:val="en-IN"/>
        </w:rPr>
        <w:t>(n</w:t>
      </w:r>
      <w:r w:rsidR="004063D0" w:rsidRPr="00CF7510">
        <w:rPr>
          <w:rFonts w:ascii="Times New Roman" w:hAnsi="Times New Roman" w:cs="Times New Roman"/>
          <w:color w:val="000000"/>
          <w:sz w:val="20"/>
          <w:szCs w:val="20"/>
          <w:lang w:val="en-IN"/>
        </w:rPr>
        <w:t>=23, 28.05</w:t>
      </w:r>
      <w:r w:rsidRPr="00CF7510">
        <w:rPr>
          <w:rFonts w:ascii="Times New Roman" w:hAnsi="Times New Roman" w:cs="Times New Roman"/>
          <w:color w:val="000000"/>
          <w:sz w:val="20"/>
          <w:szCs w:val="20"/>
          <w:lang w:val="en-IN"/>
        </w:rPr>
        <w:t xml:space="preserve">%) of </w:t>
      </w:r>
      <w:proofErr w:type="spellStart"/>
      <w:r w:rsidRPr="00CF7510">
        <w:rPr>
          <w:rFonts w:ascii="Times New Roman" w:hAnsi="Times New Roman" w:cs="Times New Roman"/>
          <w:color w:val="000000"/>
          <w:sz w:val="20"/>
          <w:szCs w:val="20"/>
          <w:lang w:val="en-IN"/>
        </w:rPr>
        <w:t>neutropenia</w:t>
      </w:r>
      <w:proofErr w:type="spellEnd"/>
      <w:r w:rsidRPr="00CF7510">
        <w:rPr>
          <w:rFonts w:ascii="Times New Roman" w:hAnsi="Times New Roman" w:cs="Times New Roman"/>
          <w:color w:val="000000"/>
          <w:sz w:val="20"/>
          <w:szCs w:val="20"/>
          <w:lang w:val="en-IN"/>
        </w:rPr>
        <w:t xml:space="preserve"> followed by treatment of </w:t>
      </w:r>
      <w:proofErr w:type="spellStart"/>
      <w:r w:rsidRPr="00CF7510">
        <w:rPr>
          <w:rFonts w:ascii="Times New Roman" w:hAnsi="Times New Roman" w:cs="Times New Roman"/>
          <w:color w:val="000000"/>
          <w:sz w:val="20"/>
          <w:szCs w:val="20"/>
          <w:lang w:val="en-IN"/>
        </w:rPr>
        <w:t>neutropenia</w:t>
      </w:r>
      <w:proofErr w:type="spellEnd"/>
      <w:r w:rsidR="001566E4" w:rsidRPr="00CF7510">
        <w:rPr>
          <w:rFonts w:ascii="Times New Roman" w:hAnsi="Times New Roman" w:cs="Times New Roman"/>
          <w:color w:val="000000"/>
          <w:sz w:val="20"/>
          <w:szCs w:val="20"/>
          <w:lang w:val="en-IN"/>
        </w:rPr>
        <w:t xml:space="preserve"> (n=15, 18.29%) while only 1 patient received G-CSF for primary prophylaxis of </w:t>
      </w:r>
      <w:proofErr w:type="spellStart"/>
      <w:r w:rsidR="001566E4" w:rsidRPr="00CF7510">
        <w:rPr>
          <w:rFonts w:ascii="Times New Roman" w:hAnsi="Times New Roman" w:cs="Times New Roman"/>
          <w:color w:val="000000"/>
          <w:sz w:val="20"/>
          <w:szCs w:val="20"/>
          <w:lang w:val="en-IN"/>
        </w:rPr>
        <w:t>neutropenia</w:t>
      </w:r>
      <w:proofErr w:type="spellEnd"/>
      <w:r w:rsidR="00A751FE" w:rsidRPr="00CF7510">
        <w:rPr>
          <w:rFonts w:ascii="Times New Roman" w:hAnsi="Times New Roman" w:cs="Times New Roman"/>
          <w:color w:val="000000"/>
          <w:sz w:val="20"/>
          <w:szCs w:val="20"/>
          <w:lang w:val="en-IN"/>
        </w:rPr>
        <w:t xml:space="preserve"> </w:t>
      </w:r>
      <w:r w:rsidR="009758D3" w:rsidRPr="00CF7510">
        <w:rPr>
          <w:rFonts w:ascii="Times New Roman" w:hAnsi="Times New Roman" w:cs="Times New Roman"/>
          <w:b/>
          <w:color w:val="000000"/>
          <w:sz w:val="20"/>
          <w:szCs w:val="20"/>
          <w:lang w:val="en-IN"/>
        </w:rPr>
        <w:t>(Table 6</w:t>
      </w:r>
      <w:r w:rsidR="00A751FE" w:rsidRPr="00CF7510">
        <w:rPr>
          <w:rFonts w:ascii="Times New Roman" w:hAnsi="Times New Roman" w:cs="Times New Roman"/>
          <w:b/>
          <w:color w:val="000000"/>
          <w:sz w:val="20"/>
          <w:szCs w:val="20"/>
          <w:lang w:val="en-IN"/>
        </w:rPr>
        <w:t>)</w:t>
      </w:r>
      <w:r w:rsidR="001566E4" w:rsidRPr="00CF7510">
        <w:rPr>
          <w:rFonts w:ascii="Times New Roman" w:hAnsi="Times New Roman" w:cs="Times New Roman"/>
          <w:b/>
          <w:color w:val="000000"/>
          <w:sz w:val="20"/>
          <w:szCs w:val="20"/>
          <w:lang w:val="en-IN"/>
        </w:rPr>
        <w:t>.</w:t>
      </w:r>
    </w:p>
    <w:p w:rsidR="00477BBF" w:rsidRPr="00CF7510" w:rsidRDefault="00477BBF" w:rsidP="00B75B94">
      <w:pPr>
        <w:shd w:val="clear" w:color="auto" w:fill="FFFFFF"/>
        <w:spacing w:before="144" w:after="144" w:line="240" w:lineRule="auto"/>
        <w:ind w:left="1440"/>
        <w:jc w:val="both"/>
        <w:outlineLvl w:val="4"/>
        <w:rPr>
          <w:rFonts w:ascii="Times New Roman" w:hAnsi="Times New Roman" w:cs="Times New Roman"/>
          <w:b/>
          <w:color w:val="000000"/>
          <w:sz w:val="20"/>
          <w:szCs w:val="20"/>
          <w:lang w:val="en-IN"/>
        </w:rPr>
      </w:pPr>
      <w:r w:rsidRPr="00CF7510">
        <w:rPr>
          <w:rFonts w:ascii="Times New Roman" w:hAnsi="Times New Roman" w:cs="Times New Roman"/>
          <w:color w:val="000000"/>
          <w:sz w:val="20"/>
          <w:szCs w:val="20"/>
          <w:lang w:val="en-IN"/>
        </w:rPr>
        <w:t xml:space="preserve">       </w:t>
      </w:r>
      <w:r w:rsidR="009758D3" w:rsidRPr="00CF7510">
        <w:rPr>
          <w:rFonts w:ascii="Times New Roman" w:hAnsi="Times New Roman" w:cs="Times New Roman"/>
          <w:b/>
          <w:color w:val="000000"/>
          <w:sz w:val="20"/>
          <w:szCs w:val="20"/>
          <w:lang w:val="en-IN"/>
        </w:rPr>
        <w:t>Table 6</w:t>
      </w:r>
      <w:r w:rsidRPr="00CF7510">
        <w:rPr>
          <w:rFonts w:ascii="Times New Roman" w:hAnsi="Times New Roman" w:cs="Times New Roman"/>
          <w:b/>
          <w:color w:val="000000"/>
          <w:sz w:val="20"/>
          <w:szCs w:val="20"/>
          <w:lang w:val="en-IN"/>
        </w:rPr>
        <w:t>: Use of G-CSF in various setting in the study</w:t>
      </w:r>
    </w:p>
    <w:tbl>
      <w:tblPr>
        <w:tblStyle w:val="TableGrid"/>
        <w:tblW w:w="0" w:type="auto"/>
        <w:tblInd w:w="1548" w:type="dxa"/>
        <w:tblLook w:val="04A0"/>
      </w:tblPr>
      <w:tblGrid>
        <w:gridCol w:w="3780"/>
        <w:gridCol w:w="1800"/>
      </w:tblGrid>
      <w:tr w:rsidR="00477BBF" w:rsidRPr="00CF7510" w:rsidTr="00A07FDB">
        <w:trPr>
          <w:trHeight w:val="350"/>
        </w:trPr>
        <w:tc>
          <w:tcPr>
            <w:tcW w:w="378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 xml:space="preserve">Indication of G-CSF in </w:t>
            </w:r>
            <w:proofErr w:type="spellStart"/>
            <w:r w:rsidRPr="00A07FDB">
              <w:rPr>
                <w:rFonts w:ascii="Times New Roman" w:eastAsia="Times New Roman" w:hAnsi="Times New Roman" w:cs="Times New Roman"/>
                <w:color w:val="000000" w:themeColor="text1"/>
                <w:sz w:val="18"/>
                <w:szCs w:val="18"/>
              </w:rPr>
              <w:t>Neutropenic</w:t>
            </w:r>
            <w:proofErr w:type="spellEnd"/>
            <w:r w:rsidRPr="00A07FDB">
              <w:rPr>
                <w:rFonts w:ascii="Times New Roman" w:eastAsia="Times New Roman" w:hAnsi="Times New Roman" w:cs="Times New Roman"/>
                <w:color w:val="000000" w:themeColor="text1"/>
                <w:sz w:val="18"/>
                <w:szCs w:val="18"/>
              </w:rPr>
              <w:t xml:space="preserve"> patients </w:t>
            </w:r>
          </w:p>
        </w:tc>
        <w:tc>
          <w:tcPr>
            <w:tcW w:w="180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Number (%)</w:t>
            </w:r>
          </w:p>
        </w:tc>
      </w:tr>
      <w:tr w:rsidR="00477BBF" w:rsidRPr="00CF7510" w:rsidTr="00EC183A">
        <w:tc>
          <w:tcPr>
            <w:tcW w:w="378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Primary prophylaxis</w:t>
            </w:r>
          </w:p>
        </w:tc>
        <w:tc>
          <w:tcPr>
            <w:tcW w:w="180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1 (1.22%)</w:t>
            </w:r>
          </w:p>
        </w:tc>
      </w:tr>
      <w:tr w:rsidR="00477BBF" w:rsidRPr="00CF7510" w:rsidTr="00EC183A">
        <w:tc>
          <w:tcPr>
            <w:tcW w:w="378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 xml:space="preserve">Secondary </w:t>
            </w:r>
            <w:proofErr w:type="spellStart"/>
            <w:r w:rsidRPr="00A07FDB">
              <w:rPr>
                <w:rFonts w:ascii="Times New Roman" w:eastAsia="Times New Roman" w:hAnsi="Times New Roman" w:cs="Times New Roman"/>
                <w:color w:val="000000" w:themeColor="text1"/>
                <w:sz w:val="18"/>
                <w:szCs w:val="18"/>
              </w:rPr>
              <w:t>propylaxis</w:t>
            </w:r>
            <w:proofErr w:type="spellEnd"/>
          </w:p>
        </w:tc>
        <w:tc>
          <w:tcPr>
            <w:tcW w:w="180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23 (28.04%)</w:t>
            </w:r>
          </w:p>
        </w:tc>
      </w:tr>
      <w:tr w:rsidR="00477BBF" w:rsidRPr="00CF7510" w:rsidTr="00A07FDB">
        <w:trPr>
          <w:trHeight w:val="359"/>
        </w:trPr>
        <w:tc>
          <w:tcPr>
            <w:tcW w:w="378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 xml:space="preserve">Treatment of </w:t>
            </w:r>
            <w:proofErr w:type="spellStart"/>
            <w:r w:rsidRPr="00A07FDB">
              <w:rPr>
                <w:rFonts w:ascii="Times New Roman" w:eastAsia="Times New Roman" w:hAnsi="Times New Roman" w:cs="Times New Roman"/>
                <w:color w:val="000000" w:themeColor="text1"/>
                <w:sz w:val="18"/>
                <w:szCs w:val="18"/>
              </w:rPr>
              <w:t>neutropenia</w:t>
            </w:r>
            <w:proofErr w:type="spellEnd"/>
          </w:p>
        </w:tc>
        <w:tc>
          <w:tcPr>
            <w:tcW w:w="1800" w:type="dxa"/>
          </w:tcPr>
          <w:p w:rsidR="00477BBF" w:rsidRPr="00A07FDB" w:rsidRDefault="00477BBF" w:rsidP="00EC183A">
            <w:pPr>
              <w:spacing w:before="144" w:after="144"/>
              <w:jc w:val="both"/>
              <w:outlineLvl w:val="4"/>
              <w:rPr>
                <w:rFonts w:ascii="Times New Roman" w:eastAsia="Times New Roman" w:hAnsi="Times New Roman" w:cs="Times New Roman"/>
                <w:color w:val="000000" w:themeColor="text1"/>
                <w:sz w:val="18"/>
                <w:szCs w:val="18"/>
              </w:rPr>
            </w:pPr>
            <w:r w:rsidRPr="00A07FDB">
              <w:rPr>
                <w:rFonts w:ascii="Times New Roman" w:eastAsia="Times New Roman" w:hAnsi="Times New Roman" w:cs="Times New Roman"/>
                <w:color w:val="000000" w:themeColor="text1"/>
                <w:sz w:val="18"/>
                <w:szCs w:val="18"/>
              </w:rPr>
              <w:t>15 (18.29%)</w:t>
            </w:r>
          </w:p>
        </w:tc>
      </w:tr>
    </w:tbl>
    <w:p w:rsidR="00A07FDB" w:rsidRDefault="00150339" w:rsidP="00A07FDB">
      <w:pPr>
        <w:autoSpaceDE w:val="0"/>
        <w:autoSpaceDN w:val="0"/>
        <w:adjustRightInd w:val="0"/>
        <w:jc w:val="both"/>
        <w:rPr>
          <w:rFonts w:ascii="Times New Roman" w:hAnsi="Times New Roman" w:cs="Times New Roman"/>
          <w:b/>
          <w:color w:val="000000"/>
          <w:sz w:val="28"/>
          <w:szCs w:val="28"/>
          <w:lang w:val="en-IN"/>
        </w:rPr>
      </w:pPr>
      <w:r>
        <w:rPr>
          <w:rFonts w:ascii="Times New Roman" w:hAnsi="Times New Roman" w:cs="Times New Roman"/>
          <w:b/>
          <w:color w:val="000000"/>
          <w:sz w:val="28"/>
          <w:szCs w:val="28"/>
          <w:lang w:val="en-IN"/>
        </w:rPr>
        <w:lastRenderedPageBreak/>
        <w:t>DISCUSSION</w:t>
      </w:r>
      <w:r w:rsidR="00107A71" w:rsidRPr="002A2D08">
        <w:rPr>
          <w:rFonts w:ascii="Times New Roman" w:hAnsi="Times New Roman" w:cs="Times New Roman"/>
          <w:b/>
          <w:color w:val="000000"/>
          <w:sz w:val="28"/>
          <w:szCs w:val="28"/>
          <w:lang w:val="en-IN"/>
        </w:rPr>
        <w:t>:</w:t>
      </w:r>
      <w:r w:rsidR="00A616DD" w:rsidRPr="002A2D08">
        <w:rPr>
          <w:rFonts w:ascii="Times New Roman" w:eastAsia="Times New Roman" w:hAnsi="Times New Roman" w:cs="Times New Roman"/>
          <w:color w:val="000000" w:themeColor="text1"/>
          <w:sz w:val="28"/>
          <w:szCs w:val="28"/>
        </w:rPr>
        <w:t xml:space="preserve"> </w:t>
      </w:r>
    </w:p>
    <w:p w:rsidR="00A616DD" w:rsidRPr="00A07FDB" w:rsidRDefault="00A616DD" w:rsidP="00A07FDB">
      <w:pPr>
        <w:autoSpaceDE w:val="0"/>
        <w:autoSpaceDN w:val="0"/>
        <w:adjustRightInd w:val="0"/>
        <w:jc w:val="both"/>
        <w:rPr>
          <w:rFonts w:ascii="Times New Roman" w:hAnsi="Times New Roman" w:cs="Times New Roman"/>
          <w:b/>
          <w:color w:val="000000"/>
          <w:sz w:val="28"/>
          <w:szCs w:val="28"/>
          <w:lang w:val="en-IN"/>
        </w:rPr>
      </w:pPr>
      <w:r w:rsidRPr="00CF7510">
        <w:rPr>
          <w:rFonts w:ascii="Times New Roman" w:eastAsia="Times New Roman" w:hAnsi="Times New Roman" w:cs="Times New Roman"/>
          <w:color w:val="000000" w:themeColor="text1"/>
          <w:sz w:val="20"/>
          <w:szCs w:val="20"/>
        </w:rPr>
        <w:t>Breast cancer is the 2</w:t>
      </w:r>
      <w:r w:rsidRPr="00CF7510">
        <w:rPr>
          <w:rFonts w:ascii="Times New Roman" w:eastAsia="Times New Roman" w:hAnsi="Times New Roman" w:cs="Times New Roman"/>
          <w:color w:val="000000" w:themeColor="text1"/>
          <w:sz w:val="20"/>
          <w:szCs w:val="20"/>
          <w:vertAlign w:val="superscript"/>
        </w:rPr>
        <w:t>nd</w:t>
      </w:r>
      <w:r w:rsidRPr="00CF7510">
        <w:rPr>
          <w:rFonts w:ascii="Times New Roman" w:eastAsia="Times New Roman" w:hAnsi="Times New Roman" w:cs="Times New Roman"/>
          <w:color w:val="000000" w:themeColor="text1"/>
          <w:sz w:val="20"/>
          <w:szCs w:val="20"/>
        </w:rPr>
        <w:t xml:space="preserve"> most common cancer worldwide and most common cancer in female. In general, breast</w:t>
      </w:r>
      <w:r w:rsidR="00847DD5" w:rsidRPr="00CF7510">
        <w:rPr>
          <w:rFonts w:ascii="Times New Roman" w:eastAsia="Times New Roman" w:hAnsi="Times New Roman" w:cs="Times New Roman"/>
          <w:color w:val="000000" w:themeColor="text1"/>
          <w:sz w:val="20"/>
          <w:szCs w:val="20"/>
        </w:rPr>
        <w:t xml:space="preserve"> cancer has been reported to </w:t>
      </w:r>
      <w:proofErr w:type="gramStart"/>
      <w:r w:rsidR="00847DD5" w:rsidRPr="00CF7510">
        <w:rPr>
          <w:rFonts w:ascii="Times New Roman" w:eastAsia="Times New Roman" w:hAnsi="Times New Roman" w:cs="Times New Roman"/>
          <w:color w:val="000000" w:themeColor="text1"/>
          <w:sz w:val="20"/>
          <w:szCs w:val="20"/>
        </w:rPr>
        <w:t>occu</w:t>
      </w:r>
      <w:r w:rsidRPr="00CF7510">
        <w:rPr>
          <w:rFonts w:ascii="Times New Roman" w:eastAsia="Times New Roman" w:hAnsi="Times New Roman" w:cs="Times New Roman"/>
          <w:color w:val="000000" w:themeColor="text1"/>
          <w:sz w:val="20"/>
          <w:szCs w:val="20"/>
        </w:rPr>
        <w:t>r</w:t>
      </w:r>
      <w:proofErr w:type="gramEnd"/>
      <w:r w:rsidRPr="00CF7510">
        <w:rPr>
          <w:rFonts w:ascii="Times New Roman" w:eastAsia="Times New Roman" w:hAnsi="Times New Roman" w:cs="Times New Roman"/>
          <w:color w:val="000000" w:themeColor="text1"/>
          <w:sz w:val="20"/>
          <w:szCs w:val="20"/>
        </w:rPr>
        <w:t xml:space="preserve"> a decade earlier in Indian patients compared with their Western counterparts. Although the majority of patients with breast cancer in Western countries are postmenopausal and in their 60s and 70s, the picture is quite different in India.</w:t>
      </w:r>
      <w:r w:rsidR="00024805" w:rsidRPr="00CF7510">
        <w:rPr>
          <w:rFonts w:ascii="Times New Roman" w:eastAsia="Times New Roman" w:hAnsi="Times New Roman" w:cs="Times New Roman"/>
          <w:color w:val="000000" w:themeColor="text1"/>
          <w:sz w:val="20"/>
          <w:szCs w:val="20"/>
          <w:vertAlign w:val="superscript"/>
        </w:rPr>
        <w:t>6,7</w:t>
      </w:r>
      <w:r w:rsidRPr="00CF7510">
        <w:rPr>
          <w:rFonts w:ascii="Times New Roman" w:eastAsia="Times New Roman" w:hAnsi="Times New Roman" w:cs="Times New Roman"/>
          <w:color w:val="000000" w:themeColor="text1"/>
          <w:sz w:val="20"/>
          <w:szCs w:val="20"/>
        </w:rPr>
        <w:t xml:space="preserve"> More than 80% of Indian patients are younger than 60 years of age.</w:t>
      </w:r>
      <w:r w:rsidR="00334576" w:rsidRPr="00CF7510">
        <w:rPr>
          <w:rFonts w:ascii="Times New Roman" w:eastAsia="Times New Roman" w:hAnsi="Times New Roman" w:cs="Times New Roman"/>
          <w:color w:val="000000" w:themeColor="text1"/>
          <w:sz w:val="20"/>
          <w:szCs w:val="20"/>
          <w:vertAlign w:val="superscript"/>
        </w:rPr>
        <w:t>8</w:t>
      </w:r>
      <w:r w:rsidRPr="00CF7510">
        <w:rPr>
          <w:rFonts w:ascii="Times New Roman" w:eastAsia="Times New Roman" w:hAnsi="Times New Roman" w:cs="Times New Roman"/>
          <w:color w:val="000000" w:themeColor="text1"/>
          <w:sz w:val="20"/>
          <w:szCs w:val="20"/>
        </w:rPr>
        <w:t xml:space="preserve"> The average age of patients with breast cancer has been reported to be 50 to 53 years in various population based studies done in different parts of the country.</w:t>
      </w:r>
      <w:r w:rsidR="00334576" w:rsidRPr="00CF7510">
        <w:rPr>
          <w:rFonts w:ascii="Times New Roman" w:eastAsia="Times New Roman" w:hAnsi="Times New Roman" w:cs="Times New Roman"/>
          <w:color w:val="000000" w:themeColor="text1"/>
          <w:sz w:val="20"/>
          <w:szCs w:val="20"/>
          <w:vertAlign w:val="superscript"/>
        </w:rPr>
        <w:t>9,10</w:t>
      </w:r>
      <w:r w:rsidRPr="00CF7510">
        <w:rPr>
          <w:rFonts w:ascii="Times New Roman" w:eastAsia="Times New Roman" w:hAnsi="Times New Roman" w:cs="Times New Roman"/>
          <w:color w:val="000000" w:themeColor="text1"/>
          <w:sz w:val="20"/>
          <w:szCs w:val="20"/>
          <w:vertAlign w:val="superscript"/>
        </w:rPr>
        <w:t xml:space="preserve">  </w:t>
      </w:r>
      <w:r w:rsidRPr="00CF7510">
        <w:rPr>
          <w:rFonts w:ascii="Times New Roman" w:eastAsia="Times New Roman" w:hAnsi="Times New Roman" w:cs="Times New Roman"/>
          <w:color w:val="000000" w:themeColor="text1"/>
          <w:sz w:val="20"/>
          <w:szCs w:val="20"/>
        </w:rPr>
        <w:t>In the present study we have documented a median age of 49.33± 9.13 years</w:t>
      </w:r>
      <w:r w:rsidR="00D72DAE" w:rsidRPr="00CF7510">
        <w:rPr>
          <w:rFonts w:ascii="Times New Roman" w:eastAsia="Times New Roman" w:hAnsi="Times New Roman" w:cs="Times New Roman"/>
          <w:color w:val="000000" w:themeColor="text1"/>
          <w:sz w:val="20"/>
          <w:szCs w:val="20"/>
        </w:rPr>
        <w:t xml:space="preserve"> which is similar to the study by </w:t>
      </w:r>
      <w:proofErr w:type="spellStart"/>
      <w:r w:rsidR="00D72DAE" w:rsidRPr="00CF7510">
        <w:rPr>
          <w:rFonts w:ascii="Times New Roman" w:eastAsia="Times New Roman" w:hAnsi="Times New Roman" w:cs="Times New Roman"/>
          <w:color w:val="000000" w:themeColor="text1"/>
          <w:sz w:val="20"/>
          <w:szCs w:val="20"/>
        </w:rPr>
        <w:t>Gogia</w:t>
      </w:r>
      <w:proofErr w:type="spellEnd"/>
      <w:r w:rsidR="00D72DAE" w:rsidRPr="00CF7510">
        <w:rPr>
          <w:rFonts w:ascii="Times New Roman" w:eastAsia="Times New Roman" w:hAnsi="Times New Roman" w:cs="Times New Roman"/>
          <w:color w:val="000000" w:themeColor="text1"/>
          <w:sz w:val="20"/>
          <w:szCs w:val="20"/>
        </w:rPr>
        <w:t xml:space="preserve"> A et</w:t>
      </w:r>
      <w:r w:rsidRPr="00CF7510">
        <w:rPr>
          <w:rFonts w:ascii="Times New Roman" w:eastAsia="Times New Roman" w:hAnsi="Times New Roman" w:cs="Times New Roman"/>
          <w:color w:val="000000" w:themeColor="text1"/>
          <w:sz w:val="20"/>
          <w:szCs w:val="20"/>
        </w:rPr>
        <w:t>.</w:t>
      </w:r>
      <w:r w:rsidR="00D72DAE" w:rsidRPr="00CF7510">
        <w:rPr>
          <w:rFonts w:ascii="Times New Roman" w:eastAsia="Times New Roman" w:hAnsi="Times New Roman" w:cs="Times New Roman"/>
          <w:color w:val="000000" w:themeColor="text1"/>
          <w:sz w:val="20"/>
          <w:szCs w:val="20"/>
          <w:vertAlign w:val="superscript"/>
        </w:rPr>
        <w:t>11</w:t>
      </w:r>
      <w:r w:rsidRPr="00CF7510">
        <w:rPr>
          <w:rFonts w:ascii="Times New Roman" w:eastAsia="Times New Roman" w:hAnsi="Times New Roman" w:cs="Times New Roman"/>
          <w:color w:val="000000" w:themeColor="text1"/>
          <w:sz w:val="20"/>
          <w:szCs w:val="20"/>
        </w:rPr>
        <w:t xml:space="preserve"> In studies from Western countries, the median age of presentation w</w:t>
      </w:r>
      <w:r w:rsidR="00DD15CC" w:rsidRPr="00CF7510">
        <w:rPr>
          <w:rFonts w:ascii="Times New Roman" w:eastAsia="Times New Roman" w:hAnsi="Times New Roman" w:cs="Times New Roman"/>
          <w:color w:val="000000" w:themeColor="text1"/>
          <w:sz w:val="20"/>
          <w:szCs w:val="20"/>
        </w:rPr>
        <w:t>as 55 to 60 years.</w:t>
      </w:r>
      <w:r w:rsidR="00334576" w:rsidRPr="00CF7510">
        <w:rPr>
          <w:rFonts w:ascii="Times New Roman" w:eastAsia="Times New Roman" w:hAnsi="Times New Roman" w:cs="Times New Roman"/>
          <w:color w:val="000000" w:themeColor="text1"/>
          <w:sz w:val="20"/>
          <w:szCs w:val="20"/>
          <w:vertAlign w:val="superscript"/>
        </w:rPr>
        <w:t>6,7</w:t>
      </w:r>
      <w:r w:rsidR="00DD15CC" w:rsidRPr="00CF7510">
        <w:rPr>
          <w:rFonts w:ascii="Times New Roman" w:eastAsia="Times New Roman" w:hAnsi="Times New Roman" w:cs="Times New Roman"/>
          <w:color w:val="000000" w:themeColor="text1"/>
          <w:sz w:val="20"/>
          <w:szCs w:val="20"/>
        </w:rPr>
        <w:t xml:space="preserve"> The present </w:t>
      </w:r>
      <w:r w:rsidRPr="00CF7510">
        <w:rPr>
          <w:rFonts w:ascii="Times New Roman" w:eastAsia="Times New Roman" w:hAnsi="Times New Roman" w:cs="Times New Roman"/>
          <w:color w:val="000000" w:themeColor="text1"/>
          <w:sz w:val="20"/>
          <w:szCs w:val="20"/>
        </w:rPr>
        <w:t>study documented that approximately 43.81% of patients were premenopausal and 56.19% were postmenopausal, whereas studies from the Western world documented 70% to 80% postmenopausal patients</w:t>
      </w:r>
      <w:r w:rsidR="00A61338" w:rsidRPr="00CF7510">
        <w:rPr>
          <w:rFonts w:ascii="Times New Roman" w:eastAsia="Times New Roman" w:hAnsi="Times New Roman" w:cs="Times New Roman"/>
          <w:color w:val="000000" w:themeColor="text1"/>
          <w:sz w:val="20"/>
          <w:szCs w:val="20"/>
        </w:rPr>
        <w:t>.</w:t>
      </w:r>
      <w:r w:rsidR="00D72DAE" w:rsidRPr="00CF7510">
        <w:rPr>
          <w:rFonts w:ascii="Times New Roman" w:eastAsia="Times New Roman" w:hAnsi="Times New Roman" w:cs="Times New Roman"/>
          <w:color w:val="000000" w:themeColor="text1"/>
          <w:sz w:val="20"/>
          <w:szCs w:val="20"/>
          <w:vertAlign w:val="superscript"/>
        </w:rPr>
        <w:t>6,7</w:t>
      </w:r>
    </w:p>
    <w:p w:rsidR="00A616DD" w:rsidRPr="00D01818" w:rsidRDefault="00A616DD" w:rsidP="00D01818">
      <w:pPr>
        <w:pStyle w:val="NoSpacing"/>
        <w:rPr>
          <w:rFonts w:ascii="Times New Roman" w:hAnsi="Times New Roman" w:cs="Times New Roman"/>
          <w:sz w:val="20"/>
          <w:szCs w:val="20"/>
        </w:rPr>
      </w:pPr>
      <w:r w:rsidRPr="00D01818">
        <w:rPr>
          <w:rFonts w:ascii="Times New Roman" w:hAnsi="Times New Roman" w:cs="Times New Roman"/>
          <w:sz w:val="20"/>
          <w:szCs w:val="20"/>
        </w:rPr>
        <w:t>In this study, HR (</w:t>
      </w:r>
      <w:r w:rsidR="00A61338" w:rsidRPr="00D01818">
        <w:rPr>
          <w:rFonts w:ascii="Times New Roman" w:hAnsi="Times New Roman" w:cs="Times New Roman"/>
          <w:sz w:val="20"/>
          <w:szCs w:val="20"/>
        </w:rPr>
        <w:t xml:space="preserve">ER and/or PR) was positive in 55.71% (n=117) of patients, </w:t>
      </w:r>
      <w:r w:rsidRPr="00D01818">
        <w:rPr>
          <w:rFonts w:ascii="Times New Roman" w:hAnsi="Times New Roman" w:cs="Times New Roman"/>
          <w:sz w:val="20"/>
          <w:szCs w:val="20"/>
        </w:rPr>
        <w:t>previous studies documente</w:t>
      </w:r>
      <w:r w:rsidR="00A61338" w:rsidRPr="00D01818">
        <w:rPr>
          <w:rFonts w:ascii="Times New Roman" w:hAnsi="Times New Roman" w:cs="Times New Roman"/>
          <w:sz w:val="20"/>
          <w:szCs w:val="20"/>
        </w:rPr>
        <w:t>d approximately 49% to 68% of HR positive status</w:t>
      </w:r>
      <w:r w:rsidRPr="00D01818">
        <w:rPr>
          <w:rFonts w:ascii="Times New Roman" w:hAnsi="Times New Roman" w:cs="Times New Roman"/>
          <w:sz w:val="20"/>
          <w:szCs w:val="20"/>
        </w:rPr>
        <w:t>.</w:t>
      </w:r>
      <w:r w:rsidR="00D72DAE" w:rsidRPr="00D01818">
        <w:rPr>
          <w:rFonts w:ascii="Times New Roman" w:hAnsi="Times New Roman" w:cs="Times New Roman"/>
          <w:sz w:val="20"/>
          <w:szCs w:val="20"/>
        </w:rPr>
        <w:t>6</w:t>
      </w:r>
      <w:proofErr w:type="gramStart"/>
      <w:r w:rsidR="00D72DAE" w:rsidRPr="00D01818">
        <w:rPr>
          <w:rFonts w:ascii="Times New Roman" w:hAnsi="Times New Roman" w:cs="Times New Roman"/>
          <w:sz w:val="20"/>
          <w:szCs w:val="20"/>
        </w:rPr>
        <w:t>,7,11</w:t>
      </w:r>
      <w:proofErr w:type="gramEnd"/>
      <w:r w:rsidRPr="00D01818">
        <w:rPr>
          <w:rFonts w:ascii="Times New Roman" w:hAnsi="Times New Roman" w:cs="Times New Roman"/>
          <w:sz w:val="20"/>
          <w:szCs w:val="20"/>
        </w:rPr>
        <w:t xml:space="preserve"> The incidence of </w:t>
      </w:r>
      <w:r w:rsidR="00271A91" w:rsidRPr="00D01818">
        <w:rPr>
          <w:rFonts w:ascii="Times New Roman" w:hAnsi="Times New Roman" w:cs="Times New Roman"/>
          <w:sz w:val="20"/>
          <w:szCs w:val="20"/>
        </w:rPr>
        <w:t>TNBC in the present study was 20.47% (n=43) which is higher compared to the study</w:t>
      </w:r>
      <w:r w:rsidRPr="00D01818">
        <w:rPr>
          <w:rFonts w:ascii="Times New Roman" w:hAnsi="Times New Roman" w:cs="Times New Roman"/>
          <w:sz w:val="20"/>
          <w:szCs w:val="20"/>
        </w:rPr>
        <w:t xml:space="preserve"> by </w:t>
      </w:r>
      <w:proofErr w:type="spellStart"/>
      <w:r w:rsidRPr="00D01818">
        <w:rPr>
          <w:rFonts w:ascii="Times New Roman" w:hAnsi="Times New Roman" w:cs="Times New Roman"/>
          <w:sz w:val="20"/>
          <w:szCs w:val="20"/>
        </w:rPr>
        <w:t>Kunikullaya</w:t>
      </w:r>
      <w:proofErr w:type="spellEnd"/>
      <w:r w:rsidRPr="00D01818">
        <w:rPr>
          <w:rFonts w:ascii="Times New Roman" w:hAnsi="Times New Roman" w:cs="Times New Roman"/>
          <w:sz w:val="20"/>
          <w:szCs w:val="20"/>
        </w:rPr>
        <w:t xml:space="preserve"> SU et al (16%).</w:t>
      </w:r>
      <w:r w:rsidR="001A1F49" w:rsidRPr="00D01818">
        <w:rPr>
          <w:rFonts w:ascii="Times New Roman" w:hAnsi="Times New Roman" w:cs="Times New Roman"/>
          <w:sz w:val="20"/>
          <w:szCs w:val="20"/>
        </w:rPr>
        <w:t>12</w:t>
      </w:r>
    </w:p>
    <w:p w:rsidR="00276032" w:rsidRPr="00D01818" w:rsidRDefault="00276032" w:rsidP="00D01818">
      <w:pPr>
        <w:pStyle w:val="NoSpacing"/>
        <w:rPr>
          <w:rFonts w:ascii="Times New Roman" w:hAnsi="Times New Roman" w:cs="Times New Roman"/>
          <w:sz w:val="20"/>
          <w:szCs w:val="20"/>
          <w:lang w:val="en-IN"/>
        </w:rPr>
      </w:pPr>
      <w:r w:rsidRPr="00D01818">
        <w:rPr>
          <w:rFonts w:ascii="Times New Roman" w:hAnsi="Times New Roman" w:cs="Times New Roman"/>
          <w:sz w:val="20"/>
          <w:szCs w:val="20"/>
          <w:lang w:val="en-IN"/>
        </w:rPr>
        <w:t xml:space="preserve">The development of </w:t>
      </w:r>
      <w:proofErr w:type="spellStart"/>
      <w:r w:rsidRPr="00D01818">
        <w:rPr>
          <w:rFonts w:ascii="Times New Roman" w:hAnsi="Times New Roman" w:cs="Times New Roman"/>
          <w:sz w:val="20"/>
          <w:szCs w:val="20"/>
          <w:lang w:val="en-IN"/>
        </w:rPr>
        <w:t>neutropenia</w:t>
      </w:r>
      <w:proofErr w:type="spellEnd"/>
      <w:r w:rsidRPr="00D01818">
        <w:rPr>
          <w:rFonts w:ascii="Times New Roman" w:hAnsi="Times New Roman" w:cs="Times New Roman"/>
          <w:sz w:val="20"/>
          <w:szCs w:val="20"/>
          <w:lang w:val="en-IN"/>
        </w:rPr>
        <w:t xml:space="preserve"> during chemotherapy is influenced as much as by the character</w:t>
      </w:r>
      <w:r w:rsidR="00572EA3" w:rsidRPr="00D01818">
        <w:rPr>
          <w:rFonts w:ascii="Times New Roman" w:hAnsi="Times New Roman" w:cs="Times New Roman"/>
          <w:sz w:val="20"/>
          <w:szCs w:val="20"/>
          <w:lang w:val="en-IN"/>
        </w:rPr>
        <w:t>i</w:t>
      </w:r>
      <w:r w:rsidRPr="00D01818">
        <w:rPr>
          <w:rFonts w:ascii="Times New Roman" w:hAnsi="Times New Roman" w:cs="Times New Roman"/>
          <w:sz w:val="20"/>
          <w:szCs w:val="20"/>
          <w:lang w:val="en-IN"/>
        </w:rPr>
        <w:t xml:space="preserve">stics of the drug used as by the conditions presented by the patient. Although the risk factors for </w:t>
      </w:r>
      <w:proofErr w:type="spellStart"/>
      <w:r w:rsidRPr="00D01818">
        <w:rPr>
          <w:rFonts w:ascii="Times New Roman" w:hAnsi="Times New Roman" w:cs="Times New Roman"/>
          <w:sz w:val="20"/>
          <w:szCs w:val="20"/>
          <w:lang w:val="en-IN"/>
        </w:rPr>
        <w:t>neutropenia</w:t>
      </w:r>
      <w:proofErr w:type="spellEnd"/>
      <w:r w:rsidRPr="00D01818">
        <w:rPr>
          <w:rFonts w:ascii="Times New Roman" w:hAnsi="Times New Roman" w:cs="Times New Roman"/>
          <w:sz w:val="20"/>
          <w:szCs w:val="20"/>
          <w:lang w:val="en-IN"/>
        </w:rPr>
        <w:t xml:space="preserve"> during chemotherapy with </w:t>
      </w:r>
      <w:proofErr w:type="spellStart"/>
      <w:r w:rsidRPr="00D01818">
        <w:rPr>
          <w:rFonts w:ascii="Times New Roman" w:hAnsi="Times New Roman" w:cs="Times New Roman"/>
          <w:sz w:val="20"/>
          <w:szCs w:val="20"/>
          <w:lang w:val="en-IN"/>
        </w:rPr>
        <w:t>paclitaxel</w:t>
      </w:r>
      <w:proofErr w:type="spellEnd"/>
      <w:r w:rsidRPr="00D01818">
        <w:rPr>
          <w:rFonts w:ascii="Times New Roman" w:hAnsi="Times New Roman" w:cs="Times New Roman"/>
          <w:sz w:val="20"/>
          <w:szCs w:val="20"/>
          <w:lang w:val="en-IN"/>
        </w:rPr>
        <w:t xml:space="preserve"> in breast cancer patients is not well defined, current studies found advanced age</w:t>
      </w:r>
      <w:r w:rsidR="001A1F49" w:rsidRPr="00D01818">
        <w:rPr>
          <w:rFonts w:ascii="Times New Roman" w:hAnsi="Times New Roman" w:cs="Times New Roman"/>
          <w:sz w:val="20"/>
          <w:szCs w:val="20"/>
          <w:lang w:val="en-IN"/>
        </w:rPr>
        <w:t xml:space="preserve"> </w:t>
      </w:r>
      <w:r w:rsidR="00271A91" w:rsidRPr="00D01818">
        <w:rPr>
          <w:rFonts w:ascii="Times New Roman" w:hAnsi="Times New Roman" w:cs="Times New Roman"/>
          <w:sz w:val="20"/>
          <w:szCs w:val="20"/>
          <w:lang w:val="en-IN"/>
        </w:rPr>
        <w:t>(&gt;</w:t>
      </w:r>
      <w:r w:rsidR="001A1F49" w:rsidRPr="00D01818">
        <w:rPr>
          <w:rFonts w:ascii="Times New Roman" w:hAnsi="Times New Roman" w:cs="Times New Roman"/>
          <w:sz w:val="20"/>
          <w:szCs w:val="20"/>
          <w:lang w:val="en-IN"/>
        </w:rPr>
        <w:t xml:space="preserve"> </w:t>
      </w:r>
      <w:r w:rsidR="00271A91" w:rsidRPr="00D01818">
        <w:rPr>
          <w:rFonts w:ascii="Times New Roman" w:hAnsi="Times New Roman" w:cs="Times New Roman"/>
          <w:sz w:val="20"/>
          <w:szCs w:val="20"/>
          <w:lang w:val="en-IN"/>
        </w:rPr>
        <w:t>60 years)</w:t>
      </w:r>
      <w:r w:rsidRPr="00D01818">
        <w:rPr>
          <w:rFonts w:ascii="Times New Roman" w:hAnsi="Times New Roman" w:cs="Times New Roman"/>
          <w:sz w:val="20"/>
          <w:szCs w:val="20"/>
          <w:lang w:val="en-IN"/>
        </w:rPr>
        <w:t>, low ECOG PS</w:t>
      </w:r>
      <w:r w:rsidR="00271A91" w:rsidRPr="00D01818">
        <w:rPr>
          <w:rFonts w:ascii="Times New Roman" w:hAnsi="Times New Roman" w:cs="Times New Roman"/>
          <w:sz w:val="20"/>
          <w:szCs w:val="20"/>
          <w:lang w:val="en-IN"/>
        </w:rPr>
        <w:t xml:space="preserve"> (≥2)</w:t>
      </w:r>
      <w:r w:rsidR="005B3CA1" w:rsidRPr="00D01818">
        <w:rPr>
          <w:rFonts w:ascii="Times New Roman" w:hAnsi="Times New Roman" w:cs="Times New Roman"/>
          <w:sz w:val="20"/>
          <w:szCs w:val="20"/>
          <w:lang w:val="en-IN"/>
        </w:rPr>
        <w:t>, reduction</w:t>
      </w:r>
      <w:r w:rsidR="00A616DD" w:rsidRPr="00D01818">
        <w:rPr>
          <w:rFonts w:ascii="Times New Roman" w:hAnsi="Times New Roman" w:cs="Times New Roman"/>
          <w:sz w:val="20"/>
          <w:szCs w:val="20"/>
          <w:lang w:val="en-IN"/>
        </w:rPr>
        <w:t xml:space="preserve"> in haemoglobin and total count</w:t>
      </w:r>
      <w:r w:rsidRPr="00D01818">
        <w:rPr>
          <w:rFonts w:ascii="Times New Roman" w:hAnsi="Times New Roman" w:cs="Times New Roman"/>
          <w:sz w:val="20"/>
          <w:szCs w:val="20"/>
          <w:lang w:val="en-IN"/>
        </w:rPr>
        <w:t xml:space="preserve"> prior to starting </w:t>
      </w:r>
      <w:proofErr w:type="spellStart"/>
      <w:r w:rsidRPr="00D01818">
        <w:rPr>
          <w:rFonts w:ascii="Times New Roman" w:hAnsi="Times New Roman" w:cs="Times New Roman"/>
          <w:sz w:val="20"/>
          <w:szCs w:val="20"/>
          <w:lang w:val="en-IN"/>
        </w:rPr>
        <w:t>paclitaxel</w:t>
      </w:r>
      <w:proofErr w:type="spellEnd"/>
      <w:r w:rsidRPr="00D01818">
        <w:rPr>
          <w:rFonts w:ascii="Times New Roman" w:hAnsi="Times New Roman" w:cs="Times New Roman"/>
          <w:sz w:val="20"/>
          <w:szCs w:val="20"/>
          <w:lang w:val="en-IN"/>
        </w:rPr>
        <w:t xml:space="preserve"> as a major risk factor</w:t>
      </w:r>
      <w:r w:rsidR="00A616DD" w:rsidRPr="00D01818">
        <w:rPr>
          <w:rFonts w:ascii="Times New Roman" w:hAnsi="Times New Roman" w:cs="Times New Roman"/>
          <w:sz w:val="20"/>
          <w:szCs w:val="20"/>
          <w:lang w:val="en-IN"/>
        </w:rPr>
        <w:t xml:space="preserve"> for development of subsequent CIN</w:t>
      </w:r>
      <w:r w:rsidRPr="00D01818">
        <w:rPr>
          <w:rFonts w:ascii="Times New Roman" w:hAnsi="Times New Roman" w:cs="Times New Roman"/>
          <w:sz w:val="20"/>
          <w:szCs w:val="20"/>
          <w:lang w:val="en-IN"/>
        </w:rPr>
        <w:t xml:space="preserve">. </w:t>
      </w:r>
    </w:p>
    <w:p w:rsidR="00DB7273" w:rsidRPr="00CF7510" w:rsidRDefault="004063D0" w:rsidP="00D35966">
      <w:pPr>
        <w:shd w:val="clear" w:color="auto" w:fill="FFFFFF"/>
        <w:spacing w:before="144" w:after="144" w:line="240" w:lineRule="auto"/>
        <w:jc w:val="both"/>
        <w:outlineLvl w:val="4"/>
        <w:rPr>
          <w:rFonts w:ascii="Times New Roman" w:hAnsi="Times New Roman" w:cs="Times New Roman"/>
          <w:color w:val="000000"/>
          <w:sz w:val="20"/>
          <w:szCs w:val="20"/>
          <w:lang w:val="en-IN"/>
        </w:rPr>
      </w:pPr>
      <w:r w:rsidRPr="00CF7510">
        <w:rPr>
          <w:rFonts w:ascii="Times New Roman" w:hAnsi="Times New Roman" w:cs="Times New Roman"/>
          <w:color w:val="000000"/>
          <w:sz w:val="20"/>
          <w:szCs w:val="20"/>
          <w:lang w:val="en-IN"/>
        </w:rPr>
        <w:t>The incidence of</w:t>
      </w:r>
      <w:r w:rsidR="00A616DD" w:rsidRPr="00CF7510">
        <w:rPr>
          <w:rFonts w:ascii="Times New Roman" w:hAnsi="Times New Roman" w:cs="Times New Roman"/>
          <w:color w:val="000000"/>
          <w:sz w:val="20"/>
          <w:szCs w:val="20"/>
          <w:lang w:val="en-IN"/>
        </w:rPr>
        <w:t xml:space="preserve"> </w:t>
      </w:r>
      <w:proofErr w:type="spellStart"/>
      <w:r w:rsidR="00276032" w:rsidRPr="00CF7510">
        <w:rPr>
          <w:rFonts w:ascii="Times New Roman" w:hAnsi="Times New Roman" w:cs="Times New Roman"/>
          <w:color w:val="000000"/>
          <w:sz w:val="20"/>
          <w:szCs w:val="20"/>
          <w:lang w:val="en-IN"/>
        </w:rPr>
        <w:t>neutropenia</w:t>
      </w:r>
      <w:proofErr w:type="spellEnd"/>
      <w:r w:rsidR="00276032" w:rsidRPr="00CF7510">
        <w:rPr>
          <w:rFonts w:ascii="Times New Roman" w:hAnsi="Times New Roman" w:cs="Times New Roman"/>
          <w:color w:val="000000"/>
          <w:sz w:val="20"/>
          <w:szCs w:val="20"/>
          <w:lang w:val="en-IN"/>
        </w:rPr>
        <w:t xml:space="preserve"> in the present study was 39.02% (n=82) which is quite </w:t>
      </w:r>
      <w:r w:rsidR="00B528E1" w:rsidRPr="00CF7510">
        <w:rPr>
          <w:rFonts w:ascii="Times New Roman" w:hAnsi="Times New Roman" w:cs="Times New Roman"/>
          <w:color w:val="000000"/>
          <w:sz w:val="20"/>
          <w:szCs w:val="20"/>
          <w:lang w:val="en-IN"/>
        </w:rPr>
        <w:t xml:space="preserve">different as reported by other </w:t>
      </w:r>
      <w:r w:rsidRPr="00CF7510">
        <w:rPr>
          <w:rFonts w:ascii="Times New Roman" w:hAnsi="Times New Roman" w:cs="Times New Roman"/>
          <w:color w:val="000000"/>
          <w:sz w:val="20"/>
          <w:szCs w:val="20"/>
          <w:lang w:val="en-IN"/>
        </w:rPr>
        <w:t xml:space="preserve">researcher e.g. </w:t>
      </w:r>
      <w:r w:rsidR="00B528E1" w:rsidRPr="00CF7510">
        <w:rPr>
          <w:rFonts w:ascii="Times New Roman" w:hAnsi="Times New Roman" w:cs="Times New Roman"/>
          <w:color w:val="000000"/>
          <w:sz w:val="20"/>
          <w:szCs w:val="20"/>
          <w:lang w:val="en-IN"/>
        </w:rPr>
        <w:t>10-34% by</w:t>
      </w:r>
      <w:r w:rsidR="00276032" w:rsidRPr="00CF7510">
        <w:rPr>
          <w:rFonts w:ascii="Times New Roman" w:hAnsi="Times New Roman" w:cs="Times New Roman"/>
          <w:color w:val="000000"/>
          <w:sz w:val="20"/>
          <w:szCs w:val="20"/>
          <w:lang w:val="en-IN"/>
        </w:rPr>
        <w:t xml:space="preserve"> </w:t>
      </w:r>
      <w:proofErr w:type="spellStart"/>
      <w:r w:rsidR="00276032" w:rsidRPr="00CF7510">
        <w:rPr>
          <w:rFonts w:ascii="Times New Roman" w:hAnsi="Times New Roman" w:cs="Times New Roman"/>
          <w:color w:val="000000"/>
          <w:sz w:val="20"/>
          <w:szCs w:val="20"/>
          <w:lang w:val="en-IN"/>
        </w:rPr>
        <w:t>Schwenkglenks</w:t>
      </w:r>
      <w:proofErr w:type="spellEnd"/>
      <w:r w:rsidR="00276032" w:rsidRPr="00CF7510">
        <w:rPr>
          <w:rFonts w:ascii="Times New Roman" w:hAnsi="Times New Roman" w:cs="Times New Roman"/>
          <w:color w:val="000000"/>
          <w:sz w:val="20"/>
          <w:szCs w:val="20"/>
          <w:lang w:val="en-IN"/>
        </w:rPr>
        <w:t xml:space="preserve"> M </w:t>
      </w:r>
      <w:r w:rsidR="001A6A72" w:rsidRPr="00CF7510">
        <w:rPr>
          <w:rFonts w:ascii="Times New Roman" w:hAnsi="Times New Roman" w:cs="Times New Roman"/>
          <w:color w:val="000000"/>
          <w:sz w:val="20"/>
          <w:szCs w:val="20"/>
          <w:lang w:val="en-IN"/>
        </w:rPr>
        <w:t xml:space="preserve">et al and </w:t>
      </w:r>
      <w:proofErr w:type="spellStart"/>
      <w:r w:rsidR="001A6A72" w:rsidRPr="00CF7510">
        <w:rPr>
          <w:rFonts w:ascii="Times New Roman" w:hAnsi="Times New Roman" w:cs="Times New Roman"/>
          <w:color w:val="000000"/>
          <w:sz w:val="20"/>
          <w:szCs w:val="20"/>
          <w:lang w:val="en-IN"/>
        </w:rPr>
        <w:t>Chia</w:t>
      </w:r>
      <w:proofErr w:type="spellEnd"/>
      <w:r w:rsidR="001A6A72" w:rsidRPr="00CF7510">
        <w:rPr>
          <w:rFonts w:ascii="Times New Roman" w:hAnsi="Times New Roman" w:cs="Times New Roman"/>
          <w:color w:val="000000"/>
          <w:sz w:val="20"/>
          <w:szCs w:val="20"/>
          <w:lang w:val="en-IN"/>
        </w:rPr>
        <w:t xml:space="preserve"> VM et al, 46.4% by </w:t>
      </w:r>
      <w:proofErr w:type="spellStart"/>
      <w:r w:rsidR="001A6A72" w:rsidRPr="00CF7510">
        <w:rPr>
          <w:rFonts w:ascii="Times New Roman" w:hAnsi="Times New Roman" w:cs="Times New Roman"/>
          <w:color w:val="000000"/>
          <w:sz w:val="20"/>
          <w:szCs w:val="20"/>
          <w:lang w:val="en-IN"/>
        </w:rPr>
        <w:t>Xuan</w:t>
      </w:r>
      <w:proofErr w:type="spellEnd"/>
      <w:r w:rsidR="001A6A72" w:rsidRPr="00CF7510">
        <w:rPr>
          <w:rFonts w:ascii="Times New Roman" w:hAnsi="Times New Roman" w:cs="Times New Roman"/>
          <w:color w:val="000000"/>
          <w:sz w:val="20"/>
          <w:szCs w:val="20"/>
          <w:lang w:val="en-IN"/>
        </w:rPr>
        <w:t xml:space="preserve"> Ye et al in Chinese patients</w:t>
      </w:r>
      <w:r w:rsidR="001763AC" w:rsidRPr="00CF7510">
        <w:rPr>
          <w:rFonts w:ascii="Times New Roman" w:hAnsi="Times New Roman" w:cs="Times New Roman"/>
          <w:color w:val="000000"/>
          <w:sz w:val="20"/>
          <w:szCs w:val="20"/>
          <w:lang w:val="en-IN"/>
        </w:rPr>
        <w:t xml:space="preserve">, 50.50% by </w:t>
      </w:r>
      <w:proofErr w:type="spellStart"/>
      <w:r w:rsidR="00377C10" w:rsidRPr="00CF7510">
        <w:rPr>
          <w:rFonts w:ascii="Times New Roman" w:hAnsi="Times New Roman" w:cs="Times New Roman"/>
          <w:color w:val="000000"/>
          <w:sz w:val="20"/>
          <w:szCs w:val="20"/>
          <w:lang w:val="en-IN"/>
        </w:rPr>
        <w:t>Yasunori</w:t>
      </w:r>
      <w:proofErr w:type="spellEnd"/>
      <w:r w:rsidR="00377C10" w:rsidRPr="00CF7510">
        <w:rPr>
          <w:rFonts w:ascii="Times New Roman" w:hAnsi="Times New Roman" w:cs="Times New Roman"/>
          <w:color w:val="000000"/>
          <w:sz w:val="20"/>
          <w:szCs w:val="20"/>
          <w:lang w:val="en-IN"/>
        </w:rPr>
        <w:t xml:space="preserve"> Hashiguchi </w:t>
      </w:r>
      <w:r w:rsidR="001763AC" w:rsidRPr="00CF7510">
        <w:rPr>
          <w:rFonts w:ascii="Times New Roman" w:hAnsi="Times New Roman" w:cs="Times New Roman"/>
          <w:color w:val="000000"/>
          <w:sz w:val="20"/>
          <w:szCs w:val="20"/>
          <w:lang w:val="en-IN"/>
        </w:rPr>
        <w:t>et al in Japanese patients</w:t>
      </w:r>
      <w:r w:rsidR="001A6A72" w:rsidRPr="00CF7510">
        <w:rPr>
          <w:rFonts w:ascii="Times New Roman" w:hAnsi="Times New Roman" w:cs="Times New Roman"/>
          <w:color w:val="000000"/>
          <w:sz w:val="20"/>
          <w:szCs w:val="20"/>
          <w:lang w:val="en-IN"/>
        </w:rPr>
        <w:t xml:space="preserve"> </w:t>
      </w:r>
      <w:r w:rsidR="00B528E1" w:rsidRPr="00CF7510">
        <w:rPr>
          <w:rFonts w:ascii="Times New Roman" w:hAnsi="Times New Roman" w:cs="Times New Roman"/>
          <w:color w:val="000000"/>
          <w:sz w:val="20"/>
          <w:szCs w:val="20"/>
          <w:lang w:val="en-IN"/>
        </w:rPr>
        <w:t xml:space="preserve">and 63.3% by </w:t>
      </w:r>
      <w:proofErr w:type="spellStart"/>
      <w:r w:rsidR="00CE5DD7" w:rsidRPr="00CF7510">
        <w:rPr>
          <w:rFonts w:ascii="Times New Roman" w:hAnsi="Times New Roman" w:cs="Times New Roman"/>
          <w:color w:val="000000"/>
          <w:sz w:val="20"/>
          <w:szCs w:val="20"/>
          <w:lang w:val="en-IN"/>
        </w:rPr>
        <w:t>Talita</w:t>
      </w:r>
      <w:proofErr w:type="spellEnd"/>
      <w:r w:rsidR="00CE5DD7" w:rsidRPr="00CF7510">
        <w:rPr>
          <w:rFonts w:ascii="Times New Roman" w:hAnsi="Times New Roman" w:cs="Times New Roman"/>
          <w:color w:val="000000"/>
          <w:sz w:val="20"/>
          <w:szCs w:val="20"/>
          <w:lang w:val="en-IN"/>
        </w:rPr>
        <w:t xml:space="preserve"> </w:t>
      </w:r>
      <w:proofErr w:type="spellStart"/>
      <w:r w:rsidR="00CE5DD7" w:rsidRPr="00CF7510">
        <w:rPr>
          <w:rFonts w:ascii="Times New Roman" w:hAnsi="Times New Roman" w:cs="Times New Roman"/>
          <w:color w:val="000000"/>
          <w:sz w:val="20"/>
          <w:szCs w:val="20"/>
          <w:lang w:val="en-IN"/>
        </w:rPr>
        <w:t>Gracia</w:t>
      </w:r>
      <w:proofErr w:type="spellEnd"/>
      <w:r w:rsidR="00CE5DD7" w:rsidRPr="00CF7510">
        <w:rPr>
          <w:rFonts w:ascii="Times New Roman" w:hAnsi="Times New Roman" w:cs="Times New Roman"/>
          <w:color w:val="000000"/>
          <w:sz w:val="20"/>
          <w:szCs w:val="20"/>
          <w:lang w:val="en-IN"/>
        </w:rPr>
        <w:t xml:space="preserve"> do </w:t>
      </w:r>
      <w:proofErr w:type="spellStart"/>
      <w:r w:rsidR="00CE5DD7" w:rsidRPr="00CF7510">
        <w:rPr>
          <w:rFonts w:ascii="Times New Roman" w:hAnsi="Times New Roman" w:cs="Times New Roman"/>
          <w:color w:val="000000"/>
          <w:sz w:val="20"/>
          <w:szCs w:val="20"/>
          <w:lang w:val="en-IN"/>
        </w:rPr>
        <w:t>Nascimento</w:t>
      </w:r>
      <w:proofErr w:type="spellEnd"/>
      <w:r w:rsidR="00CE5DD7" w:rsidRPr="00CF7510">
        <w:rPr>
          <w:rFonts w:ascii="Times New Roman" w:hAnsi="Times New Roman" w:cs="Times New Roman"/>
          <w:color w:val="000000"/>
          <w:sz w:val="20"/>
          <w:szCs w:val="20"/>
          <w:lang w:val="en-IN"/>
        </w:rPr>
        <w:t xml:space="preserve"> et al</w:t>
      </w:r>
      <w:r w:rsidR="001A6A72" w:rsidRPr="00CF7510">
        <w:rPr>
          <w:rFonts w:ascii="Times New Roman" w:hAnsi="Times New Roman" w:cs="Times New Roman"/>
          <w:color w:val="000000"/>
          <w:sz w:val="20"/>
          <w:szCs w:val="20"/>
          <w:lang w:val="en-IN"/>
        </w:rPr>
        <w:t xml:space="preserve"> in Brazilian patients</w:t>
      </w:r>
      <w:r w:rsidR="00CE5DD7" w:rsidRPr="00CF7510">
        <w:rPr>
          <w:rFonts w:ascii="Times New Roman" w:hAnsi="Times New Roman" w:cs="Times New Roman"/>
          <w:color w:val="000000"/>
          <w:sz w:val="20"/>
          <w:szCs w:val="20"/>
          <w:lang w:val="en-IN"/>
        </w:rPr>
        <w:t>.</w:t>
      </w:r>
      <w:r w:rsidR="001A1F49" w:rsidRPr="00CF7510">
        <w:rPr>
          <w:rFonts w:ascii="Times New Roman" w:hAnsi="Times New Roman" w:cs="Times New Roman"/>
          <w:color w:val="000000"/>
          <w:sz w:val="20"/>
          <w:szCs w:val="20"/>
          <w:vertAlign w:val="superscript"/>
          <w:lang w:val="en-IN"/>
        </w:rPr>
        <w:t>13,14</w:t>
      </w:r>
      <w:r w:rsidR="00A36837" w:rsidRPr="00CF7510">
        <w:rPr>
          <w:rFonts w:ascii="Times New Roman" w:hAnsi="Times New Roman" w:cs="Times New Roman"/>
          <w:color w:val="000000"/>
          <w:sz w:val="20"/>
          <w:szCs w:val="20"/>
          <w:vertAlign w:val="superscript"/>
          <w:lang w:val="en-IN"/>
        </w:rPr>
        <w:t>,15</w:t>
      </w:r>
      <w:r w:rsidR="00C14A97" w:rsidRPr="00CF7510">
        <w:rPr>
          <w:rFonts w:ascii="Times New Roman" w:hAnsi="Times New Roman" w:cs="Times New Roman"/>
          <w:color w:val="000000"/>
          <w:sz w:val="20"/>
          <w:szCs w:val="20"/>
          <w:vertAlign w:val="superscript"/>
          <w:lang w:val="en-IN"/>
        </w:rPr>
        <w:t>, 16, 17</w:t>
      </w:r>
      <w:r w:rsidR="00CE5DD7" w:rsidRPr="00CF7510">
        <w:rPr>
          <w:rFonts w:ascii="Times New Roman" w:hAnsi="Times New Roman" w:cs="Times New Roman"/>
          <w:color w:val="000000"/>
          <w:sz w:val="20"/>
          <w:szCs w:val="20"/>
          <w:lang w:val="en-IN"/>
        </w:rPr>
        <w:t xml:space="preserve"> </w:t>
      </w:r>
      <w:r w:rsidR="00377C10" w:rsidRPr="00CF7510">
        <w:rPr>
          <w:rFonts w:ascii="Times New Roman" w:hAnsi="Times New Roman" w:cs="Times New Roman"/>
          <w:color w:val="000000"/>
          <w:sz w:val="20"/>
          <w:szCs w:val="20"/>
          <w:lang w:val="en-IN"/>
        </w:rPr>
        <w:t>Incidence of FN</w:t>
      </w:r>
      <w:r w:rsidRPr="00CF7510">
        <w:rPr>
          <w:rFonts w:ascii="Times New Roman" w:hAnsi="Times New Roman" w:cs="Times New Roman"/>
          <w:color w:val="000000"/>
          <w:sz w:val="20"/>
          <w:szCs w:val="20"/>
          <w:lang w:val="en-IN"/>
        </w:rPr>
        <w:t xml:space="preserve"> in the present study was 8.54</w:t>
      </w:r>
      <w:r w:rsidR="00377C10" w:rsidRPr="00CF7510">
        <w:rPr>
          <w:rFonts w:ascii="Times New Roman" w:hAnsi="Times New Roman" w:cs="Times New Roman"/>
          <w:color w:val="000000"/>
          <w:sz w:val="20"/>
          <w:szCs w:val="20"/>
          <w:lang w:val="en-IN"/>
        </w:rPr>
        <w:t xml:space="preserve">% while it was 6.9% in the study by </w:t>
      </w:r>
      <w:proofErr w:type="spellStart"/>
      <w:r w:rsidR="00377C10" w:rsidRPr="00CF7510">
        <w:rPr>
          <w:rFonts w:ascii="Times New Roman" w:hAnsi="Times New Roman" w:cs="Times New Roman"/>
          <w:color w:val="000000"/>
          <w:sz w:val="20"/>
          <w:szCs w:val="20"/>
          <w:lang w:val="en-IN"/>
        </w:rPr>
        <w:t>Yasunori</w:t>
      </w:r>
      <w:proofErr w:type="spellEnd"/>
      <w:r w:rsidR="00377C10" w:rsidRPr="00CF7510">
        <w:rPr>
          <w:rFonts w:ascii="Times New Roman" w:hAnsi="Times New Roman" w:cs="Times New Roman"/>
          <w:color w:val="000000"/>
          <w:sz w:val="20"/>
          <w:szCs w:val="20"/>
          <w:lang w:val="en-IN"/>
        </w:rPr>
        <w:t xml:space="preserve"> Hashiguchi et al.</w:t>
      </w:r>
      <w:r w:rsidR="00C14A97" w:rsidRPr="00CF7510">
        <w:rPr>
          <w:rFonts w:ascii="Times New Roman" w:hAnsi="Times New Roman" w:cs="Times New Roman"/>
          <w:color w:val="000000"/>
          <w:sz w:val="20"/>
          <w:szCs w:val="20"/>
          <w:vertAlign w:val="superscript"/>
          <w:lang w:val="en-IN"/>
        </w:rPr>
        <w:t>16</w:t>
      </w:r>
      <w:r w:rsidR="00377C10" w:rsidRPr="00CF7510">
        <w:rPr>
          <w:rFonts w:ascii="Times New Roman" w:hAnsi="Times New Roman" w:cs="Times New Roman"/>
          <w:color w:val="000000"/>
          <w:sz w:val="20"/>
          <w:szCs w:val="20"/>
          <w:lang w:val="en-IN"/>
        </w:rPr>
        <w:t xml:space="preserve"> </w:t>
      </w:r>
      <w:r w:rsidR="00CE5DD7" w:rsidRPr="00CF7510">
        <w:rPr>
          <w:rFonts w:ascii="Times New Roman" w:hAnsi="Times New Roman" w:cs="Times New Roman"/>
          <w:color w:val="000000"/>
          <w:sz w:val="20"/>
          <w:szCs w:val="20"/>
          <w:lang w:val="en-IN"/>
        </w:rPr>
        <w:t xml:space="preserve">In our study we found that </w:t>
      </w:r>
      <w:proofErr w:type="spellStart"/>
      <w:r w:rsidR="00CE5DD7" w:rsidRPr="00CF7510">
        <w:rPr>
          <w:rFonts w:ascii="Times New Roman" w:hAnsi="Times New Roman" w:cs="Times New Roman"/>
          <w:color w:val="000000"/>
          <w:sz w:val="20"/>
          <w:szCs w:val="20"/>
          <w:lang w:val="en-IN"/>
        </w:rPr>
        <w:t>neutropenia</w:t>
      </w:r>
      <w:proofErr w:type="spellEnd"/>
      <w:r w:rsidR="00CE5DD7" w:rsidRPr="00CF7510">
        <w:rPr>
          <w:rFonts w:ascii="Times New Roman" w:hAnsi="Times New Roman" w:cs="Times New Roman"/>
          <w:color w:val="000000"/>
          <w:sz w:val="20"/>
          <w:szCs w:val="20"/>
          <w:lang w:val="en-IN"/>
        </w:rPr>
        <w:t xml:space="preserve"> was more when </w:t>
      </w:r>
      <w:proofErr w:type="spellStart"/>
      <w:r w:rsidR="00CE5DD7" w:rsidRPr="00CF7510">
        <w:rPr>
          <w:rFonts w:ascii="Times New Roman" w:hAnsi="Times New Roman" w:cs="Times New Roman"/>
          <w:color w:val="000000"/>
          <w:sz w:val="20"/>
          <w:szCs w:val="20"/>
          <w:lang w:val="en-IN"/>
        </w:rPr>
        <w:t>paclitaxel</w:t>
      </w:r>
      <w:proofErr w:type="spellEnd"/>
      <w:r w:rsidR="00CE5DD7" w:rsidRPr="00CF7510">
        <w:rPr>
          <w:rFonts w:ascii="Times New Roman" w:hAnsi="Times New Roman" w:cs="Times New Roman"/>
          <w:color w:val="000000"/>
          <w:sz w:val="20"/>
          <w:szCs w:val="20"/>
          <w:lang w:val="en-IN"/>
        </w:rPr>
        <w:t xml:space="preserve"> was used in palliative setting but </w:t>
      </w:r>
      <w:proofErr w:type="spellStart"/>
      <w:r w:rsidR="00CE5DD7" w:rsidRPr="00CF7510">
        <w:rPr>
          <w:rFonts w:ascii="Times New Roman" w:hAnsi="Times New Roman" w:cs="Times New Roman"/>
          <w:color w:val="000000"/>
          <w:sz w:val="20"/>
          <w:szCs w:val="20"/>
          <w:lang w:val="en-IN"/>
        </w:rPr>
        <w:t>Talita</w:t>
      </w:r>
      <w:proofErr w:type="spellEnd"/>
      <w:r w:rsidR="00CE5DD7" w:rsidRPr="00CF7510">
        <w:rPr>
          <w:rFonts w:ascii="Times New Roman" w:hAnsi="Times New Roman" w:cs="Times New Roman"/>
          <w:color w:val="000000"/>
          <w:sz w:val="20"/>
          <w:szCs w:val="20"/>
          <w:lang w:val="en-IN"/>
        </w:rPr>
        <w:t xml:space="preserve"> </w:t>
      </w:r>
      <w:proofErr w:type="spellStart"/>
      <w:r w:rsidR="00CE5DD7" w:rsidRPr="00CF7510">
        <w:rPr>
          <w:rFonts w:ascii="Times New Roman" w:hAnsi="Times New Roman" w:cs="Times New Roman"/>
          <w:color w:val="000000"/>
          <w:sz w:val="20"/>
          <w:szCs w:val="20"/>
          <w:lang w:val="en-IN"/>
        </w:rPr>
        <w:t>Gracia</w:t>
      </w:r>
      <w:proofErr w:type="spellEnd"/>
      <w:r w:rsidR="00CE5DD7" w:rsidRPr="00CF7510">
        <w:rPr>
          <w:rFonts w:ascii="Times New Roman" w:hAnsi="Times New Roman" w:cs="Times New Roman"/>
          <w:color w:val="000000"/>
          <w:sz w:val="20"/>
          <w:szCs w:val="20"/>
          <w:lang w:val="en-IN"/>
        </w:rPr>
        <w:t xml:space="preserve"> do </w:t>
      </w:r>
      <w:proofErr w:type="spellStart"/>
      <w:r w:rsidR="00CE5DD7" w:rsidRPr="00CF7510">
        <w:rPr>
          <w:rFonts w:ascii="Times New Roman" w:hAnsi="Times New Roman" w:cs="Times New Roman"/>
          <w:color w:val="000000"/>
          <w:sz w:val="20"/>
          <w:szCs w:val="20"/>
          <w:lang w:val="en-IN"/>
        </w:rPr>
        <w:t>Nascimento</w:t>
      </w:r>
      <w:proofErr w:type="spellEnd"/>
      <w:r w:rsidR="00CE5DD7" w:rsidRPr="00CF7510">
        <w:rPr>
          <w:rFonts w:ascii="Times New Roman" w:hAnsi="Times New Roman" w:cs="Times New Roman"/>
          <w:color w:val="000000"/>
          <w:sz w:val="20"/>
          <w:szCs w:val="20"/>
          <w:lang w:val="en-IN"/>
        </w:rPr>
        <w:t xml:space="preserve"> et al in their study found that it</w:t>
      </w:r>
      <w:r w:rsidR="00F26918" w:rsidRPr="00CF7510">
        <w:rPr>
          <w:rFonts w:ascii="Times New Roman" w:hAnsi="Times New Roman" w:cs="Times New Roman"/>
          <w:color w:val="000000"/>
          <w:sz w:val="20"/>
          <w:szCs w:val="20"/>
          <w:lang w:val="en-IN"/>
        </w:rPr>
        <w:t xml:space="preserve"> wa</w:t>
      </w:r>
      <w:r w:rsidR="00CE5DD7" w:rsidRPr="00CF7510">
        <w:rPr>
          <w:rFonts w:ascii="Times New Roman" w:hAnsi="Times New Roman" w:cs="Times New Roman"/>
          <w:color w:val="000000"/>
          <w:sz w:val="20"/>
          <w:szCs w:val="20"/>
          <w:lang w:val="en-IN"/>
        </w:rPr>
        <w:t>s common in adjuvant setting.</w:t>
      </w:r>
      <w:r w:rsidR="00C14A97" w:rsidRPr="00CF7510">
        <w:rPr>
          <w:rFonts w:ascii="Times New Roman" w:hAnsi="Times New Roman" w:cs="Times New Roman"/>
          <w:color w:val="000000"/>
          <w:sz w:val="20"/>
          <w:szCs w:val="20"/>
          <w:vertAlign w:val="superscript"/>
          <w:lang w:val="en-IN"/>
        </w:rPr>
        <w:t>17</w:t>
      </w:r>
      <w:r w:rsidR="00F26918" w:rsidRPr="00CF7510">
        <w:rPr>
          <w:rFonts w:ascii="Times New Roman" w:hAnsi="Times New Roman" w:cs="Times New Roman"/>
          <w:color w:val="000000"/>
          <w:sz w:val="20"/>
          <w:szCs w:val="20"/>
          <w:lang w:val="en-IN"/>
        </w:rPr>
        <w:t xml:space="preserve"> Among the 128 episodes of </w:t>
      </w:r>
      <w:proofErr w:type="spellStart"/>
      <w:r w:rsidR="00F26918" w:rsidRPr="00CF7510">
        <w:rPr>
          <w:rFonts w:ascii="Times New Roman" w:hAnsi="Times New Roman" w:cs="Times New Roman"/>
          <w:color w:val="000000"/>
          <w:sz w:val="20"/>
          <w:szCs w:val="20"/>
          <w:lang w:val="en-IN"/>
        </w:rPr>
        <w:t>neutropenia</w:t>
      </w:r>
      <w:proofErr w:type="spellEnd"/>
      <w:r w:rsidR="00F26918" w:rsidRPr="00CF7510">
        <w:rPr>
          <w:rFonts w:ascii="Times New Roman" w:hAnsi="Times New Roman" w:cs="Times New Roman"/>
          <w:color w:val="000000"/>
          <w:sz w:val="20"/>
          <w:szCs w:val="20"/>
          <w:lang w:val="en-IN"/>
        </w:rPr>
        <w:t xml:space="preserve">, grade 1 </w:t>
      </w:r>
      <w:proofErr w:type="spellStart"/>
      <w:r w:rsidR="00F26918" w:rsidRPr="00CF7510">
        <w:rPr>
          <w:rFonts w:ascii="Times New Roman" w:hAnsi="Times New Roman" w:cs="Times New Roman"/>
          <w:color w:val="000000"/>
          <w:sz w:val="20"/>
          <w:szCs w:val="20"/>
          <w:lang w:val="en-IN"/>
        </w:rPr>
        <w:t>neutropenia</w:t>
      </w:r>
      <w:proofErr w:type="spellEnd"/>
      <w:r w:rsidR="00F26918" w:rsidRPr="00CF7510">
        <w:rPr>
          <w:rFonts w:ascii="Times New Roman" w:hAnsi="Times New Roman" w:cs="Times New Roman"/>
          <w:color w:val="000000"/>
          <w:sz w:val="20"/>
          <w:szCs w:val="20"/>
          <w:lang w:val="en-IN"/>
        </w:rPr>
        <w:t xml:space="preserve"> was most common followed by grade 3 and grade 2 wh</w:t>
      </w:r>
      <w:r w:rsidR="004A649F" w:rsidRPr="00CF7510">
        <w:rPr>
          <w:rFonts w:ascii="Times New Roman" w:hAnsi="Times New Roman" w:cs="Times New Roman"/>
          <w:color w:val="000000"/>
          <w:sz w:val="20"/>
          <w:szCs w:val="20"/>
          <w:lang w:val="en-IN"/>
        </w:rPr>
        <w:t>ich was similar to the study by</w:t>
      </w:r>
      <w:r w:rsidR="00F26918" w:rsidRPr="00CF7510">
        <w:rPr>
          <w:rFonts w:ascii="Times New Roman" w:hAnsi="Times New Roman" w:cs="Times New Roman"/>
          <w:color w:val="000000"/>
          <w:sz w:val="20"/>
          <w:szCs w:val="20"/>
          <w:lang w:val="en-IN"/>
        </w:rPr>
        <w:t xml:space="preserve"> </w:t>
      </w:r>
      <w:proofErr w:type="spellStart"/>
      <w:r w:rsidR="00F26918" w:rsidRPr="00CF7510">
        <w:rPr>
          <w:rFonts w:ascii="Times New Roman" w:hAnsi="Times New Roman" w:cs="Times New Roman"/>
          <w:color w:val="000000"/>
          <w:sz w:val="20"/>
          <w:szCs w:val="20"/>
          <w:lang w:val="en-IN"/>
        </w:rPr>
        <w:t>Talita</w:t>
      </w:r>
      <w:proofErr w:type="spellEnd"/>
      <w:r w:rsidR="00F26918" w:rsidRPr="00CF7510">
        <w:rPr>
          <w:rFonts w:ascii="Times New Roman" w:hAnsi="Times New Roman" w:cs="Times New Roman"/>
          <w:color w:val="000000"/>
          <w:sz w:val="20"/>
          <w:szCs w:val="20"/>
          <w:lang w:val="en-IN"/>
        </w:rPr>
        <w:t xml:space="preserve"> </w:t>
      </w:r>
      <w:proofErr w:type="spellStart"/>
      <w:r w:rsidR="00F26918" w:rsidRPr="00CF7510">
        <w:rPr>
          <w:rFonts w:ascii="Times New Roman" w:hAnsi="Times New Roman" w:cs="Times New Roman"/>
          <w:color w:val="000000"/>
          <w:sz w:val="20"/>
          <w:szCs w:val="20"/>
          <w:lang w:val="en-IN"/>
        </w:rPr>
        <w:t>Gracia</w:t>
      </w:r>
      <w:proofErr w:type="spellEnd"/>
      <w:r w:rsidR="00F26918" w:rsidRPr="00CF7510">
        <w:rPr>
          <w:rFonts w:ascii="Times New Roman" w:hAnsi="Times New Roman" w:cs="Times New Roman"/>
          <w:color w:val="000000"/>
          <w:sz w:val="20"/>
          <w:szCs w:val="20"/>
          <w:lang w:val="en-IN"/>
        </w:rPr>
        <w:t xml:space="preserve"> do </w:t>
      </w:r>
      <w:proofErr w:type="spellStart"/>
      <w:r w:rsidR="00F26918" w:rsidRPr="00CF7510">
        <w:rPr>
          <w:rFonts w:ascii="Times New Roman" w:hAnsi="Times New Roman" w:cs="Times New Roman"/>
          <w:color w:val="000000"/>
          <w:sz w:val="20"/>
          <w:szCs w:val="20"/>
          <w:lang w:val="en-IN"/>
        </w:rPr>
        <w:t>Nascimento</w:t>
      </w:r>
      <w:proofErr w:type="spellEnd"/>
      <w:r w:rsidR="00F26918" w:rsidRPr="00CF7510">
        <w:rPr>
          <w:rFonts w:ascii="Times New Roman" w:hAnsi="Times New Roman" w:cs="Times New Roman"/>
          <w:color w:val="000000"/>
          <w:sz w:val="20"/>
          <w:szCs w:val="20"/>
          <w:lang w:val="en-IN"/>
        </w:rPr>
        <w:t xml:space="preserve"> et al</w:t>
      </w:r>
      <w:r w:rsidR="00AF2E00" w:rsidRPr="00CF7510">
        <w:rPr>
          <w:rFonts w:ascii="Times New Roman" w:hAnsi="Times New Roman" w:cs="Times New Roman"/>
          <w:color w:val="000000"/>
          <w:sz w:val="20"/>
          <w:szCs w:val="20"/>
          <w:lang w:val="en-IN"/>
        </w:rPr>
        <w:t>.</w:t>
      </w:r>
      <w:r w:rsidR="00C14A97" w:rsidRPr="00CF7510">
        <w:rPr>
          <w:rFonts w:ascii="Times New Roman" w:hAnsi="Times New Roman" w:cs="Times New Roman"/>
          <w:color w:val="000000"/>
          <w:sz w:val="20"/>
          <w:szCs w:val="20"/>
          <w:vertAlign w:val="superscript"/>
          <w:lang w:val="en-IN"/>
        </w:rPr>
        <w:t>17</w:t>
      </w:r>
      <w:r w:rsidR="00AF2E00" w:rsidRPr="00CF7510">
        <w:rPr>
          <w:rFonts w:ascii="Times New Roman" w:hAnsi="Times New Roman" w:cs="Times New Roman"/>
          <w:color w:val="000000"/>
          <w:sz w:val="20"/>
          <w:szCs w:val="20"/>
          <w:lang w:val="en-IN"/>
        </w:rPr>
        <w:t xml:space="preserve"> There was greater</w:t>
      </w:r>
      <w:r w:rsidR="004A649F" w:rsidRPr="00CF7510">
        <w:rPr>
          <w:rFonts w:ascii="Times New Roman" w:hAnsi="Times New Roman" w:cs="Times New Roman"/>
          <w:color w:val="000000"/>
          <w:sz w:val="20"/>
          <w:szCs w:val="20"/>
          <w:lang w:val="en-IN"/>
        </w:rPr>
        <w:t xml:space="preserve"> occurrence </w:t>
      </w:r>
      <w:r w:rsidR="00CD401C" w:rsidRPr="00CF7510">
        <w:rPr>
          <w:rFonts w:ascii="Times New Roman" w:hAnsi="Times New Roman" w:cs="Times New Roman"/>
          <w:color w:val="000000"/>
          <w:sz w:val="20"/>
          <w:szCs w:val="20"/>
          <w:lang w:val="en-IN"/>
        </w:rPr>
        <w:t xml:space="preserve">of </w:t>
      </w:r>
      <w:proofErr w:type="spellStart"/>
      <w:r w:rsidR="00CD401C" w:rsidRPr="00CF7510">
        <w:rPr>
          <w:rFonts w:ascii="Times New Roman" w:hAnsi="Times New Roman" w:cs="Times New Roman"/>
          <w:color w:val="000000"/>
          <w:sz w:val="20"/>
          <w:szCs w:val="20"/>
          <w:lang w:val="en-IN"/>
        </w:rPr>
        <w:t>neutropenia</w:t>
      </w:r>
      <w:proofErr w:type="spellEnd"/>
      <w:r w:rsidR="00CD401C" w:rsidRPr="00CF7510">
        <w:rPr>
          <w:rFonts w:ascii="Times New Roman" w:hAnsi="Times New Roman" w:cs="Times New Roman"/>
          <w:color w:val="000000"/>
          <w:sz w:val="20"/>
          <w:szCs w:val="20"/>
          <w:lang w:val="en-IN"/>
        </w:rPr>
        <w:t xml:space="preserve"> following </w:t>
      </w:r>
      <w:r w:rsidR="00F26918" w:rsidRPr="00CF7510">
        <w:rPr>
          <w:rFonts w:ascii="Times New Roman" w:hAnsi="Times New Roman" w:cs="Times New Roman"/>
          <w:color w:val="000000"/>
          <w:sz w:val="20"/>
          <w:szCs w:val="20"/>
          <w:lang w:val="en-IN"/>
        </w:rPr>
        <w:t>2</w:t>
      </w:r>
      <w:r w:rsidR="00CD401C" w:rsidRPr="00CF7510">
        <w:rPr>
          <w:rFonts w:ascii="Times New Roman" w:hAnsi="Times New Roman" w:cs="Times New Roman"/>
          <w:color w:val="000000"/>
          <w:sz w:val="20"/>
          <w:szCs w:val="20"/>
          <w:vertAlign w:val="superscript"/>
          <w:lang w:val="en-IN"/>
        </w:rPr>
        <w:t>nd</w:t>
      </w:r>
      <w:r w:rsidR="00CD401C" w:rsidRPr="00CF7510">
        <w:rPr>
          <w:rFonts w:ascii="Times New Roman" w:hAnsi="Times New Roman" w:cs="Times New Roman"/>
          <w:color w:val="000000"/>
          <w:sz w:val="20"/>
          <w:szCs w:val="20"/>
          <w:lang w:val="en-IN"/>
        </w:rPr>
        <w:t xml:space="preserve"> </w:t>
      </w:r>
      <w:r w:rsidR="00F26918" w:rsidRPr="00CF7510">
        <w:rPr>
          <w:rFonts w:ascii="Times New Roman" w:hAnsi="Times New Roman" w:cs="Times New Roman"/>
          <w:color w:val="000000"/>
          <w:sz w:val="20"/>
          <w:szCs w:val="20"/>
          <w:lang w:val="en-IN"/>
        </w:rPr>
        <w:t>and 3</w:t>
      </w:r>
      <w:r w:rsidR="00CD401C" w:rsidRPr="00CF7510">
        <w:rPr>
          <w:rFonts w:ascii="Times New Roman" w:hAnsi="Times New Roman" w:cs="Times New Roman"/>
          <w:color w:val="000000"/>
          <w:sz w:val="20"/>
          <w:szCs w:val="20"/>
          <w:vertAlign w:val="superscript"/>
          <w:lang w:val="en-IN"/>
        </w:rPr>
        <w:t>rd</w:t>
      </w:r>
      <w:r w:rsidR="00CD401C" w:rsidRPr="00CF7510">
        <w:rPr>
          <w:rFonts w:ascii="Times New Roman" w:hAnsi="Times New Roman" w:cs="Times New Roman"/>
          <w:color w:val="000000"/>
          <w:sz w:val="20"/>
          <w:szCs w:val="20"/>
          <w:lang w:val="en-IN"/>
        </w:rPr>
        <w:t xml:space="preserve"> </w:t>
      </w:r>
      <w:r w:rsidR="00F26918" w:rsidRPr="00CF7510">
        <w:rPr>
          <w:rFonts w:ascii="Times New Roman" w:hAnsi="Times New Roman" w:cs="Times New Roman"/>
          <w:color w:val="000000"/>
          <w:sz w:val="20"/>
          <w:szCs w:val="20"/>
          <w:lang w:val="en-IN"/>
        </w:rPr>
        <w:t xml:space="preserve">of </w:t>
      </w:r>
      <w:proofErr w:type="spellStart"/>
      <w:r w:rsidR="00F26918" w:rsidRPr="00CF7510">
        <w:rPr>
          <w:rFonts w:ascii="Times New Roman" w:hAnsi="Times New Roman" w:cs="Times New Roman"/>
          <w:color w:val="000000"/>
          <w:sz w:val="20"/>
          <w:szCs w:val="20"/>
          <w:lang w:val="en-IN"/>
        </w:rPr>
        <w:t>paclitaxel</w:t>
      </w:r>
      <w:proofErr w:type="spellEnd"/>
      <w:r w:rsidR="005946B2" w:rsidRPr="00CF7510">
        <w:rPr>
          <w:rFonts w:ascii="Times New Roman" w:hAnsi="Times New Roman" w:cs="Times New Roman"/>
          <w:color w:val="000000"/>
          <w:sz w:val="20"/>
          <w:szCs w:val="20"/>
          <w:lang w:val="en-IN"/>
        </w:rPr>
        <w:t xml:space="preserve"> in the present study while Derek </w:t>
      </w:r>
      <w:proofErr w:type="spellStart"/>
      <w:r w:rsidR="005946B2" w:rsidRPr="00CF7510">
        <w:rPr>
          <w:rFonts w:ascii="Times New Roman" w:hAnsi="Times New Roman" w:cs="Times New Roman"/>
          <w:color w:val="000000"/>
          <w:sz w:val="20"/>
          <w:szCs w:val="20"/>
          <w:lang w:val="en-IN"/>
        </w:rPr>
        <w:t>Weycker</w:t>
      </w:r>
      <w:proofErr w:type="spellEnd"/>
      <w:r w:rsidR="005946B2" w:rsidRPr="00CF7510">
        <w:rPr>
          <w:rFonts w:ascii="Times New Roman" w:hAnsi="Times New Roman" w:cs="Times New Roman"/>
          <w:color w:val="000000"/>
          <w:sz w:val="20"/>
          <w:szCs w:val="20"/>
          <w:lang w:val="en-IN"/>
        </w:rPr>
        <w:t xml:space="preserve"> et al in his study found that it was common following 3</w:t>
      </w:r>
      <w:r w:rsidR="005946B2" w:rsidRPr="00CF7510">
        <w:rPr>
          <w:rFonts w:ascii="Times New Roman" w:hAnsi="Times New Roman" w:cs="Times New Roman"/>
          <w:color w:val="000000"/>
          <w:sz w:val="20"/>
          <w:szCs w:val="20"/>
          <w:vertAlign w:val="superscript"/>
          <w:lang w:val="en-IN"/>
        </w:rPr>
        <w:t>rd</w:t>
      </w:r>
      <w:r w:rsidR="005946B2" w:rsidRPr="00CF7510">
        <w:rPr>
          <w:rFonts w:ascii="Times New Roman" w:hAnsi="Times New Roman" w:cs="Times New Roman"/>
          <w:color w:val="000000"/>
          <w:sz w:val="20"/>
          <w:szCs w:val="20"/>
          <w:lang w:val="en-IN"/>
        </w:rPr>
        <w:t xml:space="preserve"> cycle of chemotherapy</w:t>
      </w:r>
      <w:r w:rsidR="00F26918" w:rsidRPr="00CF7510">
        <w:rPr>
          <w:rFonts w:ascii="Times New Roman" w:hAnsi="Times New Roman" w:cs="Times New Roman"/>
          <w:color w:val="000000"/>
          <w:sz w:val="20"/>
          <w:szCs w:val="20"/>
          <w:lang w:val="en-IN"/>
        </w:rPr>
        <w:t>.</w:t>
      </w:r>
      <w:r w:rsidR="005B1D6B" w:rsidRPr="00CF7510">
        <w:rPr>
          <w:rFonts w:ascii="Times New Roman" w:hAnsi="Times New Roman" w:cs="Times New Roman"/>
          <w:color w:val="000000"/>
          <w:sz w:val="20"/>
          <w:szCs w:val="20"/>
          <w:vertAlign w:val="superscript"/>
          <w:lang w:val="en-IN"/>
        </w:rPr>
        <w:t>18</w:t>
      </w:r>
      <w:r w:rsidR="005937C4" w:rsidRPr="00CF7510">
        <w:rPr>
          <w:rFonts w:ascii="Times New Roman" w:hAnsi="Times New Roman" w:cs="Times New Roman"/>
          <w:color w:val="000000"/>
          <w:sz w:val="20"/>
          <w:szCs w:val="20"/>
          <w:lang w:val="en-IN"/>
        </w:rPr>
        <w:t xml:space="preserve"> </w:t>
      </w:r>
      <w:r w:rsidR="00CD401C" w:rsidRPr="00CF7510">
        <w:rPr>
          <w:rFonts w:ascii="Times New Roman" w:hAnsi="Times New Roman" w:cs="Times New Roman"/>
          <w:color w:val="000000"/>
          <w:sz w:val="20"/>
          <w:szCs w:val="20"/>
          <w:lang w:val="en-IN"/>
        </w:rPr>
        <w:t xml:space="preserve">In the present </w:t>
      </w:r>
      <w:r w:rsidR="00D31969" w:rsidRPr="00CF7510">
        <w:rPr>
          <w:rFonts w:ascii="Times New Roman" w:hAnsi="Times New Roman" w:cs="Times New Roman"/>
          <w:color w:val="000000"/>
          <w:sz w:val="20"/>
          <w:szCs w:val="20"/>
          <w:lang w:val="en-IN"/>
        </w:rPr>
        <w:t xml:space="preserve"> study </w:t>
      </w:r>
      <w:r w:rsidR="005A3B3E" w:rsidRPr="00CF7510">
        <w:rPr>
          <w:rFonts w:ascii="Times New Roman" w:hAnsi="Times New Roman" w:cs="Times New Roman"/>
          <w:color w:val="000000"/>
          <w:sz w:val="20"/>
          <w:szCs w:val="20"/>
          <w:lang w:val="en-IN"/>
        </w:rPr>
        <w:t xml:space="preserve">G-CSF was used </w:t>
      </w:r>
      <w:r w:rsidR="00B13C27" w:rsidRPr="00CF7510">
        <w:rPr>
          <w:rFonts w:ascii="Times New Roman" w:hAnsi="Times New Roman" w:cs="Times New Roman"/>
          <w:color w:val="000000"/>
          <w:sz w:val="20"/>
          <w:szCs w:val="20"/>
          <w:lang w:val="en-IN"/>
        </w:rPr>
        <w:t>in highest number</w:t>
      </w:r>
      <w:r w:rsidR="00D31969" w:rsidRPr="00CF7510">
        <w:rPr>
          <w:rFonts w:ascii="Times New Roman" w:hAnsi="Times New Roman" w:cs="Times New Roman"/>
          <w:color w:val="000000"/>
          <w:sz w:val="20"/>
          <w:szCs w:val="20"/>
          <w:lang w:val="en-IN"/>
        </w:rPr>
        <w:t xml:space="preserve"> (n=23, 2</w:t>
      </w:r>
      <w:r w:rsidRPr="00CF7510">
        <w:rPr>
          <w:rFonts w:ascii="Times New Roman" w:hAnsi="Times New Roman" w:cs="Times New Roman"/>
          <w:color w:val="000000"/>
          <w:sz w:val="20"/>
          <w:szCs w:val="20"/>
          <w:lang w:val="en-IN"/>
        </w:rPr>
        <w:t>8.05</w:t>
      </w:r>
      <w:r w:rsidR="00D31969" w:rsidRPr="00CF7510">
        <w:rPr>
          <w:rFonts w:ascii="Times New Roman" w:hAnsi="Times New Roman" w:cs="Times New Roman"/>
          <w:color w:val="000000"/>
          <w:sz w:val="20"/>
          <w:szCs w:val="20"/>
          <w:lang w:val="en-IN"/>
        </w:rPr>
        <w:t>%)</w:t>
      </w:r>
      <w:r w:rsidR="00B13C27" w:rsidRPr="00CF7510">
        <w:rPr>
          <w:rFonts w:ascii="Times New Roman" w:hAnsi="Times New Roman" w:cs="Times New Roman"/>
          <w:color w:val="000000"/>
          <w:sz w:val="20"/>
          <w:szCs w:val="20"/>
          <w:lang w:val="en-IN"/>
        </w:rPr>
        <w:t xml:space="preserve"> </w:t>
      </w:r>
      <w:r w:rsidR="005A3B3E" w:rsidRPr="00CF7510">
        <w:rPr>
          <w:rFonts w:ascii="Times New Roman" w:hAnsi="Times New Roman" w:cs="Times New Roman"/>
          <w:color w:val="000000"/>
          <w:sz w:val="20"/>
          <w:szCs w:val="20"/>
          <w:lang w:val="en-IN"/>
        </w:rPr>
        <w:t>as secondary prophylaxis</w:t>
      </w:r>
      <w:r w:rsidR="00CD401C" w:rsidRPr="00CF7510">
        <w:rPr>
          <w:rFonts w:ascii="Times New Roman" w:hAnsi="Times New Roman" w:cs="Times New Roman"/>
          <w:color w:val="000000"/>
          <w:sz w:val="20"/>
          <w:szCs w:val="20"/>
          <w:lang w:val="en-IN"/>
        </w:rPr>
        <w:t xml:space="preserve"> for </w:t>
      </w:r>
      <w:proofErr w:type="spellStart"/>
      <w:r w:rsidR="00CD401C" w:rsidRPr="00CF7510">
        <w:rPr>
          <w:rFonts w:ascii="Times New Roman" w:hAnsi="Times New Roman" w:cs="Times New Roman"/>
          <w:color w:val="000000"/>
          <w:sz w:val="20"/>
          <w:szCs w:val="20"/>
          <w:lang w:val="en-IN"/>
        </w:rPr>
        <w:t>neutropenic</w:t>
      </w:r>
      <w:proofErr w:type="spellEnd"/>
      <w:r w:rsidR="005A3B3E" w:rsidRPr="00CF7510">
        <w:rPr>
          <w:rFonts w:ascii="Times New Roman" w:hAnsi="Times New Roman" w:cs="Times New Roman"/>
          <w:color w:val="000000"/>
          <w:sz w:val="20"/>
          <w:szCs w:val="20"/>
          <w:lang w:val="en-IN"/>
        </w:rPr>
        <w:t xml:space="preserve"> patients</w:t>
      </w:r>
      <w:r w:rsidR="00B13C27" w:rsidRPr="00CF7510">
        <w:rPr>
          <w:rFonts w:ascii="Times New Roman" w:hAnsi="Times New Roman" w:cs="Times New Roman"/>
          <w:color w:val="000000"/>
          <w:sz w:val="20"/>
          <w:szCs w:val="20"/>
          <w:lang w:val="en-IN"/>
        </w:rPr>
        <w:t xml:space="preserve"> which is similar to findings in the study by Derek </w:t>
      </w:r>
      <w:proofErr w:type="spellStart"/>
      <w:r w:rsidR="00B13C27" w:rsidRPr="00CF7510">
        <w:rPr>
          <w:rFonts w:ascii="Times New Roman" w:hAnsi="Times New Roman" w:cs="Times New Roman"/>
          <w:color w:val="000000"/>
          <w:sz w:val="20"/>
          <w:szCs w:val="20"/>
          <w:lang w:val="en-IN"/>
        </w:rPr>
        <w:t>Weycker</w:t>
      </w:r>
      <w:proofErr w:type="spellEnd"/>
      <w:r w:rsidR="00B13C27" w:rsidRPr="00CF7510">
        <w:rPr>
          <w:rFonts w:ascii="Times New Roman" w:hAnsi="Times New Roman" w:cs="Times New Roman"/>
          <w:color w:val="000000"/>
          <w:sz w:val="20"/>
          <w:szCs w:val="20"/>
          <w:lang w:val="en-IN"/>
        </w:rPr>
        <w:t xml:space="preserve"> et al</w:t>
      </w:r>
      <w:r w:rsidR="00D31969" w:rsidRPr="00CF7510">
        <w:rPr>
          <w:rFonts w:ascii="Times New Roman" w:hAnsi="Times New Roman" w:cs="Times New Roman"/>
          <w:color w:val="000000"/>
          <w:sz w:val="20"/>
          <w:szCs w:val="20"/>
          <w:lang w:val="en-IN"/>
        </w:rPr>
        <w:t xml:space="preserve"> but </w:t>
      </w:r>
      <w:proofErr w:type="spellStart"/>
      <w:r w:rsidR="00D31969" w:rsidRPr="00CF7510">
        <w:rPr>
          <w:rFonts w:ascii="Times New Roman" w:hAnsi="Times New Roman" w:cs="Times New Roman"/>
          <w:color w:val="000000"/>
          <w:sz w:val="20"/>
          <w:szCs w:val="20"/>
          <w:lang w:val="en-IN"/>
        </w:rPr>
        <w:t>Xuan</w:t>
      </w:r>
      <w:proofErr w:type="spellEnd"/>
      <w:r w:rsidR="00D31969" w:rsidRPr="00CF7510">
        <w:rPr>
          <w:rFonts w:ascii="Times New Roman" w:hAnsi="Times New Roman" w:cs="Times New Roman"/>
          <w:color w:val="000000"/>
          <w:sz w:val="20"/>
          <w:szCs w:val="20"/>
          <w:lang w:val="en-IN"/>
        </w:rPr>
        <w:t xml:space="preserve"> Ye et al in his study on Chinese patients found that use of G-CSF was highest in treatment of CIN and lowest as secondary prophylaxis (1.9%)</w:t>
      </w:r>
      <w:r w:rsidR="005A3B3E" w:rsidRPr="00CF7510">
        <w:rPr>
          <w:rFonts w:ascii="Times New Roman" w:hAnsi="Times New Roman" w:cs="Times New Roman"/>
          <w:color w:val="000000"/>
          <w:sz w:val="20"/>
          <w:szCs w:val="20"/>
          <w:lang w:val="en-IN"/>
        </w:rPr>
        <w:t>.</w:t>
      </w:r>
      <w:r w:rsidR="005B1D6B" w:rsidRPr="00CF7510">
        <w:rPr>
          <w:rFonts w:ascii="Times New Roman" w:hAnsi="Times New Roman" w:cs="Times New Roman"/>
          <w:color w:val="000000"/>
          <w:sz w:val="20"/>
          <w:szCs w:val="20"/>
          <w:vertAlign w:val="superscript"/>
          <w:lang w:val="en-IN"/>
        </w:rPr>
        <w:t>18, 15</w:t>
      </w:r>
      <w:r w:rsidR="005A3B3E" w:rsidRPr="00CF7510">
        <w:rPr>
          <w:rFonts w:ascii="Times New Roman" w:hAnsi="Times New Roman" w:cs="Times New Roman"/>
          <w:color w:val="000000"/>
          <w:sz w:val="20"/>
          <w:szCs w:val="20"/>
          <w:lang w:val="en-IN"/>
        </w:rPr>
        <w:t xml:space="preserve"> </w:t>
      </w:r>
      <w:r w:rsidR="00F62A8F" w:rsidRPr="00CF7510">
        <w:rPr>
          <w:rFonts w:ascii="Times New Roman" w:hAnsi="Times New Roman" w:cs="Times New Roman"/>
          <w:color w:val="000000"/>
          <w:sz w:val="20"/>
          <w:szCs w:val="20"/>
          <w:lang w:val="en-IN"/>
        </w:rPr>
        <w:t>CIN</w:t>
      </w:r>
      <w:r w:rsidR="005937C4" w:rsidRPr="00CF7510">
        <w:rPr>
          <w:rFonts w:ascii="Times New Roman" w:hAnsi="Times New Roman" w:cs="Times New Roman"/>
          <w:color w:val="000000"/>
          <w:sz w:val="20"/>
          <w:szCs w:val="20"/>
          <w:lang w:val="en-IN"/>
        </w:rPr>
        <w:t xml:space="preserve"> was the most common cause of tempo</w:t>
      </w:r>
      <w:r w:rsidR="004A649F" w:rsidRPr="00CF7510">
        <w:rPr>
          <w:rFonts w:ascii="Times New Roman" w:hAnsi="Times New Roman" w:cs="Times New Roman"/>
          <w:color w:val="000000"/>
          <w:sz w:val="20"/>
          <w:szCs w:val="20"/>
          <w:lang w:val="en-IN"/>
        </w:rPr>
        <w:t>rary suspension of chemotherapy</w:t>
      </w:r>
      <w:r w:rsidR="00CD401C" w:rsidRPr="00CF7510">
        <w:rPr>
          <w:rFonts w:ascii="Times New Roman" w:hAnsi="Times New Roman" w:cs="Times New Roman"/>
          <w:color w:val="000000"/>
          <w:sz w:val="20"/>
          <w:szCs w:val="20"/>
          <w:lang w:val="en-IN"/>
        </w:rPr>
        <w:t xml:space="preserve"> (</w:t>
      </w:r>
      <w:r w:rsidRPr="00CF7510">
        <w:rPr>
          <w:rFonts w:ascii="Times New Roman" w:hAnsi="Times New Roman" w:cs="Times New Roman"/>
          <w:color w:val="000000"/>
          <w:sz w:val="20"/>
          <w:szCs w:val="20"/>
          <w:lang w:val="en-IN"/>
        </w:rPr>
        <w:t>28</w:t>
      </w:r>
      <w:r w:rsidR="00CD401C" w:rsidRPr="00CF7510">
        <w:rPr>
          <w:rFonts w:ascii="Times New Roman" w:hAnsi="Times New Roman" w:cs="Times New Roman"/>
          <w:color w:val="000000"/>
          <w:sz w:val="20"/>
          <w:szCs w:val="20"/>
          <w:lang w:val="en-IN"/>
        </w:rPr>
        <w:t>.</w:t>
      </w:r>
      <w:r w:rsidRPr="00CF7510">
        <w:rPr>
          <w:rFonts w:ascii="Times New Roman" w:hAnsi="Times New Roman" w:cs="Times New Roman"/>
          <w:color w:val="000000"/>
          <w:sz w:val="20"/>
          <w:szCs w:val="20"/>
          <w:lang w:val="en-IN"/>
        </w:rPr>
        <w:t>05</w:t>
      </w:r>
      <w:r w:rsidR="00CD401C" w:rsidRPr="00CF7510">
        <w:rPr>
          <w:rFonts w:ascii="Times New Roman" w:hAnsi="Times New Roman" w:cs="Times New Roman"/>
          <w:color w:val="000000"/>
          <w:sz w:val="20"/>
          <w:szCs w:val="20"/>
          <w:lang w:val="en-IN"/>
        </w:rPr>
        <w:t xml:space="preserve">%) which is similar to the study by </w:t>
      </w:r>
      <w:proofErr w:type="spellStart"/>
      <w:r w:rsidR="00CD401C" w:rsidRPr="00CF7510">
        <w:rPr>
          <w:rFonts w:ascii="Times New Roman" w:hAnsi="Times New Roman" w:cs="Times New Roman"/>
          <w:color w:val="000000"/>
          <w:sz w:val="20"/>
          <w:szCs w:val="20"/>
          <w:lang w:val="en-IN"/>
        </w:rPr>
        <w:t>Xuan</w:t>
      </w:r>
      <w:proofErr w:type="spellEnd"/>
      <w:r w:rsidR="00CD401C" w:rsidRPr="00CF7510">
        <w:rPr>
          <w:rFonts w:ascii="Times New Roman" w:hAnsi="Times New Roman" w:cs="Times New Roman"/>
          <w:color w:val="000000"/>
          <w:sz w:val="20"/>
          <w:szCs w:val="20"/>
          <w:lang w:val="en-IN"/>
        </w:rPr>
        <w:t xml:space="preserve"> Ye et al.</w:t>
      </w:r>
      <w:r w:rsidR="005B1D6B" w:rsidRPr="00CF7510">
        <w:rPr>
          <w:rFonts w:ascii="Times New Roman" w:hAnsi="Times New Roman" w:cs="Times New Roman"/>
          <w:color w:val="000000"/>
          <w:sz w:val="20"/>
          <w:szCs w:val="20"/>
          <w:vertAlign w:val="superscript"/>
          <w:lang w:val="en-IN"/>
        </w:rPr>
        <w:t>15</w:t>
      </w:r>
      <w:r w:rsidR="00AA7BA3" w:rsidRPr="00CF7510">
        <w:rPr>
          <w:rFonts w:ascii="Times New Roman" w:hAnsi="Times New Roman" w:cs="Times New Roman"/>
          <w:color w:val="000000"/>
          <w:sz w:val="20"/>
          <w:szCs w:val="20"/>
          <w:lang w:val="en-IN"/>
        </w:rPr>
        <w:t xml:space="preserve"> </w:t>
      </w:r>
      <w:r w:rsidR="00D35966" w:rsidRPr="00CF7510">
        <w:rPr>
          <w:rFonts w:ascii="Times New Roman" w:hAnsi="Times New Roman" w:cs="Times New Roman"/>
          <w:color w:val="000000"/>
          <w:sz w:val="20"/>
          <w:szCs w:val="20"/>
          <w:lang w:val="en-IN"/>
        </w:rPr>
        <w:t xml:space="preserve">The mean duration of </w:t>
      </w:r>
      <w:proofErr w:type="spellStart"/>
      <w:r w:rsidR="00D35966" w:rsidRPr="00CF7510">
        <w:rPr>
          <w:rFonts w:ascii="Times New Roman" w:hAnsi="Times New Roman" w:cs="Times New Roman"/>
          <w:color w:val="000000"/>
          <w:sz w:val="20"/>
          <w:szCs w:val="20"/>
          <w:lang w:val="en-IN"/>
        </w:rPr>
        <w:t>neutropenia</w:t>
      </w:r>
      <w:proofErr w:type="spellEnd"/>
      <w:r w:rsidR="00D35966" w:rsidRPr="00CF7510">
        <w:rPr>
          <w:rFonts w:ascii="Times New Roman" w:hAnsi="Times New Roman" w:cs="Times New Roman"/>
          <w:color w:val="000000"/>
          <w:sz w:val="20"/>
          <w:szCs w:val="20"/>
          <w:lang w:val="en-IN"/>
        </w:rPr>
        <w:t xml:space="preserve"> was 5±3 days</w:t>
      </w:r>
      <w:r w:rsidR="00AA7BA3" w:rsidRPr="00CF7510">
        <w:rPr>
          <w:rFonts w:ascii="Times New Roman" w:hAnsi="Times New Roman" w:cs="Times New Roman"/>
          <w:color w:val="000000"/>
          <w:sz w:val="20"/>
          <w:szCs w:val="20"/>
          <w:lang w:val="en-IN"/>
        </w:rPr>
        <w:t xml:space="preserve"> which is similar to the study by </w:t>
      </w:r>
      <w:proofErr w:type="spellStart"/>
      <w:r w:rsidR="00AA7BA3" w:rsidRPr="00CF7510">
        <w:rPr>
          <w:rFonts w:ascii="Times New Roman" w:hAnsi="Times New Roman" w:cs="Times New Roman"/>
          <w:color w:val="000000"/>
          <w:sz w:val="20"/>
          <w:szCs w:val="20"/>
          <w:lang w:val="en-IN"/>
        </w:rPr>
        <w:t>Yasunori</w:t>
      </w:r>
      <w:proofErr w:type="spellEnd"/>
      <w:r w:rsidR="00AA7BA3" w:rsidRPr="00CF7510">
        <w:rPr>
          <w:rFonts w:ascii="Times New Roman" w:hAnsi="Times New Roman" w:cs="Times New Roman"/>
          <w:color w:val="000000"/>
          <w:sz w:val="20"/>
          <w:szCs w:val="20"/>
          <w:lang w:val="en-IN"/>
        </w:rPr>
        <w:t xml:space="preserve"> Hashiguchi et al</w:t>
      </w:r>
      <w:r w:rsidR="005937C4" w:rsidRPr="00CF7510">
        <w:rPr>
          <w:rFonts w:ascii="Times New Roman" w:hAnsi="Times New Roman" w:cs="Times New Roman"/>
          <w:color w:val="000000"/>
          <w:sz w:val="20"/>
          <w:szCs w:val="20"/>
          <w:lang w:val="en-IN"/>
        </w:rPr>
        <w:t>.</w:t>
      </w:r>
      <w:r w:rsidR="005B1D6B" w:rsidRPr="00CF7510">
        <w:rPr>
          <w:rFonts w:ascii="Times New Roman" w:hAnsi="Times New Roman" w:cs="Times New Roman"/>
          <w:color w:val="000000"/>
          <w:sz w:val="20"/>
          <w:szCs w:val="20"/>
          <w:vertAlign w:val="superscript"/>
          <w:lang w:val="en-IN"/>
        </w:rPr>
        <w:t>16</w:t>
      </w:r>
    </w:p>
    <w:p w:rsidR="00D35966" w:rsidRPr="00CF7510" w:rsidRDefault="00D35966" w:rsidP="00D35966">
      <w:pPr>
        <w:shd w:val="clear" w:color="auto" w:fill="FFFFFF"/>
        <w:spacing w:before="144" w:after="144" w:line="240" w:lineRule="auto"/>
        <w:jc w:val="both"/>
        <w:outlineLvl w:val="4"/>
        <w:rPr>
          <w:rFonts w:ascii="Times New Roman" w:eastAsia="Times New Roman" w:hAnsi="Times New Roman" w:cs="Times New Roman"/>
          <w:b/>
          <w:color w:val="000000" w:themeColor="text1"/>
          <w:sz w:val="20"/>
          <w:szCs w:val="20"/>
        </w:rPr>
      </w:pPr>
    </w:p>
    <w:p w:rsidR="00DB7273" w:rsidRPr="002A2D08" w:rsidRDefault="00150339" w:rsidP="004A649F">
      <w:pPr>
        <w:shd w:val="clear" w:color="auto" w:fill="FFFFFF"/>
        <w:spacing w:before="144" w:after="144" w:line="240" w:lineRule="auto"/>
        <w:jc w:val="both"/>
        <w:outlineLvl w:val="4"/>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CONCLUSION</w:t>
      </w:r>
      <w:r w:rsidR="00DB7273" w:rsidRPr="002A2D08">
        <w:rPr>
          <w:rFonts w:ascii="Times New Roman" w:eastAsia="Times New Roman" w:hAnsi="Times New Roman" w:cs="Times New Roman"/>
          <w:b/>
          <w:color w:val="000000" w:themeColor="text1"/>
          <w:sz w:val="28"/>
          <w:szCs w:val="28"/>
        </w:rPr>
        <w:t>:</w:t>
      </w:r>
    </w:p>
    <w:p w:rsidR="00DB7273" w:rsidRPr="00CF7510" w:rsidRDefault="00DB7273" w:rsidP="00AA7BA3">
      <w:pPr>
        <w:shd w:val="clear" w:color="auto" w:fill="FFFFFF"/>
        <w:spacing w:before="144" w:after="144" w:line="240" w:lineRule="auto"/>
        <w:jc w:val="both"/>
        <w:outlineLvl w:val="4"/>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color w:val="000000" w:themeColor="text1"/>
          <w:sz w:val="20"/>
          <w:szCs w:val="20"/>
        </w:rPr>
        <w:t>In the study we have found that majority of the patient were y</w:t>
      </w:r>
      <w:r w:rsidR="004A649F" w:rsidRPr="00CF7510">
        <w:rPr>
          <w:rFonts w:ascii="Times New Roman" w:eastAsia="Times New Roman" w:hAnsi="Times New Roman" w:cs="Times New Roman"/>
          <w:color w:val="000000" w:themeColor="text1"/>
          <w:sz w:val="20"/>
          <w:szCs w:val="20"/>
        </w:rPr>
        <w:t xml:space="preserve">ounger age and premenopausal at </w:t>
      </w:r>
      <w:r w:rsidRPr="00CF7510">
        <w:rPr>
          <w:rFonts w:ascii="Times New Roman" w:eastAsia="Times New Roman" w:hAnsi="Times New Roman" w:cs="Times New Roman"/>
          <w:color w:val="000000" w:themeColor="text1"/>
          <w:sz w:val="20"/>
          <w:szCs w:val="20"/>
        </w:rPr>
        <w:t xml:space="preserve">presentation and in the productive years of their life. </w:t>
      </w:r>
      <w:r w:rsidR="00AA7BA3" w:rsidRPr="00CF7510">
        <w:rPr>
          <w:rFonts w:ascii="Times New Roman" w:eastAsia="Times New Roman" w:hAnsi="Times New Roman" w:cs="Times New Roman"/>
          <w:color w:val="000000" w:themeColor="text1"/>
          <w:sz w:val="20"/>
          <w:szCs w:val="20"/>
        </w:rPr>
        <w:t xml:space="preserve">CIN is fairly common in breast cancer patients receiving </w:t>
      </w:r>
      <w:proofErr w:type="spellStart"/>
      <w:r w:rsidR="00AA7BA3" w:rsidRPr="00CF7510">
        <w:rPr>
          <w:rFonts w:ascii="Times New Roman" w:eastAsia="Times New Roman" w:hAnsi="Times New Roman" w:cs="Times New Roman"/>
          <w:color w:val="000000" w:themeColor="text1"/>
          <w:sz w:val="20"/>
          <w:szCs w:val="20"/>
        </w:rPr>
        <w:t>paclitaxel</w:t>
      </w:r>
      <w:proofErr w:type="spellEnd"/>
      <w:r w:rsidR="00AA7BA3" w:rsidRPr="00CF7510">
        <w:rPr>
          <w:rFonts w:ascii="Times New Roman" w:eastAsia="Times New Roman" w:hAnsi="Times New Roman" w:cs="Times New Roman"/>
          <w:color w:val="000000" w:themeColor="text1"/>
          <w:sz w:val="20"/>
          <w:szCs w:val="20"/>
        </w:rPr>
        <w:t xml:space="preserve">, by identifying risk factors, such as </w:t>
      </w:r>
      <w:r w:rsidR="00FD2C74" w:rsidRPr="00CF7510">
        <w:rPr>
          <w:rFonts w:ascii="Times New Roman" w:eastAsia="Times New Roman" w:hAnsi="Times New Roman" w:cs="Times New Roman"/>
          <w:color w:val="000000" w:themeColor="text1"/>
          <w:sz w:val="20"/>
          <w:szCs w:val="20"/>
        </w:rPr>
        <w:t xml:space="preserve">elderly age group, baseline </w:t>
      </w:r>
      <w:proofErr w:type="spellStart"/>
      <w:r w:rsidR="00FD2C74" w:rsidRPr="00CF7510">
        <w:rPr>
          <w:rFonts w:ascii="Times New Roman" w:eastAsia="Times New Roman" w:hAnsi="Times New Roman" w:cs="Times New Roman"/>
          <w:color w:val="000000" w:themeColor="text1"/>
          <w:sz w:val="20"/>
          <w:szCs w:val="20"/>
        </w:rPr>
        <w:t>anaemia</w:t>
      </w:r>
      <w:proofErr w:type="spellEnd"/>
      <w:r w:rsidR="00FD2C74" w:rsidRPr="00CF7510">
        <w:rPr>
          <w:rFonts w:ascii="Times New Roman" w:eastAsia="Times New Roman" w:hAnsi="Times New Roman" w:cs="Times New Roman"/>
          <w:color w:val="000000" w:themeColor="text1"/>
          <w:sz w:val="20"/>
          <w:szCs w:val="20"/>
        </w:rPr>
        <w:t xml:space="preserve">, poor </w:t>
      </w:r>
      <w:r w:rsidR="00AA7BA3" w:rsidRPr="00CF7510">
        <w:rPr>
          <w:rFonts w:ascii="Times New Roman" w:eastAsia="Times New Roman" w:hAnsi="Times New Roman" w:cs="Times New Roman"/>
          <w:color w:val="000000" w:themeColor="text1"/>
          <w:sz w:val="20"/>
          <w:szCs w:val="20"/>
        </w:rPr>
        <w:t xml:space="preserve">performance status, disseminated disease, and distant metastatic disease, the safe management of chemotherapy-induced </w:t>
      </w:r>
      <w:proofErr w:type="spellStart"/>
      <w:r w:rsidR="00AA7BA3" w:rsidRPr="00CF7510">
        <w:rPr>
          <w:rFonts w:ascii="Times New Roman" w:eastAsia="Times New Roman" w:hAnsi="Times New Roman" w:cs="Times New Roman"/>
          <w:color w:val="000000" w:themeColor="text1"/>
          <w:sz w:val="20"/>
          <w:szCs w:val="20"/>
        </w:rPr>
        <w:t>neutropenia</w:t>
      </w:r>
      <w:proofErr w:type="spellEnd"/>
      <w:r w:rsidR="00AA7BA3" w:rsidRPr="00CF7510">
        <w:rPr>
          <w:rFonts w:ascii="Times New Roman" w:eastAsia="Times New Roman" w:hAnsi="Times New Roman" w:cs="Times New Roman"/>
          <w:color w:val="000000" w:themeColor="text1"/>
          <w:sz w:val="20"/>
          <w:szCs w:val="20"/>
        </w:rPr>
        <w:t xml:space="preserve"> may be possible in patients</w:t>
      </w:r>
      <w:r w:rsidR="0057017A" w:rsidRPr="00CF7510">
        <w:rPr>
          <w:rFonts w:ascii="Times New Roman" w:eastAsia="Times New Roman" w:hAnsi="Times New Roman" w:cs="Times New Roman"/>
          <w:color w:val="000000" w:themeColor="text1"/>
          <w:sz w:val="20"/>
          <w:szCs w:val="20"/>
        </w:rPr>
        <w:t xml:space="preserve">. </w:t>
      </w:r>
      <w:r w:rsidR="0057017A" w:rsidRPr="00CF7510">
        <w:rPr>
          <w:rFonts w:ascii="Times New Roman" w:hAnsi="Times New Roman" w:cs="Times New Roman"/>
          <w:color w:val="000000"/>
          <w:sz w:val="20"/>
          <w:szCs w:val="20"/>
          <w:lang w:val="en-IN"/>
        </w:rPr>
        <w:t>A</w:t>
      </w:r>
      <w:r w:rsidR="00F62A8F" w:rsidRPr="00CF7510">
        <w:rPr>
          <w:rFonts w:ascii="Times New Roman" w:hAnsi="Times New Roman" w:cs="Times New Roman"/>
          <w:color w:val="000000"/>
          <w:sz w:val="20"/>
          <w:szCs w:val="20"/>
          <w:lang w:val="en-IN"/>
        </w:rPr>
        <w:t xml:space="preserve">lthough delays or reductions of chemotherapy dose minimize the </w:t>
      </w:r>
      <w:proofErr w:type="spellStart"/>
      <w:r w:rsidR="00F62A8F" w:rsidRPr="00CF7510">
        <w:rPr>
          <w:rFonts w:ascii="Times New Roman" w:hAnsi="Times New Roman" w:cs="Times New Roman"/>
          <w:color w:val="000000"/>
          <w:sz w:val="20"/>
          <w:szCs w:val="20"/>
          <w:lang w:val="en-IN"/>
        </w:rPr>
        <w:t>myelotoxicity</w:t>
      </w:r>
      <w:proofErr w:type="spellEnd"/>
      <w:r w:rsidR="00F62A8F" w:rsidRPr="00CF7510">
        <w:rPr>
          <w:rFonts w:ascii="Times New Roman" w:hAnsi="Times New Roman" w:cs="Times New Roman"/>
          <w:color w:val="000000"/>
          <w:sz w:val="20"/>
          <w:szCs w:val="20"/>
          <w:lang w:val="en-IN"/>
        </w:rPr>
        <w:t xml:space="preserve"> but these actions can impact negatively on the result of the treatment, on overall survi</w:t>
      </w:r>
      <w:r w:rsidR="00E96013" w:rsidRPr="00CF7510">
        <w:rPr>
          <w:rFonts w:ascii="Times New Roman" w:hAnsi="Times New Roman" w:cs="Times New Roman"/>
          <w:color w:val="000000"/>
          <w:sz w:val="20"/>
          <w:szCs w:val="20"/>
          <w:lang w:val="en-IN"/>
        </w:rPr>
        <w:t>v</w:t>
      </w:r>
      <w:r w:rsidR="00FD2C74" w:rsidRPr="00CF7510">
        <w:rPr>
          <w:rFonts w:ascii="Times New Roman" w:hAnsi="Times New Roman" w:cs="Times New Roman"/>
          <w:color w:val="000000"/>
          <w:sz w:val="20"/>
          <w:szCs w:val="20"/>
          <w:lang w:val="en-IN"/>
        </w:rPr>
        <w:t>al and must be avoided as much</w:t>
      </w:r>
      <w:r w:rsidR="00F62A8F" w:rsidRPr="00CF7510">
        <w:rPr>
          <w:rFonts w:ascii="Times New Roman" w:hAnsi="Times New Roman" w:cs="Times New Roman"/>
          <w:color w:val="000000"/>
          <w:sz w:val="20"/>
          <w:szCs w:val="20"/>
          <w:lang w:val="en-IN"/>
        </w:rPr>
        <w:t xml:space="preserve"> as possible.</w:t>
      </w:r>
    </w:p>
    <w:p w:rsidR="00DB7273" w:rsidRPr="00150339" w:rsidRDefault="00DB7273" w:rsidP="004A649F">
      <w:pPr>
        <w:shd w:val="clear" w:color="auto" w:fill="FFFFFF"/>
        <w:spacing w:before="144" w:after="144" w:line="240" w:lineRule="auto"/>
        <w:jc w:val="both"/>
        <w:outlineLvl w:val="4"/>
        <w:rPr>
          <w:rFonts w:ascii="Times New Roman" w:eastAsia="Times New Roman" w:hAnsi="Times New Roman" w:cs="Times New Roman"/>
          <w:color w:val="000000" w:themeColor="text1"/>
          <w:sz w:val="28"/>
          <w:szCs w:val="28"/>
        </w:rPr>
      </w:pPr>
      <w:r w:rsidRPr="002A2D08">
        <w:rPr>
          <w:rFonts w:ascii="Times New Roman" w:eastAsia="Times New Roman" w:hAnsi="Times New Roman" w:cs="Times New Roman"/>
          <w:b/>
          <w:color w:val="000000" w:themeColor="text1"/>
          <w:sz w:val="28"/>
          <w:szCs w:val="28"/>
        </w:rPr>
        <w:lastRenderedPageBreak/>
        <w:t>Limitation of the study:</w:t>
      </w:r>
      <w:r w:rsidR="00150339">
        <w:rPr>
          <w:rFonts w:ascii="Times New Roman" w:eastAsia="Times New Roman" w:hAnsi="Times New Roman" w:cs="Times New Roman"/>
          <w:color w:val="000000" w:themeColor="text1"/>
          <w:sz w:val="28"/>
          <w:szCs w:val="28"/>
        </w:rPr>
        <w:t xml:space="preserve"> </w:t>
      </w:r>
      <w:r w:rsidRPr="00CF7510">
        <w:rPr>
          <w:rFonts w:ascii="Times New Roman" w:eastAsia="Times New Roman" w:hAnsi="Times New Roman" w:cs="Times New Roman"/>
          <w:color w:val="000000" w:themeColor="text1"/>
          <w:sz w:val="20"/>
          <w:szCs w:val="20"/>
        </w:rPr>
        <w:t xml:space="preserve">A limitation in our study is that </w:t>
      </w:r>
      <w:r w:rsidR="00130E24" w:rsidRPr="00CF7510">
        <w:rPr>
          <w:rFonts w:ascii="Times New Roman" w:eastAsia="Times New Roman" w:hAnsi="Times New Roman" w:cs="Times New Roman"/>
          <w:color w:val="000000" w:themeColor="text1"/>
          <w:sz w:val="20"/>
          <w:szCs w:val="20"/>
        </w:rPr>
        <w:t>the study</w:t>
      </w:r>
      <w:r w:rsidRPr="00CF7510">
        <w:rPr>
          <w:rFonts w:ascii="Times New Roman" w:eastAsia="Times New Roman" w:hAnsi="Times New Roman" w:cs="Times New Roman"/>
          <w:color w:val="000000" w:themeColor="text1"/>
          <w:sz w:val="20"/>
          <w:szCs w:val="20"/>
        </w:rPr>
        <w:t xml:space="preserve"> population was less </w:t>
      </w:r>
      <w:r w:rsidRPr="00CF7510">
        <w:rPr>
          <w:rFonts w:ascii="Times New Roman" w:hAnsi="Times New Roman" w:cs="Times New Roman"/>
          <w:sz w:val="20"/>
          <w:szCs w:val="20"/>
        </w:rPr>
        <w:t>so we advocate for further studies with a large number of patients over a larger duration of period</w:t>
      </w:r>
      <w:r w:rsidRPr="00CF7510">
        <w:rPr>
          <w:rFonts w:ascii="Times New Roman" w:eastAsia="Times New Roman" w:hAnsi="Times New Roman" w:cs="Times New Roman"/>
          <w:color w:val="000000" w:themeColor="text1"/>
          <w:sz w:val="20"/>
          <w:szCs w:val="20"/>
        </w:rPr>
        <w:t>.</w:t>
      </w:r>
    </w:p>
    <w:p w:rsidR="00DB7273" w:rsidRPr="00150339" w:rsidRDefault="00DB7273" w:rsidP="00572EA3">
      <w:pPr>
        <w:shd w:val="clear" w:color="auto" w:fill="FFFFFF"/>
        <w:spacing w:before="144" w:after="144"/>
        <w:jc w:val="both"/>
        <w:outlineLvl w:val="4"/>
        <w:rPr>
          <w:rFonts w:ascii="Times New Roman" w:eastAsia="Times New Roman" w:hAnsi="Times New Roman" w:cs="Times New Roman"/>
          <w:b/>
          <w:color w:val="000000" w:themeColor="text1"/>
          <w:sz w:val="28"/>
          <w:szCs w:val="28"/>
        </w:rPr>
      </w:pPr>
      <w:r w:rsidRPr="002A2D08">
        <w:rPr>
          <w:rFonts w:ascii="Times New Roman" w:eastAsia="Times New Roman" w:hAnsi="Times New Roman" w:cs="Times New Roman"/>
          <w:b/>
          <w:color w:val="000000" w:themeColor="text1"/>
          <w:sz w:val="28"/>
          <w:szCs w:val="28"/>
        </w:rPr>
        <w:t>Acknowledgements:</w:t>
      </w:r>
      <w:r w:rsidR="00150339">
        <w:rPr>
          <w:rFonts w:ascii="Times New Roman" w:eastAsia="Times New Roman" w:hAnsi="Times New Roman" w:cs="Times New Roman"/>
          <w:b/>
          <w:color w:val="000000" w:themeColor="text1"/>
          <w:sz w:val="28"/>
          <w:szCs w:val="28"/>
        </w:rPr>
        <w:t xml:space="preserve"> </w:t>
      </w:r>
      <w:r w:rsidRPr="00CF7510">
        <w:rPr>
          <w:rFonts w:ascii="Times New Roman" w:eastAsia="Times New Roman" w:hAnsi="Times New Roman" w:cs="Times New Roman"/>
          <w:color w:val="000000" w:themeColor="text1"/>
          <w:sz w:val="20"/>
          <w:szCs w:val="20"/>
        </w:rPr>
        <w:t xml:space="preserve">We thank our patients who were included in the study and all the faculties and staffs of State Cancer Institute, </w:t>
      </w:r>
      <w:proofErr w:type="spellStart"/>
      <w:r w:rsidRPr="00CF7510">
        <w:rPr>
          <w:rFonts w:ascii="Times New Roman" w:eastAsia="Times New Roman" w:hAnsi="Times New Roman" w:cs="Times New Roman"/>
          <w:color w:val="000000" w:themeColor="text1"/>
          <w:sz w:val="20"/>
          <w:szCs w:val="20"/>
        </w:rPr>
        <w:t>Guwahati</w:t>
      </w:r>
      <w:proofErr w:type="spellEnd"/>
      <w:r w:rsidRPr="00CF7510">
        <w:rPr>
          <w:rFonts w:ascii="Times New Roman" w:eastAsia="Times New Roman" w:hAnsi="Times New Roman" w:cs="Times New Roman"/>
          <w:color w:val="000000" w:themeColor="text1"/>
          <w:sz w:val="20"/>
          <w:szCs w:val="20"/>
        </w:rPr>
        <w:t xml:space="preserve"> for their support during the study.</w:t>
      </w:r>
    </w:p>
    <w:p w:rsidR="00DB7273" w:rsidRPr="00150339" w:rsidRDefault="00DB7273" w:rsidP="00572EA3">
      <w:pPr>
        <w:shd w:val="clear" w:color="auto" w:fill="FFFFFF"/>
        <w:spacing w:before="144" w:after="144" w:line="240" w:lineRule="auto"/>
        <w:jc w:val="both"/>
        <w:outlineLvl w:val="4"/>
        <w:rPr>
          <w:rFonts w:ascii="Times New Roman" w:eastAsia="Times New Roman" w:hAnsi="Times New Roman" w:cs="Times New Roman"/>
          <w:b/>
          <w:color w:val="000000" w:themeColor="text1"/>
          <w:sz w:val="28"/>
          <w:szCs w:val="28"/>
        </w:rPr>
      </w:pPr>
      <w:r w:rsidRPr="002A2D08">
        <w:rPr>
          <w:rFonts w:ascii="Times New Roman" w:eastAsia="Times New Roman" w:hAnsi="Times New Roman" w:cs="Times New Roman"/>
          <w:b/>
          <w:color w:val="000000" w:themeColor="text1"/>
          <w:sz w:val="28"/>
          <w:szCs w:val="28"/>
        </w:rPr>
        <w:t>Conflict of interest:</w:t>
      </w:r>
      <w:r w:rsidR="00150339">
        <w:rPr>
          <w:rFonts w:ascii="Times New Roman" w:eastAsia="Times New Roman" w:hAnsi="Times New Roman" w:cs="Times New Roman"/>
          <w:b/>
          <w:color w:val="000000" w:themeColor="text1"/>
          <w:sz w:val="28"/>
          <w:szCs w:val="28"/>
        </w:rPr>
        <w:t xml:space="preserve"> </w:t>
      </w:r>
      <w:r w:rsidRPr="00CF7510">
        <w:rPr>
          <w:rFonts w:ascii="Times New Roman" w:eastAsia="Times New Roman" w:hAnsi="Times New Roman" w:cs="Times New Roman"/>
          <w:color w:val="000000" w:themeColor="text1"/>
          <w:sz w:val="20"/>
          <w:szCs w:val="20"/>
        </w:rPr>
        <w:t>No conflict of interest associated with this work.</w:t>
      </w:r>
    </w:p>
    <w:p w:rsidR="00DB7273" w:rsidRPr="00150339" w:rsidRDefault="00150339" w:rsidP="00572EA3">
      <w:pPr>
        <w:shd w:val="clear" w:color="auto" w:fill="FFFFFF"/>
        <w:spacing w:before="144" w:after="144"/>
        <w:jc w:val="both"/>
        <w:outlineLvl w:val="4"/>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00DB7273" w:rsidRPr="002A2D08">
        <w:rPr>
          <w:rFonts w:ascii="Times New Roman" w:eastAsia="Times New Roman" w:hAnsi="Times New Roman" w:cs="Times New Roman"/>
          <w:b/>
          <w:color w:val="000000" w:themeColor="text1"/>
          <w:sz w:val="28"/>
          <w:szCs w:val="28"/>
        </w:rPr>
        <w:t>ontributions</w:t>
      </w:r>
      <w:r w:rsidRPr="00150339">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of authors</w:t>
      </w:r>
      <w:r w:rsidR="00DB7273" w:rsidRPr="002A2D08">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DB7273" w:rsidRPr="00CF7510">
        <w:rPr>
          <w:rFonts w:ascii="Times New Roman" w:eastAsia="Times New Roman" w:hAnsi="Times New Roman" w:cs="Times New Roman"/>
          <w:color w:val="000000" w:themeColor="text1"/>
          <w:sz w:val="20"/>
          <w:szCs w:val="20"/>
        </w:rPr>
        <w:t xml:space="preserve">We declare that the study was done by us and all liabilities pertaining to claims relating to the content of this article will be borne by us. </w:t>
      </w:r>
    </w:p>
    <w:p w:rsidR="00572EA3" w:rsidRDefault="00DB7273" w:rsidP="004A649F">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b/>
          <w:color w:val="000000" w:themeColor="text1"/>
          <w:sz w:val="20"/>
          <w:szCs w:val="20"/>
        </w:rPr>
        <w:t xml:space="preserve">Conception and design: </w:t>
      </w:r>
      <w:r w:rsidR="00572EA3">
        <w:rPr>
          <w:rFonts w:ascii="Times New Roman" w:eastAsia="Times New Roman" w:hAnsi="Times New Roman" w:cs="Times New Roman"/>
          <w:b/>
          <w:color w:val="000000" w:themeColor="text1"/>
          <w:sz w:val="20"/>
          <w:szCs w:val="20"/>
        </w:rPr>
        <w:tab/>
      </w:r>
      <w:r w:rsidR="001E1ACD" w:rsidRPr="00CF7510">
        <w:rPr>
          <w:rFonts w:ascii="Times New Roman" w:eastAsia="Times New Roman" w:hAnsi="Times New Roman" w:cs="Times New Roman"/>
          <w:color w:val="000000" w:themeColor="text1"/>
          <w:sz w:val="20"/>
          <w:szCs w:val="20"/>
        </w:rPr>
        <w:t xml:space="preserve">Dr. </w:t>
      </w:r>
      <w:proofErr w:type="spellStart"/>
      <w:r w:rsidR="001E1ACD" w:rsidRPr="00CF7510">
        <w:rPr>
          <w:rFonts w:ascii="Times New Roman" w:eastAsia="Times New Roman" w:hAnsi="Times New Roman" w:cs="Times New Roman"/>
          <w:color w:val="000000" w:themeColor="text1"/>
          <w:sz w:val="20"/>
          <w:szCs w:val="20"/>
        </w:rPr>
        <w:t>Naba</w:t>
      </w:r>
      <w:proofErr w:type="spellEnd"/>
      <w:r w:rsidR="001E1ACD" w:rsidRPr="00CF7510">
        <w:rPr>
          <w:rFonts w:ascii="Times New Roman" w:eastAsia="Times New Roman" w:hAnsi="Times New Roman" w:cs="Times New Roman"/>
          <w:color w:val="000000" w:themeColor="text1"/>
          <w:sz w:val="20"/>
          <w:szCs w:val="20"/>
        </w:rPr>
        <w:t xml:space="preserve"> K. </w:t>
      </w:r>
      <w:proofErr w:type="spellStart"/>
      <w:r w:rsidR="001E1ACD" w:rsidRPr="00CF7510">
        <w:rPr>
          <w:rFonts w:ascii="Times New Roman" w:eastAsia="Times New Roman" w:hAnsi="Times New Roman" w:cs="Times New Roman"/>
          <w:color w:val="000000" w:themeColor="text1"/>
          <w:sz w:val="20"/>
          <w:szCs w:val="20"/>
        </w:rPr>
        <w:t>Kalita</w:t>
      </w:r>
      <w:proofErr w:type="spellEnd"/>
      <w:r w:rsidR="001E1ACD" w:rsidRPr="00CF7510">
        <w:rPr>
          <w:rFonts w:ascii="Times New Roman" w:eastAsia="Times New Roman" w:hAnsi="Times New Roman" w:cs="Times New Roman"/>
          <w:color w:val="000000" w:themeColor="text1"/>
          <w:sz w:val="20"/>
          <w:szCs w:val="20"/>
        </w:rPr>
        <w:t xml:space="preserve">, Dr. Hitesh </w:t>
      </w:r>
      <w:proofErr w:type="spellStart"/>
      <w:r w:rsidR="001E1ACD" w:rsidRPr="00CF7510">
        <w:rPr>
          <w:rFonts w:ascii="Times New Roman" w:eastAsia="Times New Roman" w:hAnsi="Times New Roman" w:cs="Times New Roman"/>
          <w:color w:val="000000" w:themeColor="text1"/>
          <w:sz w:val="20"/>
          <w:szCs w:val="20"/>
        </w:rPr>
        <w:t>Deka</w:t>
      </w:r>
      <w:proofErr w:type="spellEnd"/>
      <w:r w:rsidRPr="00CF7510">
        <w:rPr>
          <w:rFonts w:ascii="Times New Roman" w:eastAsia="Times New Roman" w:hAnsi="Times New Roman" w:cs="Times New Roman"/>
          <w:color w:val="000000" w:themeColor="text1"/>
          <w:sz w:val="20"/>
          <w:szCs w:val="20"/>
        </w:rPr>
        <w:t>.</w:t>
      </w:r>
    </w:p>
    <w:p w:rsidR="004A649F" w:rsidRPr="00CF7510" w:rsidRDefault="004A649F" w:rsidP="004A649F">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color w:val="000000" w:themeColor="text1"/>
          <w:sz w:val="20"/>
          <w:szCs w:val="20"/>
        </w:rPr>
        <w:t xml:space="preserve"> </w:t>
      </w:r>
    </w:p>
    <w:p w:rsidR="00DB7273" w:rsidRPr="00572EA3" w:rsidRDefault="00DB7273" w:rsidP="004A649F">
      <w:pPr>
        <w:pStyle w:val="ListParagraph"/>
        <w:shd w:val="clear" w:color="auto" w:fill="FFFFFF"/>
        <w:spacing w:before="144" w:after="144" w:line="240" w:lineRule="auto"/>
        <w:ind w:left="0"/>
        <w:jc w:val="both"/>
        <w:outlineLvl w:val="4"/>
        <w:rPr>
          <w:rFonts w:ascii="Times New Roman" w:eastAsia="Times New Roman" w:hAnsi="Times New Roman" w:cs="Times New Roman"/>
          <w:b/>
          <w:color w:val="000000" w:themeColor="text1"/>
          <w:sz w:val="20"/>
          <w:szCs w:val="20"/>
        </w:rPr>
      </w:pPr>
      <w:r w:rsidRPr="00CF7510">
        <w:rPr>
          <w:rFonts w:ascii="Times New Roman" w:eastAsia="Times New Roman" w:hAnsi="Times New Roman" w:cs="Times New Roman"/>
          <w:b/>
          <w:color w:val="000000" w:themeColor="text1"/>
          <w:sz w:val="20"/>
          <w:szCs w:val="20"/>
        </w:rPr>
        <w:t>Collection of data:</w:t>
      </w:r>
      <w:r w:rsidR="00572EA3">
        <w:rPr>
          <w:rFonts w:ascii="Times New Roman" w:eastAsia="Times New Roman" w:hAnsi="Times New Roman" w:cs="Times New Roman"/>
          <w:b/>
          <w:color w:val="000000" w:themeColor="text1"/>
          <w:sz w:val="20"/>
          <w:szCs w:val="20"/>
        </w:rPr>
        <w:t xml:space="preserve"> </w:t>
      </w:r>
      <w:r w:rsidR="004F555C" w:rsidRPr="00150339">
        <w:rPr>
          <w:rFonts w:ascii="Times New Roman" w:eastAsia="Times New Roman" w:hAnsi="Times New Roman" w:cs="Times New Roman"/>
          <w:color w:val="000000" w:themeColor="text1"/>
          <w:sz w:val="20"/>
          <w:szCs w:val="20"/>
        </w:rPr>
        <w:t xml:space="preserve">Dr. </w:t>
      </w:r>
      <w:proofErr w:type="spellStart"/>
      <w:r w:rsidR="004F555C" w:rsidRPr="00150339">
        <w:rPr>
          <w:rFonts w:ascii="Times New Roman" w:eastAsia="Times New Roman" w:hAnsi="Times New Roman" w:cs="Times New Roman"/>
          <w:color w:val="000000" w:themeColor="text1"/>
          <w:sz w:val="20"/>
          <w:szCs w:val="20"/>
        </w:rPr>
        <w:t>Naba</w:t>
      </w:r>
      <w:proofErr w:type="spellEnd"/>
      <w:r w:rsidR="004F555C" w:rsidRPr="00150339">
        <w:rPr>
          <w:rFonts w:ascii="Times New Roman" w:eastAsia="Times New Roman" w:hAnsi="Times New Roman" w:cs="Times New Roman"/>
          <w:color w:val="000000" w:themeColor="text1"/>
          <w:sz w:val="20"/>
          <w:szCs w:val="20"/>
        </w:rPr>
        <w:t xml:space="preserve"> K. </w:t>
      </w:r>
      <w:proofErr w:type="spellStart"/>
      <w:r w:rsidR="004F555C" w:rsidRPr="00150339">
        <w:rPr>
          <w:rFonts w:ascii="Times New Roman" w:eastAsia="Times New Roman" w:hAnsi="Times New Roman" w:cs="Times New Roman"/>
          <w:color w:val="000000" w:themeColor="text1"/>
          <w:sz w:val="20"/>
          <w:szCs w:val="20"/>
        </w:rPr>
        <w:t>Kalita</w:t>
      </w:r>
      <w:proofErr w:type="spellEnd"/>
      <w:r w:rsidR="004F555C" w:rsidRPr="00150339">
        <w:rPr>
          <w:rFonts w:ascii="Times New Roman" w:eastAsia="Times New Roman" w:hAnsi="Times New Roman" w:cs="Times New Roman"/>
          <w:color w:val="000000" w:themeColor="text1"/>
          <w:sz w:val="20"/>
          <w:szCs w:val="20"/>
        </w:rPr>
        <w:t xml:space="preserve">, Dr. </w:t>
      </w:r>
      <w:proofErr w:type="spellStart"/>
      <w:r w:rsidR="004F555C" w:rsidRPr="00150339">
        <w:rPr>
          <w:rFonts w:ascii="Times New Roman" w:eastAsia="Times New Roman" w:hAnsi="Times New Roman" w:cs="Times New Roman"/>
          <w:color w:val="000000" w:themeColor="text1"/>
          <w:sz w:val="20"/>
          <w:szCs w:val="20"/>
        </w:rPr>
        <w:t>Pranjit</w:t>
      </w:r>
      <w:proofErr w:type="spellEnd"/>
      <w:r w:rsidR="004F555C" w:rsidRPr="00150339">
        <w:rPr>
          <w:rFonts w:ascii="Times New Roman" w:eastAsia="Times New Roman" w:hAnsi="Times New Roman" w:cs="Times New Roman"/>
          <w:color w:val="000000" w:themeColor="text1"/>
          <w:sz w:val="20"/>
          <w:szCs w:val="20"/>
        </w:rPr>
        <w:t xml:space="preserve"> Moral, </w:t>
      </w:r>
      <w:r w:rsidRPr="00CF7510">
        <w:rPr>
          <w:rFonts w:ascii="Times New Roman" w:eastAsia="Times New Roman" w:hAnsi="Times New Roman" w:cs="Times New Roman"/>
          <w:color w:val="000000" w:themeColor="text1"/>
          <w:sz w:val="20"/>
          <w:szCs w:val="20"/>
        </w:rPr>
        <w:t xml:space="preserve">Dr. Hitesh </w:t>
      </w:r>
      <w:proofErr w:type="spellStart"/>
      <w:r w:rsidRPr="00CF7510">
        <w:rPr>
          <w:rFonts w:ascii="Times New Roman" w:eastAsia="Times New Roman" w:hAnsi="Times New Roman" w:cs="Times New Roman"/>
          <w:color w:val="000000" w:themeColor="text1"/>
          <w:sz w:val="20"/>
          <w:szCs w:val="20"/>
        </w:rPr>
        <w:t>Deka</w:t>
      </w:r>
      <w:proofErr w:type="spellEnd"/>
      <w:r w:rsidR="00150339">
        <w:rPr>
          <w:rFonts w:ascii="Times New Roman" w:eastAsia="Times New Roman" w:hAnsi="Times New Roman" w:cs="Times New Roman"/>
          <w:color w:val="000000" w:themeColor="text1"/>
          <w:sz w:val="20"/>
          <w:szCs w:val="20"/>
        </w:rPr>
        <w:t xml:space="preserve"> </w:t>
      </w:r>
    </w:p>
    <w:p w:rsidR="004F555C" w:rsidRPr="00CF7510" w:rsidRDefault="00DB7273" w:rsidP="004A649F">
      <w:pPr>
        <w:shd w:val="clear" w:color="auto" w:fill="FFFFFF"/>
        <w:spacing w:before="144" w:after="144" w:line="240" w:lineRule="auto"/>
        <w:jc w:val="both"/>
        <w:outlineLvl w:val="4"/>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b/>
          <w:color w:val="000000" w:themeColor="text1"/>
          <w:sz w:val="20"/>
          <w:szCs w:val="20"/>
        </w:rPr>
        <w:t>Data analysis and interpretation</w:t>
      </w:r>
      <w:r w:rsidRPr="00CF7510">
        <w:rPr>
          <w:rFonts w:ascii="Times New Roman" w:eastAsia="Times New Roman" w:hAnsi="Times New Roman" w:cs="Times New Roman"/>
          <w:color w:val="000000" w:themeColor="text1"/>
          <w:sz w:val="20"/>
          <w:szCs w:val="20"/>
        </w:rPr>
        <w:t xml:space="preserve">: Dr. </w:t>
      </w:r>
      <w:proofErr w:type="spellStart"/>
      <w:r w:rsidRPr="00CF7510">
        <w:rPr>
          <w:rFonts w:ascii="Times New Roman" w:eastAsia="Times New Roman" w:hAnsi="Times New Roman" w:cs="Times New Roman"/>
          <w:color w:val="000000" w:themeColor="text1"/>
          <w:sz w:val="20"/>
          <w:szCs w:val="20"/>
        </w:rPr>
        <w:t>Neelakshi</w:t>
      </w:r>
      <w:proofErr w:type="spellEnd"/>
      <w:r w:rsidRPr="00CF7510">
        <w:rPr>
          <w:rFonts w:ascii="Times New Roman" w:eastAsia="Times New Roman" w:hAnsi="Times New Roman" w:cs="Times New Roman"/>
          <w:color w:val="000000" w:themeColor="text1"/>
          <w:sz w:val="20"/>
          <w:szCs w:val="20"/>
        </w:rPr>
        <w:t xml:space="preserve"> </w:t>
      </w:r>
      <w:proofErr w:type="spellStart"/>
      <w:r w:rsidRPr="00CF7510">
        <w:rPr>
          <w:rFonts w:ascii="Times New Roman" w:eastAsia="Times New Roman" w:hAnsi="Times New Roman" w:cs="Times New Roman"/>
          <w:color w:val="000000" w:themeColor="text1"/>
          <w:sz w:val="20"/>
          <w:szCs w:val="20"/>
        </w:rPr>
        <w:t>Mahanta</w:t>
      </w:r>
      <w:proofErr w:type="spellEnd"/>
      <w:r w:rsidRPr="00CF7510">
        <w:rPr>
          <w:rFonts w:ascii="Times New Roman" w:eastAsia="Times New Roman" w:hAnsi="Times New Roman" w:cs="Times New Roman"/>
          <w:color w:val="000000" w:themeColor="text1"/>
          <w:sz w:val="20"/>
          <w:szCs w:val="20"/>
        </w:rPr>
        <w:t xml:space="preserve">, Dr. Hitesh </w:t>
      </w:r>
      <w:proofErr w:type="spellStart"/>
      <w:r w:rsidRPr="00CF7510">
        <w:rPr>
          <w:rFonts w:ascii="Times New Roman" w:eastAsia="Times New Roman" w:hAnsi="Times New Roman" w:cs="Times New Roman"/>
          <w:color w:val="000000" w:themeColor="text1"/>
          <w:sz w:val="20"/>
          <w:szCs w:val="20"/>
        </w:rPr>
        <w:t>Deka</w:t>
      </w:r>
      <w:proofErr w:type="spellEnd"/>
      <w:r w:rsidRPr="00CF7510">
        <w:rPr>
          <w:rFonts w:ascii="Times New Roman" w:eastAsia="Times New Roman" w:hAnsi="Times New Roman" w:cs="Times New Roman"/>
          <w:color w:val="000000" w:themeColor="text1"/>
          <w:sz w:val="20"/>
          <w:szCs w:val="20"/>
        </w:rPr>
        <w:t xml:space="preserve">, </w:t>
      </w:r>
      <w:r w:rsidR="004F555C" w:rsidRPr="00150339">
        <w:rPr>
          <w:rFonts w:ascii="Times New Roman" w:eastAsia="Times New Roman" w:hAnsi="Times New Roman" w:cs="Times New Roman"/>
          <w:color w:val="000000" w:themeColor="text1"/>
          <w:sz w:val="20"/>
          <w:szCs w:val="20"/>
        </w:rPr>
        <w:t xml:space="preserve">Dr. </w:t>
      </w:r>
      <w:proofErr w:type="spellStart"/>
      <w:r w:rsidR="004F555C" w:rsidRPr="00150339">
        <w:rPr>
          <w:rFonts w:ascii="Times New Roman" w:eastAsia="Times New Roman" w:hAnsi="Times New Roman" w:cs="Times New Roman"/>
          <w:color w:val="000000" w:themeColor="text1"/>
          <w:sz w:val="20"/>
          <w:szCs w:val="20"/>
        </w:rPr>
        <w:t>Naba</w:t>
      </w:r>
      <w:proofErr w:type="spellEnd"/>
      <w:r w:rsidR="004F555C" w:rsidRPr="00150339">
        <w:rPr>
          <w:rFonts w:ascii="Times New Roman" w:eastAsia="Times New Roman" w:hAnsi="Times New Roman" w:cs="Times New Roman"/>
          <w:color w:val="000000" w:themeColor="text1"/>
          <w:sz w:val="20"/>
          <w:szCs w:val="20"/>
        </w:rPr>
        <w:t xml:space="preserve"> K. </w:t>
      </w:r>
      <w:proofErr w:type="spellStart"/>
      <w:r w:rsidR="004F555C" w:rsidRPr="00150339">
        <w:rPr>
          <w:rFonts w:ascii="Times New Roman" w:eastAsia="Times New Roman" w:hAnsi="Times New Roman" w:cs="Times New Roman"/>
          <w:color w:val="000000" w:themeColor="text1"/>
          <w:sz w:val="20"/>
          <w:szCs w:val="20"/>
        </w:rPr>
        <w:t>Kalita</w:t>
      </w:r>
      <w:proofErr w:type="spellEnd"/>
    </w:p>
    <w:p w:rsidR="00DB7273" w:rsidRPr="00CF7510" w:rsidRDefault="00DB7273" w:rsidP="004A649F">
      <w:pPr>
        <w:shd w:val="clear" w:color="auto" w:fill="FFFFFF"/>
        <w:spacing w:before="144" w:after="144" w:line="240" w:lineRule="auto"/>
        <w:jc w:val="both"/>
        <w:outlineLvl w:val="4"/>
        <w:rPr>
          <w:rFonts w:ascii="Times New Roman" w:eastAsia="Times New Roman" w:hAnsi="Times New Roman" w:cs="Times New Roman"/>
          <w:b/>
          <w:color w:val="000000" w:themeColor="text1"/>
          <w:sz w:val="20"/>
          <w:szCs w:val="20"/>
        </w:rPr>
      </w:pPr>
      <w:r w:rsidRPr="00CF7510">
        <w:rPr>
          <w:rFonts w:ascii="Times New Roman" w:eastAsia="Times New Roman" w:hAnsi="Times New Roman" w:cs="Times New Roman"/>
          <w:b/>
          <w:color w:val="000000" w:themeColor="text1"/>
          <w:sz w:val="20"/>
          <w:szCs w:val="20"/>
        </w:rPr>
        <w:t xml:space="preserve">Manuscript writing and final approval of manuscript: </w:t>
      </w:r>
      <w:r w:rsidRPr="00CF7510">
        <w:rPr>
          <w:rFonts w:ascii="Times New Roman" w:eastAsia="Times New Roman" w:hAnsi="Times New Roman" w:cs="Times New Roman"/>
          <w:color w:val="000000" w:themeColor="text1"/>
          <w:sz w:val="20"/>
          <w:szCs w:val="20"/>
        </w:rPr>
        <w:t>All authors.</w:t>
      </w:r>
    </w:p>
    <w:p w:rsidR="00DB7273" w:rsidRPr="00CF7510" w:rsidRDefault="00DB7273" w:rsidP="004A649F">
      <w:pPr>
        <w:shd w:val="clear" w:color="auto" w:fill="FFFFFF"/>
        <w:spacing w:before="144" w:after="144" w:line="360" w:lineRule="auto"/>
        <w:jc w:val="both"/>
        <w:outlineLvl w:val="4"/>
        <w:rPr>
          <w:rFonts w:ascii="Times New Roman" w:eastAsia="Times New Roman" w:hAnsi="Times New Roman" w:cs="Times New Roman"/>
          <w:color w:val="000000" w:themeColor="text1"/>
          <w:sz w:val="20"/>
          <w:szCs w:val="20"/>
        </w:rPr>
      </w:pPr>
      <w:r w:rsidRPr="00CF7510">
        <w:rPr>
          <w:rFonts w:ascii="Times New Roman" w:eastAsia="Times New Roman" w:hAnsi="Times New Roman" w:cs="Times New Roman"/>
          <w:b/>
          <w:color w:val="000000" w:themeColor="text1"/>
          <w:sz w:val="20"/>
          <w:szCs w:val="20"/>
        </w:rPr>
        <w:t xml:space="preserve">Accountable for all aspects of the work: </w:t>
      </w:r>
      <w:r w:rsidRPr="00CF7510">
        <w:rPr>
          <w:rFonts w:ascii="Times New Roman" w:eastAsia="Times New Roman" w:hAnsi="Times New Roman" w:cs="Times New Roman"/>
          <w:color w:val="000000" w:themeColor="text1"/>
          <w:sz w:val="20"/>
          <w:szCs w:val="20"/>
        </w:rPr>
        <w:t>All authors.</w:t>
      </w:r>
    </w:p>
    <w:p w:rsidR="009918F9" w:rsidRPr="002A2D08" w:rsidRDefault="009918F9" w:rsidP="004A649F">
      <w:pPr>
        <w:jc w:val="both"/>
        <w:rPr>
          <w:rFonts w:ascii="Times New Roman" w:hAnsi="Times New Roman" w:cs="Times New Roman"/>
          <w:b/>
          <w:sz w:val="28"/>
          <w:szCs w:val="28"/>
        </w:rPr>
      </w:pPr>
      <w:r w:rsidRPr="002A2D08">
        <w:rPr>
          <w:rFonts w:ascii="Times New Roman" w:hAnsi="Times New Roman" w:cs="Times New Roman"/>
          <w:b/>
          <w:sz w:val="28"/>
          <w:szCs w:val="28"/>
        </w:rPr>
        <w:t>References:</w:t>
      </w:r>
    </w:p>
    <w:p w:rsidR="004F555C" w:rsidRPr="00A07FDB" w:rsidRDefault="00786161" w:rsidP="004F555C">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r w:rsidRPr="00A07FDB">
        <w:rPr>
          <w:rFonts w:ascii="Times New Roman" w:eastAsia="Times New Roman" w:hAnsi="Times New Roman" w:cs="Times New Roman"/>
          <w:color w:val="000000" w:themeColor="text1"/>
          <w:sz w:val="16"/>
          <w:szCs w:val="16"/>
        </w:rPr>
        <w:t xml:space="preserve">Bray F, </w:t>
      </w:r>
      <w:proofErr w:type="spellStart"/>
      <w:r w:rsidRPr="00A07FDB">
        <w:rPr>
          <w:rFonts w:ascii="Times New Roman" w:eastAsia="Times New Roman" w:hAnsi="Times New Roman" w:cs="Times New Roman"/>
          <w:color w:val="000000" w:themeColor="text1"/>
          <w:sz w:val="16"/>
          <w:szCs w:val="16"/>
        </w:rPr>
        <w:t>Ferlay</w:t>
      </w:r>
      <w:proofErr w:type="spellEnd"/>
      <w:r w:rsidRPr="00A07FDB">
        <w:rPr>
          <w:rFonts w:ascii="Times New Roman" w:eastAsia="Times New Roman" w:hAnsi="Times New Roman" w:cs="Times New Roman"/>
          <w:color w:val="000000" w:themeColor="text1"/>
          <w:sz w:val="16"/>
          <w:szCs w:val="16"/>
        </w:rPr>
        <w:t xml:space="preserve"> J, </w:t>
      </w:r>
      <w:proofErr w:type="spellStart"/>
      <w:r w:rsidRPr="00A07FDB">
        <w:rPr>
          <w:rFonts w:ascii="Times New Roman" w:eastAsia="Times New Roman" w:hAnsi="Times New Roman" w:cs="Times New Roman"/>
          <w:color w:val="000000" w:themeColor="text1"/>
          <w:sz w:val="16"/>
          <w:szCs w:val="16"/>
        </w:rPr>
        <w:t>Soerjomataram</w:t>
      </w:r>
      <w:proofErr w:type="spellEnd"/>
      <w:r w:rsidRPr="00A07FDB">
        <w:rPr>
          <w:rFonts w:ascii="Times New Roman" w:eastAsia="Times New Roman" w:hAnsi="Times New Roman" w:cs="Times New Roman"/>
          <w:color w:val="000000" w:themeColor="text1"/>
          <w:sz w:val="16"/>
          <w:szCs w:val="16"/>
        </w:rPr>
        <w:t xml:space="preserve"> I, Siegel RL, Torre LA, </w:t>
      </w:r>
      <w:proofErr w:type="spellStart"/>
      <w:proofErr w:type="gramStart"/>
      <w:r w:rsidRPr="00A07FDB">
        <w:rPr>
          <w:rFonts w:ascii="Times New Roman" w:eastAsia="Times New Roman" w:hAnsi="Times New Roman" w:cs="Times New Roman"/>
          <w:color w:val="000000" w:themeColor="text1"/>
          <w:sz w:val="16"/>
          <w:szCs w:val="16"/>
        </w:rPr>
        <w:t>Jemal</w:t>
      </w:r>
      <w:proofErr w:type="spellEnd"/>
      <w:proofErr w:type="gramEnd"/>
      <w:r w:rsidRPr="00A07FDB">
        <w:rPr>
          <w:rFonts w:ascii="Times New Roman" w:eastAsia="Times New Roman" w:hAnsi="Times New Roman" w:cs="Times New Roman"/>
          <w:color w:val="000000" w:themeColor="text1"/>
          <w:sz w:val="16"/>
          <w:szCs w:val="16"/>
        </w:rPr>
        <w:t xml:space="preserve"> A. Global Cancer Statistics 2018: GLOBOCAN estimates of incidence and mortality worldwide </w:t>
      </w:r>
      <w:r w:rsidR="00CE03E5" w:rsidRPr="00A07FDB">
        <w:rPr>
          <w:rFonts w:ascii="Times New Roman" w:eastAsia="Times New Roman" w:hAnsi="Times New Roman" w:cs="Times New Roman"/>
          <w:color w:val="000000" w:themeColor="text1"/>
          <w:sz w:val="16"/>
          <w:szCs w:val="16"/>
        </w:rPr>
        <w:t xml:space="preserve">for 36 cancers in 185 countries. CA Cancer J </w:t>
      </w:r>
      <w:proofErr w:type="spellStart"/>
      <w:r w:rsidR="00CE03E5" w:rsidRPr="00A07FDB">
        <w:rPr>
          <w:rFonts w:ascii="Times New Roman" w:eastAsia="Times New Roman" w:hAnsi="Times New Roman" w:cs="Times New Roman"/>
          <w:color w:val="000000" w:themeColor="text1"/>
          <w:sz w:val="16"/>
          <w:szCs w:val="16"/>
        </w:rPr>
        <w:t>Clin</w:t>
      </w:r>
      <w:proofErr w:type="spellEnd"/>
      <w:r w:rsidR="00CE03E5" w:rsidRPr="00A07FDB">
        <w:rPr>
          <w:rFonts w:ascii="Times New Roman" w:eastAsia="Times New Roman" w:hAnsi="Times New Roman" w:cs="Times New Roman"/>
          <w:color w:val="000000" w:themeColor="text1"/>
          <w:sz w:val="16"/>
          <w:szCs w:val="16"/>
        </w:rPr>
        <w:t xml:space="preserve"> 2018 Nov</w:t>
      </w:r>
      <w:proofErr w:type="gramStart"/>
      <w:r w:rsidR="00CE03E5" w:rsidRPr="00A07FDB">
        <w:rPr>
          <w:rFonts w:ascii="Times New Roman" w:eastAsia="Times New Roman" w:hAnsi="Times New Roman" w:cs="Times New Roman"/>
          <w:color w:val="000000" w:themeColor="text1"/>
          <w:sz w:val="16"/>
          <w:szCs w:val="16"/>
        </w:rPr>
        <w:t>;68</w:t>
      </w:r>
      <w:proofErr w:type="gramEnd"/>
      <w:r w:rsidR="00CE03E5" w:rsidRPr="00A07FDB">
        <w:rPr>
          <w:rFonts w:ascii="Times New Roman" w:eastAsia="Times New Roman" w:hAnsi="Times New Roman" w:cs="Times New Roman"/>
          <w:color w:val="000000" w:themeColor="text1"/>
          <w:sz w:val="16"/>
          <w:szCs w:val="16"/>
        </w:rPr>
        <w:t>(6):394-424.</w:t>
      </w:r>
    </w:p>
    <w:p w:rsidR="004F555C" w:rsidRPr="00A07FDB" w:rsidRDefault="00FC462D" w:rsidP="004F555C">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r w:rsidRPr="00A07FDB">
        <w:rPr>
          <w:rFonts w:ascii="Times New Roman" w:hAnsi="Times New Roman" w:cs="Times New Roman"/>
          <w:color w:val="212121"/>
          <w:sz w:val="16"/>
          <w:szCs w:val="16"/>
          <w:shd w:val="clear" w:color="auto" w:fill="FFFFFF"/>
        </w:rPr>
        <w:t xml:space="preserve">Casper ES, </w:t>
      </w:r>
      <w:proofErr w:type="spellStart"/>
      <w:r w:rsidRPr="00A07FDB">
        <w:rPr>
          <w:rFonts w:ascii="Times New Roman" w:hAnsi="Times New Roman" w:cs="Times New Roman"/>
          <w:color w:val="212121"/>
          <w:sz w:val="16"/>
          <w:szCs w:val="16"/>
          <w:shd w:val="clear" w:color="auto" w:fill="FFFFFF"/>
        </w:rPr>
        <w:t>Waltzman</w:t>
      </w:r>
      <w:proofErr w:type="spellEnd"/>
      <w:r w:rsidRPr="00A07FDB">
        <w:rPr>
          <w:rFonts w:ascii="Times New Roman" w:hAnsi="Times New Roman" w:cs="Times New Roman"/>
          <w:color w:val="212121"/>
          <w:sz w:val="16"/>
          <w:szCs w:val="16"/>
          <w:shd w:val="clear" w:color="auto" w:fill="FFFFFF"/>
        </w:rPr>
        <w:t xml:space="preserve"> RJ, Schwartz GK, </w:t>
      </w:r>
      <w:proofErr w:type="spellStart"/>
      <w:r w:rsidRPr="00A07FDB">
        <w:rPr>
          <w:rFonts w:ascii="Times New Roman" w:hAnsi="Times New Roman" w:cs="Times New Roman"/>
          <w:color w:val="212121"/>
          <w:sz w:val="16"/>
          <w:szCs w:val="16"/>
          <w:shd w:val="clear" w:color="auto" w:fill="FFFFFF"/>
        </w:rPr>
        <w:t>Sugarman</w:t>
      </w:r>
      <w:proofErr w:type="spellEnd"/>
      <w:r w:rsidRPr="00A07FDB">
        <w:rPr>
          <w:rFonts w:ascii="Times New Roman" w:hAnsi="Times New Roman" w:cs="Times New Roman"/>
          <w:color w:val="212121"/>
          <w:sz w:val="16"/>
          <w:szCs w:val="16"/>
          <w:shd w:val="clear" w:color="auto" w:fill="FFFFFF"/>
        </w:rPr>
        <w:t xml:space="preserve"> A, </w:t>
      </w:r>
      <w:proofErr w:type="spellStart"/>
      <w:r w:rsidRPr="00A07FDB">
        <w:rPr>
          <w:rFonts w:ascii="Times New Roman" w:hAnsi="Times New Roman" w:cs="Times New Roman"/>
          <w:color w:val="212121"/>
          <w:sz w:val="16"/>
          <w:szCs w:val="16"/>
          <w:shd w:val="clear" w:color="auto" w:fill="FFFFFF"/>
        </w:rPr>
        <w:t>Pfister</w:t>
      </w:r>
      <w:proofErr w:type="spellEnd"/>
      <w:r w:rsidRPr="00A07FDB">
        <w:rPr>
          <w:rFonts w:ascii="Times New Roman" w:hAnsi="Times New Roman" w:cs="Times New Roman"/>
          <w:color w:val="212121"/>
          <w:sz w:val="16"/>
          <w:szCs w:val="16"/>
          <w:shd w:val="clear" w:color="auto" w:fill="FFFFFF"/>
        </w:rPr>
        <w:t xml:space="preserve"> D, </w:t>
      </w:r>
      <w:proofErr w:type="spellStart"/>
      <w:r w:rsidRPr="00A07FDB">
        <w:rPr>
          <w:rFonts w:ascii="Times New Roman" w:hAnsi="Times New Roman" w:cs="Times New Roman"/>
          <w:color w:val="212121"/>
          <w:sz w:val="16"/>
          <w:szCs w:val="16"/>
          <w:shd w:val="clear" w:color="auto" w:fill="FFFFFF"/>
        </w:rPr>
        <w:t>Ilson</w:t>
      </w:r>
      <w:proofErr w:type="spellEnd"/>
      <w:r w:rsidRPr="00A07FDB">
        <w:rPr>
          <w:rFonts w:ascii="Times New Roman" w:hAnsi="Times New Roman" w:cs="Times New Roman"/>
          <w:color w:val="212121"/>
          <w:sz w:val="16"/>
          <w:szCs w:val="16"/>
          <w:shd w:val="clear" w:color="auto" w:fill="FFFFFF"/>
        </w:rPr>
        <w:t xml:space="preserve"> D, Woodruff J, Leung D, </w:t>
      </w:r>
      <w:proofErr w:type="spellStart"/>
      <w:r w:rsidRPr="00A07FDB">
        <w:rPr>
          <w:rFonts w:ascii="Times New Roman" w:hAnsi="Times New Roman" w:cs="Times New Roman"/>
          <w:color w:val="212121"/>
          <w:sz w:val="16"/>
          <w:szCs w:val="16"/>
          <w:shd w:val="clear" w:color="auto" w:fill="FFFFFF"/>
        </w:rPr>
        <w:t>Bertino</w:t>
      </w:r>
      <w:proofErr w:type="spellEnd"/>
      <w:r w:rsidRPr="00A07FDB">
        <w:rPr>
          <w:rFonts w:ascii="Times New Roman" w:hAnsi="Times New Roman" w:cs="Times New Roman"/>
          <w:color w:val="212121"/>
          <w:sz w:val="16"/>
          <w:szCs w:val="16"/>
          <w:shd w:val="clear" w:color="auto" w:fill="FFFFFF"/>
        </w:rPr>
        <w:t xml:space="preserve"> JR. Phase II trial of </w:t>
      </w:r>
      <w:proofErr w:type="spellStart"/>
      <w:r w:rsidRPr="00A07FDB">
        <w:rPr>
          <w:rFonts w:ascii="Times New Roman" w:hAnsi="Times New Roman" w:cs="Times New Roman"/>
          <w:color w:val="212121"/>
          <w:sz w:val="16"/>
          <w:szCs w:val="16"/>
          <w:shd w:val="clear" w:color="auto" w:fill="FFFFFF"/>
        </w:rPr>
        <w:t>paclitaxel</w:t>
      </w:r>
      <w:proofErr w:type="spellEnd"/>
      <w:r w:rsidRPr="00A07FDB">
        <w:rPr>
          <w:rFonts w:ascii="Times New Roman" w:hAnsi="Times New Roman" w:cs="Times New Roman"/>
          <w:color w:val="212121"/>
          <w:sz w:val="16"/>
          <w:szCs w:val="16"/>
          <w:shd w:val="clear" w:color="auto" w:fill="FFFFFF"/>
        </w:rPr>
        <w:t xml:space="preserve"> in patients with soft-tissue sarcoma. Cancer Invest. 1998</w:t>
      </w:r>
      <w:proofErr w:type="gramStart"/>
      <w:r w:rsidRPr="00A07FDB">
        <w:rPr>
          <w:rFonts w:ascii="Times New Roman" w:hAnsi="Times New Roman" w:cs="Times New Roman"/>
          <w:color w:val="212121"/>
          <w:sz w:val="16"/>
          <w:szCs w:val="16"/>
          <w:shd w:val="clear" w:color="auto" w:fill="FFFFFF"/>
        </w:rPr>
        <w:t>;16</w:t>
      </w:r>
      <w:proofErr w:type="gramEnd"/>
      <w:r w:rsidRPr="00A07FDB">
        <w:rPr>
          <w:rFonts w:ascii="Times New Roman" w:hAnsi="Times New Roman" w:cs="Times New Roman"/>
          <w:color w:val="212121"/>
          <w:sz w:val="16"/>
          <w:szCs w:val="16"/>
          <w:shd w:val="clear" w:color="auto" w:fill="FFFFFF"/>
        </w:rPr>
        <w:t>(7):442-6.</w:t>
      </w:r>
    </w:p>
    <w:p w:rsidR="00FC462D" w:rsidRPr="00A07FDB" w:rsidRDefault="00FC462D" w:rsidP="00FC462D">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r w:rsidRPr="00A07FDB">
        <w:rPr>
          <w:rFonts w:ascii="Times New Roman" w:hAnsi="Times New Roman" w:cs="Times New Roman"/>
          <w:color w:val="212121"/>
          <w:sz w:val="16"/>
          <w:szCs w:val="16"/>
          <w:shd w:val="clear" w:color="auto" w:fill="FFFFFF"/>
        </w:rPr>
        <w:t xml:space="preserve">Chang J. Chemotherapy dose reduction and delay in clinical practice. </w:t>
      </w:r>
      <w:proofErr w:type="gramStart"/>
      <w:r w:rsidRPr="00A07FDB">
        <w:rPr>
          <w:rFonts w:ascii="Times New Roman" w:hAnsi="Times New Roman" w:cs="Times New Roman"/>
          <w:color w:val="212121"/>
          <w:sz w:val="16"/>
          <w:szCs w:val="16"/>
          <w:shd w:val="clear" w:color="auto" w:fill="FFFFFF"/>
        </w:rPr>
        <w:t>evaluating</w:t>
      </w:r>
      <w:proofErr w:type="gramEnd"/>
      <w:r w:rsidRPr="00A07FDB">
        <w:rPr>
          <w:rFonts w:ascii="Times New Roman" w:hAnsi="Times New Roman" w:cs="Times New Roman"/>
          <w:color w:val="212121"/>
          <w:sz w:val="16"/>
          <w:szCs w:val="16"/>
          <w:shd w:val="clear" w:color="auto" w:fill="FFFFFF"/>
        </w:rPr>
        <w:t xml:space="preserve"> the risk to patient outcome in adjuvant chemotherapy for breast cancer. </w:t>
      </w:r>
      <w:proofErr w:type="spellStart"/>
      <w:r w:rsidRPr="00A07FDB">
        <w:rPr>
          <w:rFonts w:ascii="Times New Roman" w:hAnsi="Times New Roman" w:cs="Times New Roman"/>
          <w:color w:val="212121"/>
          <w:sz w:val="16"/>
          <w:szCs w:val="16"/>
          <w:shd w:val="clear" w:color="auto" w:fill="FFFFFF"/>
        </w:rPr>
        <w:t>Eur</w:t>
      </w:r>
      <w:proofErr w:type="spellEnd"/>
      <w:r w:rsidRPr="00A07FDB">
        <w:rPr>
          <w:rFonts w:ascii="Times New Roman" w:hAnsi="Times New Roman" w:cs="Times New Roman"/>
          <w:color w:val="212121"/>
          <w:sz w:val="16"/>
          <w:szCs w:val="16"/>
          <w:shd w:val="clear" w:color="auto" w:fill="FFFFFF"/>
        </w:rPr>
        <w:t xml:space="preserve"> J Cancer. 2000 Apr</w:t>
      </w:r>
      <w:proofErr w:type="gramStart"/>
      <w:r w:rsidRPr="00A07FDB">
        <w:rPr>
          <w:rFonts w:ascii="Times New Roman" w:hAnsi="Times New Roman" w:cs="Times New Roman"/>
          <w:color w:val="212121"/>
          <w:sz w:val="16"/>
          <w:szCs w:val="16"/>
          <w:shd w:val="clear" w:color="auto" w:fill="FFFFFF"/>
        </w:rPr>
        <w:t>;36</w:t>
      </w:r>
      <w:proofErr w:type="gramEnd"/>
      <w:r w:rsidRPr="00A07FDB">
        <w:rPr>
          <w:rFonts w:ascii="Times New Roman" w:hAnsi="Times New Roman" w:cs="Times New Roman"/>
          <w:color w:val="212121"/>
          <w:sz w:val="16"/>
          <w:szCs w:val="16"/>
          <w:shd w:val="clear" w:color="auto" w:fill="FFFFFF"/>
        </w:rPr>
        <w:t xml:space="preserve"> </w:t>
      </w:r>
      <w:proofErr w:type="spellStart"/>
      <w:r w:rsidRPr="00A07FDB">
        <w:rPr>
          <w:rFonts w:ascii="Times New Roman" w:hAnsi="Times New Roman" w:cs="Times New Roman"/>
          <w:color w:val="212121"/>
          <w:sz w:val="16"/>
          <w:szCs w:val="16"/>
          <w:shd w:val="clear" w:color="auto" w:fill="FFFFFF"/>
        </w:rPr>
        <w:t>Suppl</w:t>
      </w:r>
      <w:proofErr w:type="spellEnd"/>
      <w:r w:rsidRPr="00A07FDB">
        <w:rPr>
          <w:rFonts w:ascii="Times New Roman" w:hAnsi="Times New Roman" w:cs="Times New Roman"/>
          <w:color w:val="212121"/>
          <w:sz w:val="16"/>
          <w:szCs w:val="16"/>
          <w:shd w:val="clear" w:color="auto" w:fill="FFFFFF"/>
        </w:rPr>
        <w:t xml:space="preserve"> 1:S11-4.</w:t>
      </w:r>
      <w:r w:rsidRPr="00A07FDB">
        <w:rPr>
          <w:rFonts w:ascii="Segoe UI" w:hAnsi="Segoe UI" w:cs="Segoe UI"/>
          <w:color w:val="212121"/>
          <w:sz w:val="16"/>
          <w:szCs w:val="16"/>
          <w:shd w:val="clear" w:color="auto" w:fill="FFFFFF"/>
        </w:rPr>
        <w:t xml:space="preserve">  </w:t>
      </w:r>
    </w:p>
    <w:p w:rsidR="004F555C" w:rsidRPr="00A07FDB" w:rsidRDefault="00FC462D" w:rsidP="004F555C">
      <w:pPr>
        <w:pStyle w:val="ListParagraph"/>
        <w:numPr>
          <w:ilvl w:val="0"/>
          <w:numId w:val="1"/>
        </w:numPr>
        <w:rPr>
          <w:rFonts w:ascii="Times New Roman" w:hAnsi="Times New Roman" w:cs="Times New Roman"/>
          <w:sz w:val="16"/>
          <w:szCs w:val="16"/>
        </w:rPr>
      </w:pPr>
      <w:r w:rsidRPr="00A07FDB">
        <w:rPr>
          <w:rFonts w:ascii="Times New Roman" w:hAnsi="Times New Roman" w:cs="Times New Roman"/>
          <w:color w:val="212121"/>
          <w:sz w:val="16"/>
          <w:szCs w:val="16"/>
          <w:shd w:val="clear" w:color="auto" w:fill="FFFFFF"/>
        </w:rPr>
        <w:t xml:space="preserve">Smith TJ, </w:t>
      </w:r>
      <w:proofErr w:type="spellStart"/>
      <w:r w:rsidRPr="00A07FDB">
        <w:rPr>
          <w:rFonts w:ascii="Times New Roman" w:hAnsi="Times New Roman" w:cs="Times New Roman"/>
          <w:color w:val="212121"/>
          <w:sz w:val="16"/>
          <w:szCs w:val="16"/>
          <w:shd w:val="clear" w:color="auto" w:fill="FFFFFF"/>
        </w:rPr>
        <w:t>Khatcheressian</w:t>
      </w:r>
      <w:proofErr w:type="spellEnd"/>
      <w:r w:rsidRPr="00A07FDB">
        <w:rPr>
          <w:rFonts w:ascii="Times New Roman" w:hAnsi="Times New Roman" w:cs="Times New Roman"/>
          <w:color w:val="212121"/>
          <w:sz w:val="16"/>
          <w:szCs w:val="16"/>
          <w:shd w:val="clear" w:color="auto" w:fill="FFFFFF"/>
        </w:rPr>
        <w:t xml:space="preserve"> J, Lyman GH, </w:t>
      </w:r>
      <w:proofErr w:type="spellStart"/>
      <w:r w:rsidRPr="00A07FDB">
        <w:rPr>
          <w:rFonts w:ascii="Times New Roman" w:hAnsi="Times New Roman" w:cs="Times New Roman"/>
          <w:color w:val="212121"/>
          <w:sz w:val="16"/>
          <w:szCs w:val="16"/>
          <w:shd w:val="clear" w:color="auto" w:fill="FFFFFF"/>
        </w:rPr>
        <w:t>Ozer</w:t>
      </w:r>
      <w:proofErr w:type="spellEnd"/>
      <w:r w:rsidRPr="00A07FDB">
        <w:rPr>
          <w:rFonts w:ascii="Times New Roman" w:hAnsi="Times New Roman" w:cs="Times New Roman"/>
          <w:color w:val="212121"/>
          <w:sz w:val="16"/>
          <w:szCs w:val="16"/>
          <w:shd w:val="clear" w:color="auto" w:fill="FFFFFF"/>
        </w:rPr>
        <w:t xml:space="preserve"> H, </w:t>
      </w:r>
      <w:proofErr w:type="spellStart"/>
      <w:r w:rsidRPr="00A07FDB">
        <w:rPr>
          <w:rFonts w:ascii="Times New Roman" w:hAnsi="Times New Roman" w:cs="Times New Roman"/>
          <w:color w:val="212121"/>
          <w:sz w:val="16"/>
          <w:szCs w:val="16"/>
          <w:shd w:val="clear" w:color="auto" w:fill="FFFFFF"/>
        </w:rPr>
        <w:t>Armitage</w:t>
      </w:r>
      <w:proofErr w:type="spellEnd"/>
      <w:r w:rsidRPr="00A07FDB">
        <w:rPr>
          <w:rFonts w:ascii="Times New Roman" w:hAnsi="Times New Roman" w:cs="Times New Roman"/>
          <w:color w:val="212121"/>
          <w:sz w:val="16"/>
          <w:szCs w:val="16"/>
          <w:shd w:val="clear" w:color="auto" w:fill="FFFFFF"/>
        </w:rPr>
        <w:t xml:space="preserve"> JO, </w:t>
      </w:r>
      <w:proofErr w:type="spellStart"/>
      <w:r w:rsidRPr="00A07FDB">
        <w:rPr>
          <w:rFonts w:ascii="Times New Roman" w:hAnsi="Times New Roman" w:cs="Times New Roman"/>
          <w:color w:val="212121"/>
          <w:sz w:val="16"/>
          <w:szCs w:val="16"/>
          <w:shd w:val="clear" w:color="auto" w:fill="FFFFFF"/>
        </w:rPr>
        <w:t>Balducci</w:t>
      </w:r>
      <w:proofErr w:type="spellEnd"/>
      <w:r w:rsidRPr="00A07FDB">
        <w:rPr>
          <w:rFonts w:ascii="Times New Roman" w:hAnsi="Times New Roman" w:cs="Times New Roman"/>
          <w:color w:val="212121"/>
          <w:sz w:val="16"/>
          <w:szCs w:val="16"/>
          <w:shd w:val="clear" w:color="auto" w:fill="FFFFFF"/>
        </w:rPr>
        <w:t xml:space="preserve"> L, et al. 2006 update of recommendations for the use of white blood cell growth factors: an evidence-based clinical practice guideline. J </w:t>
      </w:r>
      <w:proofErr w:type="spellStart"/>
      <w:r w:rsidRPr="00A07FDB">
        <w:rPr>
          <w:rFonts w:ascii="Times New Roman" w:hAnsi="Times New Roman" w:cs="Times New Roman"/>
          <w:color w:val="212121"/>
          <w:sz w:val="16"/>
          <w:szCs w:val="16"/>
          <w:shd w:val="clear" w:color="auto" w:fill="FFFFFF"/>
        </w:rPr>
        <w:t>Clin</w:t>
      </w:r>
      <w:proofErr w:type="spellEnd"/>
      <w:r w:rsidRPr="00A07FDB">
        <w:rPr>
          <w:rFonts w:ascii="Times New Roman" w:hAnsi="Times New Roman" w:cs="Times New Roman"/>
          <w:color w:val="212121"/>
          <w:sz w:val="16"/>
          <w:szCs w:val="16"/>
          <w:shd w:val="clear" w:color="auto" w:fill="FFFFFF"/>
        </w:rPr>
        <w:t xml:space="preserve"> </w:t>
      </w:r>
      <w:proofErr w:type="spellStart"/>
      <w:r w:rsidRPr="00A07FDB">
        <w:rPr>
          <w:rFonts w:ascii="Times New Roman" w:hAnsi="Times New Roman" w:cs="Times New Roman"/>
          <w:color w:val="212121"/>
          <w:sz w:val="16"/>
          <w:szCs w:val="16"/>
          <w:shd w:val="clear" w:color="auto" w:fill="FFFFFF"/>
        </w:rPr>
        <w:t>Oncol</w:t>
      </w:r>
      <w:proofErr w:type="spellEnd"/>
      <w:r w:rsidRPr="00A07FDB">
        <w:rPr>
          <w:rFonts w:ascii="Times New Roman" w:hAnsi="Times New Roman" w:cs="Times New Roman"/>
          <w:color w:val="212121"/>
          <w:sz w:val="16"/>
          <w:szCs w:val="16"/>
          <w:shd w:val="clear" w:color="auto" w:fill="FFFFFF"/>
        </w:rPr>
        <w:t>. 2006 Jul 1</w:t>
      </w:r>
      <w:proofErr w:type="gramStart"/>
      <w:r w:rsidRPr="00A07FDB">
        <w:rPr>
          <w:rFonts w:ascii="Times New Roman" w:hAnsi="Times New Roman" w:cs="Times New Roman"/>
          <w:color w:val="212121"/>
          <w:sz w:val="16"/>
          <w:szCs w:val="16"/>
          <w:shd w:val="clear" w:color="auto" w:fill="FFFFFF"/>
        </w:rPr>
        <w:t>;24</w:t>
      </w:r>
      <w:proofErr w:type="gramEnd"/>
      <w:r w:rsidRPr="00A07FDB">
        <w:rPr>
          <w:rFonts w:ascii="Times New Roman" w:hAnsi="Times New Roman" w:cs="Times New Roman"/>
          <w:color w:val="212121"/>
          <w:sz w:val="16"/>
          <w:szCs w:val="16"/>
          <w:shd w:val="clear" w:color="auto" w:fill="FFFFFF"/>
        </w:rPr>
        <w:t xml:space="preserve">(19):3187-205.  </w:t>
      </w:r>
    </w:p>
    <w:p w:rsidR="004F555C" w:rsidRPr="00A07FDB" w:rsidRDefault="00FC462D" w:rsidP="004F555C">
      <w:pPr>
        <w:pStyle w:val="ListParagraph"/>
        <w:numPr>
          <w:ilvl w:val="0"/>
          <w:numId w:val="1"/>
        </w:numPr>
        <w:rPr>
          <w:rFonts w:ascii="Times New Roman" w:hAnsi="Times New Roman" w:cs="Times New Roman"/>
          <w:sz w:val="16"/>
          <w:szCs w:val="16"/>
        </w:rPr>
      </w:pPr>
      <w:proofErr w:type="spellStart"/>
      <w:r w:rsidRPr="00A07FDB">
        <w:rPr>
          <w:rFonts w:ascii="Times New Roman" w:hAnsi="Times New Roman" w:cs="Times New Roman"/>
          <w:color w:val="212121"/>
          <w:sz w:val="16"/>
          <w:szCs w:val="16"/>
          <w:shd w:val="clear" w:color="auto" w:fill="FFFFFF"/>
        </w:rPr>
        <w:t>Caggiano</w:t>
      </w:r>
      <w:proofErr w:type="spellEnd"/>
      <w:r w:rsidRPr="00A07FDB">
        <w:rPr>
          <w:rFonts w:ascii="Times New Roman" w:hAnsi="Times New Roman" w:cs="Times New Roman"/>
          <w:color w:val="212121"/>
          <w:sz w:val="16"/>
          <w:szCs w:val="16"/>
          <w:shd w:val="clear" w:color="auto" w:fill="FFFFFF"/>
        </w:rPr>
        <w:t xml:space="preserve"> V, Weiss RV, </w:t>
      </w:r>
      <w:proofErr w:type="spellStart"/>
      <w:r w:rsidRPr="00A07FDB">
        <w:rPr>
          <w:rFonts w:ascii="Times New Roman" w:hAnsi="Times New Roman" w:cs="Times New Roman"/>
          <w:color w:val="212121"/>
          <w:sz w:val="16"/>
          <w:szCs w:val="16"/>
          <w:shd w:val="clear" w:color="auto" w:fill="FFFFFF"/>
        </w:rPr>
        <w:t>Rickert</w:t>
      </w:r>
      <w:proofErr w:type="spellEnd"/>
      <w:r w:rsidRPr="00A07FDB">
        <w:rPr>
          <w:rFonts w:ascii="Times New Roman" w:hAnsi="Times New Roman" w:cs="Times New Roman"/>
          <w:color w:val="212121"/>
          <w:sz w:val="16"/>
          <w:szCs w:val="16"/>
          <w:shd w:val="clear" w:color="auto" w:fill="FFFFFF"/>
        </w:rPr>
        <w:t xml:space="preserve"> TS, </w:t>
      </w:r>
      <w:proofErr w:type="spellStart"/>
      <w:r w:rsidRPr="00A07FDB">
        <w:rPr>
          <w:rFonts w:ascii="Times New Roman" w:hAnsi="Times New Roman" w:cs="Times New Roman"/>
          <w:color w:val="212121"/>
          <w:sz w:val="16"/>
          <w:szCs w:val="16"/>
          <w:shd w:val="clear" w:color="auto" w:fill="FFFFFF"/>
        </w:rPr>
        <w:t>Linde-Zwirble</w:t>
      </w:r>
      <w:proofErr w:type="spellEnd"/>
      <w:r w:rsidRPr="00A07FDB">
        <w:rPr>
          <w:rFonts w:ascii="Times New Roman" w:hAnsi="Times New Roman" w:cs="Times New Roman"/>
          <w:color w:val="212121"/>
          <w:sz w:val="16"/>
          <w:szCs w:val="16"/>
          <w:shd w:val="clear" w:color="auto" w:fill="FFFFFF"/>
        </w:rPr>
        <w:t xml:space="preserve"> WT. Incidence, cost, and mortality of </w:t>
      </w:r>
      <w:proofErr w:type="spellStart"/>
      <w:r w:rsidRPr="00A07FDB">
        <w:rPr>
          <w:rFonts w:ascii="Times New Roman" w:hAnsi="Times New Roman" w:cs="Times New Roman"/>
          <w:color w:val="212121"/>
          <w:sz w:val="16"/>
          <w:szCs w:val="16"/>
          <w:shd w:val="clear" w:color="auto" w:fill="FFFFFF"/>
        </w:rPr>
        <w:t>neutropenia</w:t>
      </w:r>
      <w:proofErr w:type="spellEnd"/>
      <w:r w:rsidRPr="00A07FDB">
        <w:rPr>
          <w:rFonts w:ascii="Times New Roman" w:hAnsi="Times New Roman" w:cs="Times New Roman"/>
          <w:color w:val="212121"/>
          <w:sz w:val="16"/>
          <w:szCs w:val="16"/>
          <w:shd w:val="clear" w:color="auto" w:fill="FFFFFF"/>
        </w:rPr>
        <w:t xml:space="preserve"> hospitalization associated with chemotherapy. Cancer. 2005 May 1</w:t>
      </w:r>
      <w:proofErr w:type="gramStart"/>
      <w:r w:rsidRPr="00A07FDB">
        <w:rPr>
          <w:rFonts w:ascii="Times New Roman" w:hAnsi="Times New Roman" w:cs="Times New Roman"/>
          <w:color w:val="212121"/>
          <w:sz w:val="16"/>
          <w:szCs w:val="16"/>
          <w:shd w:val="clear" w:color="auto" w:fill="FFFFFF"/>
        </w:rPr>
        <w:t>;103</w:t>
      </w:r>
      <w:proofErr w:type="gramEnd"/>
      <w:r w:rsidRPr="00A07FDB">
        <w:rPr>
          <w:rFonts w:ascii="Times New Roman" w:hAnsi="Times New Roman" w:cs="Times New Roman"/>
          <w:color w:val="212121"/>
          <w:sz w:val="16"/>
          <w:szCs w:val="16"/>
          <w:shd w:val="clear" w:color="auto" w:fill="FFFFFF"/>
        </w:rPr>
        <w:t xml:space="preserve">(9):1916-24.  </w:t>
      </w:r>
    </w:p>
    <w:p w:rsidR="00334576" w:rsidRPr="00A07FDB" w:rsidRDefault="00334576" w:rsidP="00D72DAE">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proofErr w:type="spellStart"/>
      <w:r w:rsidRPr="00A07FDB">
        <w:rPr>
          <w:rFonts w:ascii="Times New Roman" w:eastAsia="Times New Roman" w:hAnsi="Times New Roman" w:cs="Times New Roman"/>
          <w:color w:val="000000" w:themeColor="text1"/>
          <w:sz w:val="16"/>
          <w:szCs w:val="16"/>
        </w:rPr>
        <w:t>Dafni</w:t>
      </w:r>
      <w:proofErr w:type="spellEnd"/>
      <w:r w:rsidRPr="00A07FDB">
        <w:rPr>
          <w:rFonts w:ascii="Times New Roman" w:eastAsia="Times New Roman" w:hAnsi="Times New Roman" w:cs="Times New Roman"/>
          <w:color w:val="000000" w:themeColor="text1"/>
          <w:sz w:val="16"/>
          <w:szCs w:val="16"/>
        </w:rPr>
        <w:t xml:space="preserve"> U, </w:t>
      </w:r>
      <w:proofErr w:type="spellStart"/>
      <w:r w:rsidRPr="00A07FDB">
        <w:rPr>
          <w:rFonts w:ascii="Times New Roman" w:eastAsia="Times New Roman" w:hAnsi="Times New Roman" w:cs="Times New Roman"/>
          <w:color w:val="000000" w:themeColor="text1"/>
          <w:sz w:val="16"/>
          <w:szCs w:val="16"/>
        </w:rPr>
        <w:t>Grimani</w:t>
      </w:r>
      <w:proofErr w:type="spellEnd"/>
      <w:r w:rsidRPr="00A07FDB">
        <w:rPr>
          <w:rFonts w:ascii="Times New Roman" w:eastAsia="Times New Roman" w:hAnsi="Times New Roman" w:cs="Times New Roman"/>
          <w:color w:val="000000" w:themeColor="text1"/>
          <w:sz w:val="16"/>
          <w:szCs w:val="16"/>
        </w:rPr>
        <w:t xml:space="preserve"> I, </w:t>
      </w:r>
      <w:proofErr w:type="spellStart"/>
      <w:r w:rsidRPr="00A07FDB">
        <w:rPr>
          <w:rFonts w:ascii="Times New Roman" w:eastAsia="Times New Roman" w:hAnsi="Times New Roman" w:cs="Times New Roman"/>
          <w:color w:val="000000" w:themeColor="text1"/>
          <w:sz w:val="16"/>
          <w:szCs w:val="16"/>
        </w:rPr>
        <w:t>Xyrafas</w:t>
      </w:r>
      <w:proofErr w:type="spellEnd"/>
      <w:r w:rsidRPr="00A07FDB">
        <w:rPr>
          <w:rFonts w:ascii="Times New Roman" w:eastAsia="Times New Roman" w:hAnsi="Times New Roman" w:cs="Times New Roman"/>
          <w:color w:val="000000" w:themeColor="text1"/>
          <w:sz w:val="16"/>
          <w:szCs w:val="16"/>
        </w:rPr>
        <w:t xml:space="preserve"> A,</w:t>
      </w:r>
      <w:r w:rsidR="00FC462D" w:rsidRPr="00A07FDB">
        <w:rPr>
          <w:rFonts w:ascii="Times New Roman" w:eastAsia="Times New Roman" w:hAnsi="Times New Roman" w:cs="Times New Roman"/>
          <w:color w:val="000000" w:themeColor="text1"/>
          <w:sz w:val="16"/>
          <w:szCs w:val="16"/>
        </w:rPr>
        <w:t xml:space="preserve"> </w:t>
      </w:r>
      <w:proofErr w:type="spellStart"/>
      <w:r w:rsidR="00FC462D" w:rsidRPr="00A07FDB">
        <w:rPr>
          <w:rFonts w:ascii="Times New Roman" w:eastAsia="Times New Roman" w:hAnsi="Times New Roman" w:cs="Times New Roman"/>
          <w:color w:val="000000" w:themeColor="text1"/>
          <w:sz w:val="16"/>
          <w:szCs w:val="16"/>
        </w:rPr>
        <w:t>Eleftheraki</w:t>
      </w:r>
      <w:proofErr w:type="spellEnd"/>
      <w:r w:rsidR="00FC462D" w:rsidRPr="00A07FDB">
        <w:rPr>
          <w:rFonts w:ascii="Times New Roman" w:eastAsia="Times New Roman" w:hAnsi="Times New Roman" w:cs="Times New Roman"/>
          <w:color w:val="000000" w:themeColor="text1"/>
          <w:sz w:val="16"/>
          <w:szCs w:val="16"/>
        </w:rPr>
        <w:t xml:space="preserve"> AG, </w:t>
      </w:r>
      <w:proofErr w:type="spellStart"/>
      <w:r w:rsidR="00FC462D" w:rsidRPr="00A07FDB">
        <w:rPr>
          <w:rFonts w:ascii="Times New Roman" w:eastAsia="Times New Roman" w:hAnsi="Times New Roman" w:cs="Times New Roman"/>
          <w:color w:val="000000" w:themeColor="text1"/>
          <w:sz w:val="16"/>
          <w:szCs w:val="16"/>
        </w:rPr>
        <w:t>Fountazilas</w:t>
      </w:r>
      <w:proofErr w:type="spellEnd"/>
      <w:r w:rsidR="00FC462D" w:rsidRPr="00A07FDB">
        <w:rPr>
          <w:rFonts w:ascii="Times New Roman" w:eastAsia="Times New Roman" w:hAnsi="Times New Roman" w:cs="Times New Roman"/>
          <w:color w:val="000000" w:themeColor="text1"/>
          <w:sz w:val="16"/>
          <w:szCs w:val="16"/>
        </w:rPr>
        <w:t xml:space="preserve"> G.</w:t>
      </w:r>
      <w:r w:rsidRPr="00A07FDB">
        <w:rPr>
          <w:rFonts w:ascii="Times New Roman" w:eastAsia="Times New Roman" w:hAnsi="Times New Roman" w:cs="Times New Roman"/>
          <w:color w:val="000000" w:themeColor="text1"/>
          <w:sz w:val="16"/>
          <w:szCs w:val="16"/>
        </w:rPr>
        <w:t xml:space="preserve"> Fifteen-year trends in metastatic breast cancer survival in Greece. Breast Cancer Res Treat </w:t>
      </w:r>
      <w:r w:rsidR="0004438F" w:rsidRPr="00A07FDB">
        <w:rPr>
          <w:rFonts w:ascii="Times New Roman" w:eastAsia="Times New Roman" w:hAnsi="Times New Roman" w:cs="Times New Roman"/>
          <w:color w:val="000000" w:themeColor="text1"/>
          <w:sz w:val="16"/>
          <w:szCs w:val="16"/>
        </w:rPr>
        <w:t>2010 Feb</w:t>
      </w:r>
      <w:proofErr w:type="gramStart"/>
      <w:r w:rsidR="0004438F" w:rsidRPr="00A07FDB">
        <w:rPr>
          <w:rFonts w:ascii="Times New Roman" w:eastAsia="Times New Roman" w:hAnsi="Times New Roman" w:cs="Times New Roman"/>
          <w:color w:val="000000" w:themeColor="text1"/>
          <w:sz w:val="16"/>
          <w:szCs w:val="16"/>
        </w:rPr>
        <w:t>;</w:t>
      </w:r>
      <w:r w:rsidRPr="00A07FDB">
        <w:rPr>
          <w:rFonts w:ascii="Times New Roman" w:eastAsia="Times New Roman" w:hAnsi="Times New Roman" w:cs="Times New Roman"/>
          <w:color w:val="000000" w:themeColor="text1"/>
          <w:sz w:val="16"/>
          <w:szCs w:val="16"/>
        </w:rPr>
        <w:t>119</w:t>
      </w:r>
      <w:proofErr w:type="gramEnd"/>
      <w:r w:rsidR="0004438F" w:rsidRPr="00A07FDB">
        <w:rPr>
          <w:rFonts w:ascii="Times New Roman" w:eastAsia="Times New Roman" w:hAnsi="Times New Roman" w:cs="Times New Roman"/>
          <w:color w:val="000000" w:themeColor="text1"/>
          <w:sz w:val="16"/>
          <w:szCs w:val="16"/>
        </w:rPr>
        <w:t>(3):621-31</w:t>
      </w:r>
      <w:r w:rsidRPr="00A07FDB">
        <w:rPr>
          <w:rFonts w:ascii="Times New Roman" w:eastAsia="Times New Roman" w:hAnsi="Times New Roman" w:cs="Times New Roman"/>
          <w:color w:val="000000" w:themeColor="text1"/>
          <w:sz w:val="16"/>
          <w:szCs w:val="16"/>
        </w:rPr>
        <w:t>.</w:t>
      </w:r>
    </w:p>
    <w:p w:rsidR="00D72DAE" w:rsidRPr="00A07FDB" w:rsidRDefault="00D72DAE" w:rsidP="00D72DAE">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r w:rsidRPr="00A07FDB">
        <w:rPr>
          <w:rFonts w:ascii="Times New Roman" w:eastAsia="Times New Roman" w:hAnsi="Times New Roman" w:cs="Times New Roman"/>
          <w:color w:val="000000" w:themeColor="text1"/>
          <w:sz w:val="16"/>
          <w:szCs w:val="16"/>
        </w:rPr>
        <w:t xml:space="preserve">Giordano SH, </w:t>
      </w:r>
      <w:proofErr w:type="spellStart"/>
      <w:r w:rsidRPr="00A07FDB">
        <w:rPr>
          <w:rFonts w:ascii="Times New Roman" w:eastAsia="Times New Roman" w:hAnsi="Times New Roman" w:cs="Times New Roman"/>
          <w:color w:val="000000" w:themeColor="text1"/>
          <w:sz w:val="16"/>
          <w:szCs w:val="16"/>
        </w:rPr>
        <w:t>Buzdar</w:t>
      </w:r>
      <w:proofErr w:type="spellEnd"/>
      <w:r w:rsidRPr="00A07FDB">
        <w:rPr>
          <w:rFonts w:ascii="Times New Roman" w:eastAsia="Times New Roman" w:hAnsi="Times New Roman" w:cs="Times New Roman"/>
          <w:color w:val="000000" w:themeColor="text1"/>
          <w:sz w:val="16"/>
          <w:szCs w:val="16"/>
        </w:rPr>
        <w:t xml:space="preserve"> AU, Smith TL, </w:t>
      </w:r>
      <w:proofErr w:type="spellStart"/>
      <w:r w:rsidR="0004438F" w:rsidRPr="00A07FDB">
        <w:rPr>
          <w:rFonts w:ascii="Times New Roman" w:eastAsia="Times New Roman" w:hAnsi="Times New Roman" w:cs="Times New Roman"/>
          <w:color w:val="000000" w:themeColor="text1"/>
          <w:sz w:val="16"/>
          <w:szCs w:val="16"/>
        </w:rPr>
        <w:t>Kau</w:t>
      </w:r>
      <w:proofErr w:type="spellEnd"/>
      <w:r w:rsidR="0004438F" w:rsidRPr="00A07FDB">
        <w:rPr>
          <w:rFonts w:ascii="Times New Roman" w:eastAsia="Times New Roman" w:hAnsi="Times New Roman" w:cs="Times New Roman"/>
          <w:color w:val="000000" w:themeColor="text1"/>
          <w:sz w:val="16"/>
          <w:szCs w:val="16"/>
        </w:rPr>
        <w:t xml:space="preserve"> SW, Yang Y, </w:t>
      </w:r>
      <w:proofErr w:type="spellStart"/>
      <w:r w:rsidR="0004438F" w:rsidRPr="00A07FDB">
        <w:rPr>
          <w:rFonts w:ascii="Times New Roman" w:eastAsia="Times New Roman" w:hAnsi="Times New Roman" w:cs="Times New Roman"/>
          <w:color w:val="000000" w:themeColor="text1"/>
          <w:sz w:val="16"/>
          <w:szCs w:val="16"/>
        </w:rPr>
        <w:t>Hortobagyi</w:t>
      </w:r>
      <w:proofErr w:type="spellEnd"/>
      <w:r w:rsidR="0004438F" w:rsidRPr="00A07FDB">
        <w:rPr>
          <w:rFonts w:ascii="Times New Roman" w:eastAsia="Times New Roman" w:hAnsi="Times New Roman" w:cs="Times New Roman"/>
          <w:color w:val="000000" w:themeColor="text1"/>
          <w:sz w:val="16"/>
          <w:szCs w:val="16"/>
        </w:rPr>
        <w:t xml:space="preserve"> GN. </w:t>
      </w:r>
      <w:r w:rsidRPr="00A07FDB">
        <w:rPr>
          <w:rFonts w:ascii="Times New Roman" w:eastAsia="Times New Roman" w:hAnsi="Times New Roman" w:cs="Times New Roman"/>
          <w:color w:val="000000" w:themeColor="text1"/>
          <w:sz w:val="16"/>
          <w:szCs w:val="16"/>
        </w:rPr>
        <w:t xml:space="preserve">Is breast cancer survival improving? Cancer </w:t>
      </w:r>
      <w:r w:rsidR="0004438F" w:rsidRPr="00A07FDB">
        <w:rPr>
          <w:rFonts w:ascii="Times New Roman" w:eastAsia="Times New Roman" w:hAnsi="Times New Roman" w:cs="Times New Roman"/>
          <w:color w:val="000000" w:themeColor="text1"/>
          <w:sz w:val="16"/>
          <w:szCs w:val="16"/>
        </w:rPr>
        <w:t>2004 Jan 1</w:t>
      </w:r>
      <w:proofErr w:type="gramStart"/>
      <w:r w:rsidR="0004438F" w:rsidRPr="00A07FDB">
        <w:rPr>
          <w:rFonts w:ascii="Times New Roman" w:eastAsia="Times New Roman" w:hAnsi="Times New Roman" w:cs="Times New Roman"/>
          <w:color w:val="000000" w:themeColor="text1"/>
          <w:sz w:val="16"/>
          <w:szCs w:val="16"/>
        </w:rPr>
        <w:t>;</w:t>
      </w:r>
      <w:r w:rsidRPr="00A07FDB">
        <w:rPr>
          <w:rFonts w:ascii="Times New Roman" w:eastAsia="Times New Roman" w:hAnsi="Times New Roman" w:cs="Times New Roman"/>
          <w:color w:val="000000" w:themeColor="text1"/>
          <w:sz w:val="16"/>
          <w:szCs w:val="16"/>
        </w:rPr>
        <w:t>100</w:t>
      </w:r>
      <w:proofErr w:type="gramEnd"/>
      <w:r w:rsidR="0004438F" w:rsidRPr="00A07FDB">
        <w:rPr>
          <w:rFonts w:ascii="Times New Roman" w:eastAsia="Times New Roman" w:hAnsi="Times New Roman" w:cs="Times New Roman"/>
          <w:color w:val="000000" w:themeColor="text1"/>
          <w:sz w:val="16"/>
          <w:szCs w:val="16"/>
        </w:rPr>
        <w:t>(1):44-52</w:t>
      </w:r>
      <w:r w:rsidRPr="00A07FDB">
        <w:rPr>
          <w:rFonts w:ascii="Times New Roman" w:eastAsia="Times New Roman" w:hAnsi="Times New Roman" w:cs="Times New Roman"/>
          <w:color w:val="000000" w:themeColor="text1"/>
          <w:sz w:val="16"/>
          <w:szCs w:val="16"/>
        </w:rPr>
        <w:t>.</w:t>
      </w:r>
    </w:p>
    <w:p w:rsidR="004F555C" w:rsidRPr="00A07FDB" w:rsidRDefault="0004438F" w:rsidP="004F555C">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proofErr w:type="spellStart"/>
      <w:r w:rsidRPr="00A07FDB">
        <w:rPr>
          <w:rFonts w:ascii="Times New Roman" w:eastAsia="Times New Roman" w:hAnsi="Times New Roman" w:cs="Times New Roman"/>
          <w:color w:val="000000" w:themeColor="text1"/>
          <w:sz w:val="16"/>
          <w:szCs w:val="16"/>
        </w:rPr>
        <w:t>Agarwal</w:t>
      </w:r>
      <w:proofErr w:type="spellEnd"/>
      <w:r w:rsidRPr="00A07FDB">
        <w:rPr>
          <w:rFonts w:ascii="Times New Roman" w:eastAsia="Times New Roman" w:hAnsi="Times New Roman" w:cs="Times New Roman"/>
          <w:color w:val="000000" w:themeColor="text1"/>
          <w:sz w:val="16"/>
          <w:szCs w:val="16"/>
        </w:rPr>
        <w:t xml:space="preserve"> G, </w:t>
      </w:r>
      <w:proofErr w:type="spellStart"/>
      <w:r w:rsidRPr="00A07FDB">
        <w:rPr>
          <w:rFonts w:ascii="Times New Roman" w:eastAsia="Times New Roman" w:hAnsi="Times New Roman" w:cs="Times New Roman"/>
          <w:color w:val="000000" w:themeColor="text1"/>
          <w:sz w:val="16"/>
          <w:szCs w:val="16"/>
        </w:rPr>
        <w:t>Ramkant</w:t>
      </w:r>
      <w:proofErr w:type="spellEnd"/>
      <w:r w:rsidRPr="00A07FDB">
        <w:rPr>
          <w:rFonts w:ascii="Times New Roman" w:eastAsia="Times New Roman" w:hAnsi="Times New Roman" w:cs="Times New Roman"/>
          <w:color w:val="000000" w:themeColor="text1"/>
          <w:sz w:val="16"/>
          <w:szCs w:val="16"/>
        </w:rPr>
        <w:t xml:space="preserve"> P. Breast cancer care in </w:t>
      </w:r>
      <w:proofErr w:type="spellStart"/>
      <w:r w:rsidRPr="00A07FDB">
        <w:rPr>
          <w:rFonts w:ascii="Times New Roman" w:eastAsia="Times New Roman" w:hAnsi="Times New Roman" w:cs="Times New Roman"/>
          <w:color w:val="000000" w:themeColor="text1"/>
          <w:sz w:val="16"/>
          <w:szCs w:val="16"/>
        </w:rPr>
        <w:t>india</w:t>
      </w:r>
      <w:proofErr w:type="spellEnd"/>
      <w:r w:rsidRPr="00A07FDB">
        <w:rPr>
          <w:rFonts w:ascii="Times New Roman" w:eastAsia="Times New Roman" w:hAnsi="Times New Roman" w:cs="Times New Roman"/>
          <w:color w:val="000000" w:themeColor="text1"/>
          <w:sz w:val="16"/>
          <w:szCs w:val="16"/>
        </w:rPr>
        <w:t>:</w:t>
      </w:r>
      <w:r w:rsidR="00024805" w:rsidRPr="00A07FDB">
        <w:rPr>
          <w:rFonts w:ascii="Times New Roman" w:eastAsia="Times New Roman" w:hAnsi="Times New Roman" w:cs="Times New Roman"/>
          <w:color w:val="000000" w:themeColor="text1"/>
          <w:sz w:val="16"/>
          <w:szCs w:val="16"/>
        </w:rPr>
        <w:t xml:space="preserve"> The current scenario and challenges for the future Breast care (Basel) </w:t>
      </w:r>
      <w:r w:rsidRPr="00A07FDB">
        <w:rPr>
          <w:rFonts w:ascii="Times New Roman" w:eastAsia="Times New Roman" w:hAnsi="Times New Roman" w:cs="Times New Roman"/>
          <w:color w:val="000000" w:themeColor="text1"/>
          <w:sz w:val="16"/>
          <w:szCs w:val="16"/>
        </w:rPr>
        <w:t>2008</w:t>
      </w:r>
      <w:proofErr w:type="gramStart"/>
      <w:r w:rsidRPr="00A07FDB">
        <w:rPr>
          <w:rFonts w:ascii="Times New Roman" w:eastAsia="Times New Roman" w:hAnsi="Times New Roman" w:cs="Times New Roman"/>
          <w:color w:val="000000" w:themeColor="text1"/>
          <w:sz w:val="16"/>
          <w:szCs w:val="16"/>
        </w:rPr>
        <w:t>;</w:t>
      </w:r>
      <w:r w:rsidR="00024805" w:rsidRPr="00A07FDB">
        <w:rPr>
          <w:rFonts w:ascii="Times New Roman" w:eastAsia="Times New Roman" w:hAnsi="Times New Roman" w:cs="Times New Roman"/>
          <w:color w:val="000000" w:themeColor="text1"/>
          <w:sz w:val="16"/>
          <w:szCs w:val="16"/>
        </w:rPr>
        <w:t>3</w:t>
      </w:r>
      <w:proofErr w:type="gramEnd"/>
      <w:r w:rsidRPr="00A07FDB">
        <w:rPr>
          <w:rFonts w:ascii="Times New Roman" w:eastAsia="Times New Roman" w:hAnsi="Times New Roman" w:cs="Times New Roman"/>
          <w:color w:val="000000" w:themeColor="text1"/>
          <w:sz w:val="16"/>
          <w:szCs w:val="16"/>
        </w:rPr>
        <w:t>(1):21-</w:t>
      </w:r>
      <w:r w:rsidR="00FD61C6" w:rsidRPr="00A07FDB">
        <w:rPr>
          <w:rFonts w:ascii="Times New Roman" w:eastAsia="Times New Roman" w:hAnsi="Times New Roman" w:cs="Times New Roman"/>
          <w:color w:val="000000" w:themeColor="text1"/>
          <w:sz w:val="16"/>
          <w:szCs w:val="16"/>
        </w:rPr>
        <w:t>7</w:t>
      </w:r>
      <w:r w:rsidR="00024805" w:rsidRPr="00A07FDB">
        <w:rPr>
          <w:rFonts w:ascii="Times New Roman" w:eastAsia="Times New Roman" w:hAnsi="Times New Roman" w:cs="Times New Roman"/>
          <w:color w:val="000000" w:themeColor="text1"/>
          <w:sz w:val="16"/>
          <w:szCs w:val="16"/>
        </w:rPr>
        <w:t>.</w:t>
      </w:r>
    </w:p>
    <w:p w:rsidR="004F555C" w:rsidRPr="00A07FDB" w:rsidRDefault="00024805" w:rsidP="004F555C">
      <w:pPr>
        <w:pStyle w:val="ListParagraph"/>
        <w:numPr>
          <w:ilvl w:val="0"/>
          <w:numId w:val="1"/>
        </w:numPr>
        <w:shd w:val="clear" w:color="auto" w:fill="FFFFFF"/>
        <w:spacing w:before="144" w:after="144"/>
        <w:jc w:val="both"/>
        <w:outlineLvl w:val="4"/>
        <w:rPr>
          <w:rFonts w:ascii="Times New Roman" w:eastAsia="Times New Roman" w:hAnsi="Times New Roman" w:cs="Times New Roman"/>
          <w:color w:val="000000" w:themeColor="text1"/>
          <w:sz w:val="16"/>
          <w:szCs w:val="16"/>
        </w:rPr>
      </w:pPr>
      <w:r w:rsidRPr="00A07FDB">
        <w:rPr>
          <w:rFonts w:ascii="Times New Roman" w:eastAsia="Times New Roman" w:hAnsi="Times New Roman" w:cs="Times New Roman"/>
          <w:color w:val="000000" w:themeColor="text1"/>
          <w:sz w:val="16"/>
          <w:szCs w:val="16"/>
        </w:rPr>
        <w:t xml:space="preserve">National Cancer Registry </w:t>
      </w:r>
      <w:proofErr w:type="spellStart"/>
      <w:r w:rsidRPr="00A07FDB">
        <w:rPr>
          <w:rFonts w:ascii="Times New Roman" w:eastAsia="Times New Roman" w:hAnsi="Times New Roman" w:cs="Times New Roman"/>
          <w:color w:val="000000" w:themeColor="text1"/>
          <w:sz w:val="16"/>
          <w:szCs w:val="16"/>
        </w:rPr>
        <w:t>Programme</w:t>
      </w:r>
      <w:proofErr w:type="spellEnd"/>
      <w:r w:rsidRPr="00A07FDB">
        <w:rPr>
          <w:rFonts w:ascii="Times New Roman" w:eastAsia="Times New Roman" w:hAnsi="Times New Roman" w:cs="Times New Roman"/>
          <w:color w:val="000000" w:themeColor="text1"/>
          <w:sz w:val="16"/>
          <w:szCs w:val="16"/>
        </w:rPr>
        <w:t xml:space="preserve">: First All India Report: 2001-2002, Chapter 2: Overall planning and methods. 2010. </w:t>
      </w:r>
      <w:r w:rsidR="0004438F" w:rsidRPr="00A07FDB">
        <w:rPr>
          <w:rFonts w:ascii="Times New Roman" w:eastAsia="Times New Roman" w:hAnsi="Times New Roman" w:cs="Times New Roman"/>
          <w:color w:val="000000" w:themeColor="text1"/>
          <w:sz w:val="16"/>
          <w:szCs w:val="16"/>
        </w:rPr>
        <w:t>Available from: URL:</w:t>
      </w:r>
      <w:r w:rsidRPr="00A07FDB">
        <w:rPr>
          <w:rFonts w:ascii="Times New Roman" w:eastAsia="Times New Roman" w:hAnsi="Times New Roman" w:cs="Times New Roman"/>
          <w:color w:val="000000" w:themeColor="text1"/>
          <w:sz w:val="16"/>
          <w:szCs w:val="16"/>
        </w:rPr>
        <w:t>http://www.ncdirindia.org/ncrp/ca/ map.aspx.</w:t>
      </w:r>
    </w:p>
    <w:p w:rsidR="004F555C" w:rsidRPr="00A07FDB" w:rsidRDefault="00024805" w:rsidP="004F555C">
      <w:pPr>
        <w:pStyle w:val="ListParagraph"/>
        <w:numPr>
          <w:ilvl w:val="0"/>
          <w:numId w:val="1"/>
        </w:numPr>
        <w:jc w:val="both"/>
        <w:rPr>
          <w:rFonts w:ascii="Times New Roman" w:hAnsi="Times New Roman" w:cs="Times New Roman"/>
          <w:sz w:val="16"/>
          <w:szCs w:val="16"/>
        </w:rPr>
      </w:pPr>
      <w:r w:rsidRPr="00A07FDB">
        <w:rPr>
          <w:rFonts w:ascii="Times New Roman" w:eastAsia="Times New Roman" w:hAnsi="Times New Roman" w:cs="Times New Roman"/>
          <w:color w:val="000000" w:themeColor="text1"/>
          <w:sz w:val="16"/>
          <w:szCs w:val="16"/>
        </w:rPr>
        <w:t xml:space="preserve">National Cancer Registry </w:t>
      </w:r>
      <w:proofErr w:type="spellStart"/>
      <w:r w:rsidRPr="00A07FDB">
        <w:rPr>
          <w:rFonts w:ascii="Times New Roman" w:eastAsia="Times New Roman" w:hAnsi="Times New Roman" w:cs="Times New Roman"/>
          <w:color w:val="000000" w:themeColor="text1"/>
          <w:sz w:val="16"/>
          <w:szCs w:val="16"/>
        </w:rPr>
        <w:t>Programmme</w:t>
      </w:r>
      <w:proofErr w:type="spellEnd"/>
      <w:r w:rsidRPr="00A07FDB">
        <w:rPr>
          <w:rFonts w:ascii="Times New Roman" w:eastAsia="Times New Roman" w:hAnsi="Times New Roman" w:cs="Times New Roman"/>
          <w:color w:val="000000" w:themeColor="text1"/>
          <w:sz w:val="16"/>
          <w:szCs w:val="16"/>
        </w:rPr>
        <w:t xml:space="preserve">: First All India Report: 2001-2002, Chapter 4: Minimum incidence rates of cancer [all sites] in districts. 2010. </w:t>
      </w:r>
      <w:r w:rsidR="0004438F" w:rsidRPr="00A07FDB">
        <w:rPr>
          <w:rFonts w:ascii="Times New Roman" w:eastAsia="Times New Roman" w:hAnsi="Times New Roman" w:cs="Times New Roman"/>
          <w:color w:val="000000" w:themeColor="text1"/>
          <w:sz w:val="16"/>
          <w:szCs w:val="16"/>
        </w:rPr>
        <w:t>Available from: URL</w:t>
      </w:r>
      <w:proofErr w:type="gramStart"/>
      <w:r w:rsidR="0004438F" w:rsidRPr="00A07FDB">
        <w:rPr>
          <w:rFonts w:ascii="Times New Roman" w:eastAsia="Times New Roman" w:hAnsi="Times New Roman" w:cs="Times New Roman"/>
          <w:color w:val="000000" w:themeColor="text1"/>
          <w:sz w:val="16"/>
          <w:szCs w:val="16"/>
        </w:rPr>
        <w:t>:</w:t>
      </w:r>
      <w:r w:rsidRPr="00A07FDB">
        <w:rPr>
          <w:rFonts w:ascii="Times New Roman" w:eastAsia="Times New Roman" w:hAnsi="Times New Roman" w:cs="Times New Roman"/>
          <w:color w:val="000000" w:themeColor="text1"/>
          <w:sz w:val="16"/>
          <w:szCs w:val="16"/>
        </w:rPr>
        <w:t>http</w:t>
      </w:r>
      <w:proofErr w:type="gramEnd"/>
      <w:r w:rsidRPr="00A07FDB">
        <w:rPr>
          <w:rFonts w:ascii="Times New Roman" w:eastAsia="Times New Roman" w:hAnsi="Times New Roman" w:cs="Times New Roman"/>
          <w:color w:val="000000" w:themeColor="text1"/>
          <w:sz w:val="16"/>
          <w:szCs w:val="16"/>
        </w:rPr>
        <w:t xml:space="preserve">:// </w:t>
      </w:r>
      <w:hyperlink r:id="rId9" w:history="1">
        <w:r w:rsidRPr="00A07FDB">
          <w:rPr>
            <w:rStyle w:val="Hyperlink"/>
            <w:rFonts w:ascii="Times New Roman" w:eastAsia="Times New Roman" w:hAnsi="Times New Roman" w:cs="Times New Roman"/>
            <w:color w:val="000000" w:themeColor="text1"/>
            <w:sz w:val="16"/>
            <w:szCs w:val="16"/>
            <w:u w:val="none"/>
          </w:rPr>
          <w:t>www.ncdirindia.org/ncrp/ca/chapter4_1.aspx</w:t>
        </w:r>
      </w:hyperlink>
      <w:r w:rsidRPr="00A07FDB">
        <w:rPr>
          <w:rFonts w:ascii="Times New Roman" w:hAnsi="Times New Roman" w:cs="Times New Roman"/>
          <w:sz w:val="16"/>
          <w:szCs w:val="16"/>
        </w:rPr>
        <w:t>.</w:t>
      </w:r>
    </w:p>
    <w:p w:rsidR="004F555C" w:rsidRPr="00A07FDB" w:rsidRDefault="0004438F" w:rsidP="004F555C">
      <w:pPr>
        <w:pStyle w:val="ListParagraph"/>
        <w:numPr>
          <w:ilvl w:val="0"/>
          <w:numId w:val="1"/>
        </w:numPr>
        <w:shd w:val="clear" w:color="auto" w:fill="FFFFFF"/>
        <w:spacing w:before="144" w:after="144" w:line="240" w:lineRule="auto"/>
        <w:jc w:val="both"/>
        <w:outlineLvl w:val="4"/>
        <w:rPr>
          <w:rFonts w:ascii="Times New Roman" w:eastAsia="Times New Roman" w:hAnsi="Times New Roman" w:cs="Times New Roman"/>
          <w:color w:val="000000" w:themeColor="text1"/>
          <w:sz w:val="16"/>
          <w:szCs w:val="16"/>
        </w:rPr>
      </w:pPr>
      <w:proofErr w:type="spellStart"/>
      <w:r w:rsidRPr="00A07FDB">
        <w:rPr>
          <w:rFonts w:ascii="Times New Roman" w:eastAsia="Times New Roman" w:hAnsi="Times New Roman" w:cs="Times New Roman"/>
          <w:color w:val="000000" w:themeColor="text1"/>
          <w:sz w:val="16"/>
          <w:szCs w:val="16"/>
        </w:rPr>
        <w:t>Gogia</w:t>
      </w:r>
      <w:proofErr w:type="spellEnd"/>
      <w:r w:rsidRPr="00A07FDB">
        <w:rPr>
          <w:rFonts w:ascii="Times New Roman" w:eastAsia="Times New Roman" w:hAnsi="Times New Roman" w:cs="Times New Roman"/>
          <w:color w:val="000000" w:themeColor="text1"/>
          <w:sz w:val="16"/>
          <w:szCs w:val="16"/>
        </w:rPr>
        <w:t xml:space="preserve"> A, </w:t>
      </w:r>
      <w:proofErr w:type="spellStart"/>
      <w:r w:rsidRPr="00A07FDB">
        <w:rPr>
          <w:rFonts w:ascii="Times New Roman" w:eastAsia="Times New Roman" w:hAnsi="Times New Roman" w:cs="Times New Roman"/>
          <w:color w:val="000000" w:themeColor="text1"/>
          <w:sz w:val="16"/>
          <w:szCs w:val="16"/>
        </w:rPr>
        <w:t>Deo</w:t>
      </w:r>
      <w:proofErr w:type="spellEnd"/>
      <w:r w:rsidRPr="00A07FDB">
        <w:rPr>
          <w:rFonts w:ascii="Times New Roman" w:eastAsia="Times New Roman" w:hAnsi="Times New Roman" w:cs="Times New Roman"/>
          <w:color w:val="000000" w:themeColor="text1"/>
          <w:sz w:val="16"/>
          <w:szCs w:val="16"/>
        </w:rPr>
        <w:t xml:space="preserve"> SVS, Sharma D. </w:t>
      </w:r>
      <w:proofErr w:type="spellStart"/>
      <w:r w:rsidRPr="00A07FDB">
        <w:rPr>
          <w:rFonts w:ascii="Times New Roman" w:eastAsia="Times New Roman" w:hAnsi="Times New Roman" w:cs="Times New Roman"/>
          <w:color w:val="000000" w:themeColor="text1"/>
          <w:sz w:val="16"/>
          <w:szCs w:val="16"/>
        </w:rPr>
        <w:t>Thulkar</w:t>
      </w:r>
      <w:proofErr w:type="spellEnd"/>
      <w:r w:rsidRPr="00A07FDB">
        <w:rPr>
          <w:rFonts w:ascii="Times New Roman" w:eastAsia="Times New Roman" w:hAnsi="Times New Roman" w:cs="Times New Roman"/>
          <w:color w:val="000000" w:themeColor="text1"/>
          <w:sz w:val="16"/>
          <w:szCs w:val="16"/>
        </w:rPr>
        <w:t xml:space="preserve"> S, Kumar R, </w:t>
      </w:r>
      <w:proofErr w:type="spellStart"/>
      <w:r w:rsidRPr="00A07FDB">
        <w:rPr>
          <w:rFonts w:ascii="Times New Roman" w:eastAsia="Times New Roman" w:hAnsi="Times New Roman" w:cs="Times New Roman"/>
          <w:color w:val="000000" w:themeColor="text1"/>
          <w:sz w:val="16"/>
          <w:szCs w:val="16"/>
        </w:rPr>
        <w:t>Malik</w:t>
      </w:r>
      <w:proofErr w:type="spellEnd"/>
      <w:r w:rsidRPr="00A07FDB">
        <w:rPr>
          <w:rFonts w:ascii="Times New Roman" w:eastAsia="Times New Roman" w:hAnsi="Times New Roman" w:cs="Times New Roman"/>
          <w:color w:val="000000" w:themeColor="text1"/>
          <w:sz w:val="16"/>
          <w:szCs w:val="16"/>
        </w:rPr>
        <w:t xml:space="preserve"> PS,</w:t>
      </w:r>
      <w:r w:rsidR="00D72DAE" w:rsidRPr="00A07FDB">
        <w:rPr>
          <w:rFonts w:ascii="Times New Roman" w:eastAsia="Times New Roman" w:hAnsi="Times New Roman" w:cs="Times New Roman"/>
          <w:color w:val="000000" w:themeColor="text1"/>
          <w:sz w:val="16"/>
          <w:szCs w:val="16"/>
        </w:rPr>
        <w:t xml:space="preserve"> et al: </w:t>
      </w:r>
      <w:proofErr w:type="spellStart"/>
      <w:r w:rsidR="00D72DAE" w:rsidRPr="00A07FDB">
        <w:rPr>
          <w:rFonts w:ascii="Times New Roman" w:eastAsia="Times New Roman" w:hAnsi="Times New Roman" w:cs="Times New Roman"/>
          <w:color w:val="000000" w:themeColor="text1"/>
          <w:sz w:val="16"/>
          <w:szCs w:val="16"/>
        </w:rPr>
        <w:t>Clinicopathologic</w:t>
      </w:r>
      <w:proofErr w:type="spellEnd"/>
      <w:r w:rsidR="00D72DAE" w:rsidRPr="00A07FDB">
        <w:rPr>
          <w:rFonts w:ascii="Times New Roman" w:eastAsia="Times New Roman" w:hAnsi="Times New Roman" w:cs="Times New Roman"/>
          <w:color w:val="000000" w:themeColor="text1"/>
          <w:sz w:val="16"/>
          <w:szCs w:val="16"/>
        </w:rPr>
        <w:t xml:space="preserve"> characteristics and treatment outcomes of patients with up-front metastatic breast cancer: Single center experience in India. J Global </w:t>
      </w:r>
      <w:proofErr w:type="spellStart"/>
      <w:r w:rsidR="00D72DAE" w:rsidRPr="00A07FDB">
        <w:rPr>
          <w:rFonts w:ascii="Times New Roman" w:eastAsia="Times New Roman" w:hAnsi="Times New Roman" w:cs="Times New Roman"/>
          <w:color w:val="000000" w:themeColor="text1"/>
          <w:sz w:val="16"/>
          <w:szCs w:val="16"/>
        </w:rPr>
        <w:t>Oncol</w:t>
      </w:r>
      <w:proofErr w:type="spellEnd"/>
      <w:r w:rsidR="00CE2994" w:rsidRPr="00A07FDB">
        <w:rPr>
          <w:rFonts w:ascii="Times New Roman" w:eastAsia="Times New Roman" w:hAnsi="Times New Roman" w:cs="Times New Roman"/>
          <w:color w:val="000000" w:themeColor="text1"/>
          <w:sz w:val="16"/>
          <w:szCs w:val="16"/>
        </w:rPr>
        <w:t xml:space="preserve"> 2019 Mar</w:t>
      </w:r>
      <w:proofErr w:type="gramStart"/>
      <w:r w:rsidR="00CE2994" w:rsidRPr="00A07FDB">
        <w:rPr>
          <w:rFonts w:ascii="Times New Roman" w:eastAsia="Times New Roman" w:hAnsi="Times New Roman" w:cs="Times New Roman"/>
          <w:color w:val="000000" w:themeColor="text1"/>
          <w:sz w:val="16"/>
          <w:szCs w:val="16"/>
        </w:rPr>
        <w:t>;5:</w:t>
      </w:r>
      <w:r w:rsidR="00D72DAE" w:rsidRPr="00A07FDB">
        <w:rPr>
          <w:rFonts w:ascii="Times New Roman" w:eastAsia="Times New Roman" w:hAnsi="Times New Roman" w:cs="Times New Roman"/>
          <w:color w:val="000000" w:themeColor="text1"/>
          <w:sz w:val="16"/>
          <w:szCs w:val="16"/>
        </w:rPr>
        <w:t>1</w:t>
      </w:r>
      <w:proofErr w:type="gramEnd"/>
      <w:r w:rsidR="00D72DAE" w:rsidRPr="00A07FDB">
        <w:rPr>
          <w:rFonts w:ascii="Times New Roman" w:eastAsia="Times New Roman" w:hAnsi="Times New Roman" w:cs="Times New Roman"/>
          <w:color w:val="000000" w:themeColor="text1"/>
          <w:sz w:val="16"/>
          <w:szCs w:val="16"/>
        </w:rPr>
        <w:t>-9.</w:t>
      </w:r>
    </w:p>
    <w:p w:rsidR="004F555C" w:rsidRPr="00A07FDB" w:rsidRDefault="001A1F49" w:rsidP="004F555C">
      <w:pPr>
        <w:pStyle w:val="ListParagraph"/>
        <w:numPr>
          <w:ilvl w:val="0"/>
          <w:numId w:val="1"/>
        </w:numPr>
        <w:shd w:val="clear" w:color="auto" w:fill="FFFFFF"/>
        <w:spacing w:before="144" w:after="144" w:line="240" w:lineRule="auto"/>
        <w:jc w:val="both"/>
        <w:outlineLvl w:val="4"/>
        <w:rPr>
          <w:rFonts w:ascii="Times New Roman" w:eastAsia="Times New Roman" w:hAnsi="Times New Roman" w:cs="Times New Roman"/>
          <w:color w:val="000000" w:themeColor="text1"/>
          <w:sz w:val="16"/>
          <w:szCs w:val="16"/>
        </w:rPr>
      </w:pPr>
      <w:proofErr w:type="spellStart"/>
      <w:r w:rsidRPr="00A07FDB">
        <w:rPr>
          <w:rFonts w:ascii="Times New Roman" w:eastAsia="Times New Roman" w:hAnsi="Times New Roman" w:cs="Times New Roman"/>
          <w:color w:val="000000" w:themeColor="text1"/>
          <w:sz w:val="16"/>
          <w:szCs w:val="16"/>
        </w:rPr>
        <w:t>Kunikullaya</w:t>
      </w:r>
      <w:proofErr w:type="spellEnd"/>
      <w:r w:rsidRPr="00A07FDB">
        <w:rPr>
          <w:rFonts w:ascii="Times New Roman" w:eastAsia="Times New Roman" w:hAnsi="Times New Roman" w:cs="Times New Roman"/>
          <w:color w:val="000000" w:themeColor="text1"/>
          <w:sz w:val="16"/>
          <w:szCs w:val="16"/>
        </w:rPr>
        <w:t xml:space="preserve"> SU, </w:t>
      </w:r>
      <w:proofErr w:type="spellStart"/>
      <w:r w:rsidRPr="00A07FDB">
        <w:rPr>
          <w:rFonts w:ascii="Times New Roman" w:eastAsia="Times New Roman" w:hAnsi="Times New Roman" w:cs="Times New Roman"/>
          <w:color w:val="000000" w:themeColor="text1"/>
          <w:sz w:val="16"/>
          <w:szCs w:val="16"/>
        </w:rPr>
        <w:t>Poddar</w:t>
      </w:r>
      <w:proofErr w:type="spellEnd"/>
      <w:r w:rsidR="00CE2994" w:rsidRPr="00A07FDB">
        <w:rPr>
          <w:rFonts w:ascii="Times New Roman" w:eastAsia="Times New Roman" w:hAnsi="Times New Roman" w:cs="Times New Roman"/>
          <w:color w:val="000000" w:themeColor="text1"/>
          <w:sz w:val="16"/>
          <w:szCs w:val="16"/>
        </w:rPr>
        <w:t xml:space="preserve"> J, Sharma AD, Patel S</w:t>
      </w:r>
      <w:r w:rsidRPr="00A07FDB">
        <w:rPr>
          <w:rFonts w:ascii="Times New Roman" w:eastAsia="Times New Roman" w:hAnsi="Times New Roman" w:cs="Times New Roman"/>
          <w:color w:val="000000" w:themeColor="text1"/>
          <w:sz w:val="16"/>
          <w:szCs w:val="16"/>
        </w:rPr>
        <w:t>. Pattern of distant metastasis in molecular subtypes of carcinoma breast</w:t>
      </w:r>
      <w:r w:rsidR="00CE2994" w:rsidRPr="00A07FDB">
        <w:rPr>
          <w:rFonts w:ascii="Times New Roman" w:eastAsia="Times New Roman" w:hAnsi="Times New Roman" w:cs="Times New Roman"/>
          <w:color w:val="000000" w:themeColor="text1"/>
          <w:sz w:val="16"/>
          <w:szCs w:val="16"/>
        </w:rPr>
        <w:t xml:space="preserve">: An institutional study. </w:t>
      </w:r>
      <w:r w:rsidRPr="00A07FDB">
        <w:rPr>
          <w:rFonts w:ascii="Times New Roman" w:eastAsia="Times New Roman" w:hAnsi="Times New Roman" w:cs="Times New Roman"/>
          <w:color w:val="000000" w:themeColor="text1"/>
          <w:sz w:val="16"/>
          <w:szCs w:val="16"/>
        </w:rPr>
        <w:t xml:space="preserve">Indian j cancer </w:t>
      </w:r>
      <w:r w:rsidR="00CE2994" w:rsidRPr="00A07FDB">
        <w:rPr>
          <w:rFonts w:ascii="Times New Roman" w:eastAsia="Times New Roman" w:hAnsi="Times New Roman" w:cs="Times New Roman"/>
          <w:color w:val="000000" w:themeColor="text1"/>
          <w:sz w:val="16"/>
          <w:szCs w:val="16"/>
        </w:rPr>
        <w:t>2017</w:t>
      </w:r>
      <w:proofErr w:type="gramStart"/>
      <w:r w:rsidR="00CE2994" w:rsidRPr="00A07FDB">
        <w:rPr>
          <w:rFonts w:ascii="Times New Roman" w:eastAsia="Times New Roman" w:hAnsi="Times New Roman" w:cs="Times New Roman"/>
          <w:color w:val="000000" w:themeColor="text1"/>
          <w:sz w:val="16"/>
          <w:szCs w:val="16"/>
        </w:rPr>
        <w:t>;54</w:t>
      </w:r>
      <w:proofErr w:type="gramEnd"/>
      <w:r w:rsidR="00CE2994" w:rsidRPr="00A07FDB">
        <w:rPr>
          <w:rFonts w:ascii="Times New Roman" w:eastAsia="Times New Roman" w:hAnsi="Times New Roman" w:cs="Times New Roman"/>
          <w:color w:val="000000" w:themeColor="text1"/>
          <w:sz w:val="16"/>
          <w:szCs w:val="16"/>
        </w:rPr>
        <w:t>(</w:t>
      </w:r>
      <w:r w:rsidRPr="00A07FDB">
        <w:rPr>
          <w:rFonts w:ascii="Times New Roman" w:eastAsia="Times New Roman" w:hAnsi="Times New Roman" w:cs="Times New Roman"/>
          <w:color w:val="000000" w:themeColor="text1"/>
          <w:sz w:val="16"/>
          <w:szCs w:val="16"/>
        </w:rPr>
        <w:t>1</w:t>
      </w:r>
      <w:r w:rsidR="00CE2994" w:rsidRPr="00A07FDB">
        <w:rPr>
          <w:rFonts w:ascii="Times New Roman" w:eastAsia="Times New Roman" w:hAnsi="Times New Roman" w:cs="Times New Roman"/>
          <w:color w:val="000000" w:themeColor="text1"/>
          <w:sz w:val="16"/>
          <w:szCs w:val="16"/>
        </w:rPr>
        <w:t>): 327-</w:t>
      </w:r>
      <w:r w:rsidRPr="00A07FDB">
        <w:rPr>
          <w:rFonts w:ascii="Times New Roman" w:eastAsia="Times New Roman" w:hAnsi="Times New Roman" w:cs="Times New Roman"/>
          <w:color w:val="000000" w:themeColor="text1"/>
          <w:sz w:val="16"/>
          <w:szCs w:val="16"/>
        </w:rPr>
        <w:t>32.</w:t>
      </w:r>
    </w:p>
    <w:p w:rsidR="004F555C" w:rsidRPr="00A07FDB" w:rsidRDefault="00CE2994" w:rsidP="004F555C">
      <w:pPr>
        <w:pStyle w:val="ListParagraph"/>
        <w:numPr>
          <w:ilvl w:val="0"/>
          <w:numId w:val="1"/>
        </w:numPr>
        <w:rPr>
          <w:rFonts w:ascii="Times New Roman" w:hAnsi="Times New Roman" w:cs="Times New Roman"/>
          <w:sz w:val="16"/>
          <w:szCs w:val="16"/>
        </w:rPr>
      </w:pPr>
      <w:proofErr w:type="spellStart"/>
      <w:r w:rsidRPr="00A07FDB">
        <w:rPr>
          <w:rFonts w:ascii="Times New Roman" w:hAnsi="Times New Roman" w:cs="Times New Roman"/>
          <w:color w:val="212121"/>
          <w:sz w:val="16"/>
          <w:szCs w:val="16"/>
          <w:shd w:val="clear" w:color="auto" w:fill="FFFFFF"/>
        </w:rPr>
        <w:t>Schwenkglenks</w:t>
      </w:r>
      <w:proofErr w:type="spellEnd"/>
      <w:r w:rsidRPr="00A07FDB">
        <w:rPr>
          <w:rFonts w:ascii="Times New Roman" w:hAnsi="Times New Roman" w:cs="Times New Roman"/>
          <w:color w:val="212121"/>
          <w:sz w:val="16"/>
          <w:szCs w:val="16"/>
          <w:shd w:val="clear" w:color="auto" w:fill="FFFFFF"/>
        </w:rPr>
        <w:t xml:space="preserve"> M, </w:t>
      </w:r>
      <w:proofErr w:type="spellStart"/>
      <w:r w:rsidRPr="00A07FDB">
        <w:rPr>
          <w:rFonts w:ascii="Times New Roman" w:hAnsi="Times New Roman" w:cs="Times New Roman"/>
          <w:color w:val="212121"/>
          <w:sz w:val="16"/>
          <w:szCs w:val="16"/>
          <w:shd w:val="clear" w:color="auto" w:fill="FFFFFF"/>
        </w:rPr>
        <w:t>Jackisch</w:t>
      </w:r>
      <w:proofErr w:type="spellEnd"/>
      <w:r w:rsidRPr="00A07FDB">
        <w:rPr>
          <w:rFonts w:ascii="Times New Roman" w:hAnsi="Times New Roman" w:cs="Times New Roman"/>
          <w:color w:val="212121"/>
          <w:sz w:val="16"/>
          <w:szCs w:val="16"/>
          <w:shd w:val="clear" w:color="auto" w:fill="FFFFFF"/>
        </w:rPr>
        <w:t xml:space="preserve"> C, </w:t>
      </w:r>
      <w:proofErr w:type="spellStart"/>
      <w:r w:rsidRPr="00A07FDB">
        <w:rPr>
          <w:rFonts w:ascii="Times New Roman" w:hAnsi="Times New Roman" w:cs="Times New Roman"/>
          <w:color w:val="212121"/>
          <w:sz w:val="16"/>
          <w:szCs w:val="16"/>
          <w:shd w:val="clear" w:color="auto" w:fill="FFFFFF"/>
        </w:rPr>
        <w:t>Constenla</w:t>
      </w:r>
      <w:proofErr w:type="spellEnd"/>
      <w:r w:rsidRPr="00A07FDB">
        <w:rPr>
          <w:rFonts w:ascii="Times New Roman" w:hAnsi="Times New Roman" w:cs="Times New Roman"/>
          <w:color w:val="212121"/>
          <w:sz w:val="16"/>
          <w:szCs w:val="16"/>
          <w:shd w:val="clear" w:color="auto" w:fill="FFFFFF"/>
        </w:rPr>
        <w:t xml:space="preserve"> M, </w:t>
      </w:r>
      <w:proofErr w:type="spellStart"/>
      <w:r w:rsidRPr="00A07FDB">
        <w:rPr>
          <w:rFonts w:ascii="Times New Roman" w:hAnsi="Times New Roman" w:cs="Times New Roman"/>
          <w:color w:val="212121"/>
          <w:sz w:val="16"/>
          <w:szCs w:val="16"/>
          <w:shd w:val="clear" w:color="auto" w:fill="FFFFFF"/>
        </w:rPr>
        <w:t>Kerger</w:t>
      </w:r>
      <w:proofErr w:type="spellEnd"/>
      <w:r w:rsidRPr="00A07FDB">
        <w:rPr>
          <w:rFonts w:ascii="Times New Roman" w:hAnsi="Times New Roman" w:cs="Times New Roman"/>
          <w:color w:val="212121"/>
          <w:sz w:val="16"/>
          <w:szCs w:val="16"/>
          <w:shd w:val="clear" w:color="auto" w:fill="FFFFFF"/>
        </w:rPr>
        <w:t xml:space="preserve"> JN, </w:t>
      </w:r>
      <w:proofErr w:type="spellStart"/>
      <w:r w:rsidRPr="00A07FDB">
        <w:rPr>
          <w:rFonts w:ascii="Times New Roman" w:hAnsi="Times New Roman" w:cs="Times New Roman"/>
          <w:color w:val="212121"/>
          <w:sz w:val="16"/>
          <w:szCs w:val="16"/>
          <w:shd w:val="clear" w:color="auto" w:fill="FFFFFF"/>
        </w:rPr>
        <w:t>Paridaens</w:t>
      </w:r>
      <w:proofErr w:type="spellEnd"/>
      <w:r w:rsidRPr="00A07FDB">
        <w:rPr>
          <w:rFonts w:ascii="Times New Roman" w:hAnsi="Times New Roman" w:cs="Times New Roman"/>
          <w:color w:val="212121"/>
          <w:sz w:val="16"/>
          <w:szCs w:val="16"/>
          <w:shd w:val="clear" w:color="auto" w:fill="FFFFFF"/>
        </w:rPr>
        <w:t xml:space="preserve"> R, </w:t>
      </w:r>
      <w:proofErr w:type="spellStart"/>
      <w:r w:rsidRPr="00A07FDB">
        <w:rPr>
          <w:rFonts w:ascii="Times New Roman" w:hAnsi="Times New Roman" w:cs="Times New Roman"/>
          <w:color w:val="212121"/>
          <w:sz w:val="16"/>
          <w:szCs w:val="16"/>
          <w:shd w:val="clear" w:color="auto" w:fill="FFFFFF"/>
        </w:rPr>
        <w:t>Auerbach</w:t>
      </w:r>
      <w:proofErr w:type="spellEnd"/>
      <w:r w:rsidRPr="00A07FDB">
        <w:rPr>
          <w:rFonts w:ascii="Times New Roman" w:hAnsi="Times New Roman" w:cs="Times New Roman"/>
          <w:color w:val="212121"/>
          <w:sz w:val="16"/>
          <w:szCs w:val="16"/>
          <w:shd w:val="clear" w:color="auto" w:fill="FFFFFF"/>
        </w:rPr>
        <w:t xml:space="preserve"> L, </w:t>
      </w:r>
      <w:proofErr w:type="spellStart"/>
      <w:r w:rsidRPr="00A07FDB">
        <w:rPr>
          <w:rFonts w:ascii="Times New Roman" w:hAnsi="Times New Roman" w:cs="Times New Roman"/>
          <w:color w:val="212121"/>
          <w:sz w:val="16"/>
          <w:szCs w:val="16"/>
          <w:shd w:val="clear" w:color="auto" w:fill="FFFFFF"/>
        </w:rPr>
        <w:t>Bosly</w:t>
      </w:r>
      <w:proofErr w:type="spellEnd"/>
      <w:r w:rsidRPr="00A07FDB">
        <w:rPr>
          <w:rFonts w:ascii="Times New Roman" w:hAnsi="Times New Roman" w:cs="Times New Roman"/>
          <w:color w:val="212121"/>
          <w:sz w:val="16"/>
          <w:szCs w:val="16"/>
          <w:shd w:val="clear" w:color="auto" w:fill="FFFFFF"/>
        </w:rPr>
        <w:t xml:space="preserve"> A, </w:t>
      </w:r>
      <w:proofErr w:type="spellStart"/>
      <w:r w:rsidRPr="00A07FDB">
        <w:rPr>
          <w:rFonts w:ascii="Times New Roman" w:hAnsi="Times New Roman" w:cs="Times New Roman"/>
          <w:color w:val="212121"/>
          <w:sz w:val="16"/>
          <w:szCs w:val="16"/>
          <w:shd w:val="clear" w:color="auto" w:fill="FFFFFF"/>
        </w:rPr>
        <w:t>Pettengell</w:t>
      </w:r>
      <w:proofErr w:type="spellEnd"/>
      <w:r w:rsidRPr="00A07FDB">
        <w:rPr>
          <w:rFonts w:ascii="Times New Roman" w:hAnsi="Times New Roman" w:cs="Times New Roman"/>
          <w:color w:val="212121"/>
          <w:sz w:val="16"/>
          <w:szCs w:val="16"/>
          <w:shd w:val="clear" w:color="auto" w:fill="FFFFFF"/>
        </w:rPr>
        <w:t xml:space="preserve"> R, </w:t>
      </w:r>
      <w:proofErr w:type="spellStart"/>
      <w:r w:rsidRPr="00A07FDB">
        <w:rPr>
          <w:rFonts w:ascii="Times New Roman" w:hAnsi="Times New Roman" w:cs="Times New Roman"/>
          <w:color w:val="212121"/>
          <w:sz w:val="16"/>
          <w:szCs w:val="16"/>
          <w:shd w:val="clear" w:color="auto" w:fill="FFFFFF"/>
        </w:rPr>
        <w:t>Szucs</w:t>
      </w:r>
      <w:proofErr w:type="spellEnd"/>
      <w:r w:rsidRPr="00A07FDB">
        <w:rPr>
          <w:rFonts w:ascii="Times New Roman" w:hAnsi="Times New Roman" w:cs="Times New Roman"/>
          <w:color w:val="212121"/>
          <w:sz w:val="16"/>
          <w:szCs w:val="16"/>
          <w:shd w:val="clear" w:color="auto" w:fill="FFFFFF"/>
        </w:rPr>
        <w:t xml:space="preserve"> TD, Leonard R. </w:t>
      </w:r>
      <w:proofErr w:type="spellStart"/>
      <w:r w:rsidRPr="00A07FDB">
        <w:rPr>
          <w:rFonts w:ascii="Times New Roman" w:hAnsi="Times New Roman" w:cs="Times New Roman"/>
          <w:color w:val="212121"/>
          <w:sz w:val="16"/>
          <w:szCs w:val="16"/>
          <w:shd w:val="clear" w:color="auto" w:fill="FFFFFF"/>
        </w:rPr>
        <w:t>Neutropenic</w:t>
      </w:r>
      <w:proofErr w:type="spellEnd"/>
      <w:r w:rsidRPr="00A07FDB">
        <w:rPr>
          <w:rFonts w:ascii="Times New Roman" w:hAnsi="Times New Roman" w:cs="Times New Roman"/>
          <w:color w:val="212121"/>
          <w:sz w:val="16"/>
          <w:szCs w:val="16"/>
          <w:shd w:val="clear" w:color="auto" w:fill="FFFFFF"/>
        </w:rPr>
        <w:t xml:space="preserve"> event risk and impaired chemotherapy delivery in six European audits of breast cancer treatment. Support Care Cancer. 2006 Sep</w:t>
      </w:r>
      <w:proofErr w:type="gramStart"/>
      <w:r w:rsidRPr="00A07FDB">
        <w:rPr>
          <w:rFonts w:ascii="Times New Roman" w:hAnsi="Times New Roman" w:cs="Times New Roman"/>
          <w:color w:val="212121"/>
          <w:sz w:val="16"/>
          <w:szCs w:val="16"/>
          <w:shd w:val="clear" w:color="auto" w:fill="FFFFFF"/>
        </w:rPr>
        <w:t>;14</w:t>
      </w:r>
      <w:proofErr w:type="gramEnd"/>
      <w:r w:rsidRPr="00A07FDB">
        <w:rPr>
          <w:rFonts w:ascii="Times New Roman" w:hAnsi="Times New Roman" w:cs="Times New Roman"/>
          <w:color w:val="212121"/>
          <w:sz w:val="16"/>
          <w:szCs w:val="16"/>
          <w:shd w:val="clear" w:color="auto" w:fill="FFFFFF"/>
        </w:rPr>
        <w:t xml:space="preserve">(9):901-9.  </w:t>
      </w:r>
    </w:p>
    <w:p w:rsidR="00D72DAE" w:rsidRPr="00A07FDB" w:rsidRDefault="00CE2994" w:rsidP="00D72DAE">
      <w:pPr>
        <w:pStyle w:val="ListParagraph"/>
        <w:numPr>
          <w:ilvl w:val="0"/>
          <w:numId w:val="1"/>
        </w:numPr>
        <w:shd w:val="clear" w:color="auto" w:fill="FFFFFF"/>
        <w:spacing w:before="144" w:after="144" w:line="240" w:lineRule="auto"/>
        <w:jc w:val="both"/>
        <w:outlineLvl w:val="4"/>
        <w:rPr>
          <w:rFonts w:ascii="Times New Roman" w:eastAsia="Times New Roman" w:hAnsi="Times New Roman" w:cs="Times New Roman"/>
          <w:color w:val="000000" w:themeColor="text1"/>
          <w:sz w:val="16"/>
          <w:szCs w:val="16"/>
        </w:rPr>
      </w:pPr>
      <w:proofErr w:type="spellStart"/>
      <w:r w:rsidRPr="00A07FDB">
        <w:rPr>
          <w:rFonts w:ascii="Times New Roman" w:hAnsi="Times New Roman" w:cs="Times New Roman"/>
          <w:color w:val="212121"/>
          <w:sz w:val="16"/>
          <w:szCs w:val="16"/>
          <w:shd w:val="clear" w:color="auto" w:fill="FFFFFF"/>
        </w:rPr>
        <w:t>Chia</w:t>
      </w:r>
      <w:proofErr w:type="spellEnd"/>
      <w:r w:rsidRPr="00A07FDB">
        <w:rPr>
          <w:rFonts w:ascii="Times New Roman" w:hAnsi="Times New Roman" w:cs="Times New Roman"/>
          <w:color w:val="212121"/>
          <w:sz w:val="16"/>
          <w:szCs w:val="16"/>
          <w:shd w:val="clear" w:color="auto" w:fill="FFFFFF"/>
        </w:rPr>
        <w:t xml:space="preserve"> VM, Page JH, Rodriguez R, Yang SJ, Huynh J, Chao C. Chronic </w:t>
      </w:r>
      <w:proofErr w:type="spellStart"/>
      <w:r w:rsidRPr="00A07FDB">
        <w:rPr>
          <w:rFonts w:ascii="Times New Roman" w:hAnsi="Times New Roman" w:cs="Times New Roman"/>
          <w:color w:val="212121"/>
          <w:sz w:val="16"/>
          <w:szCs w:val="16"/>
          <w:shd w:val="clear" w:color="auto" w:fill="FFFFFF"/>
        </w:rPr>
        <w:t>comorbid</w:t>
      </w:r>
      <w:proofErr w:type="spellEnd"/>
      <w:r w:rsidRPr="00A07FDB">
        <w:rPr>
          <w:rFonts w:ascii="Times New Roman" w:hAnsi="Times New Roman" w:cs="Times New Roman"/>
          <w:color w:val="212121"/>
          <w:sz w:val="16"/>
          <w:szCs w:val="16"/>
          <w:shd w:val="clear" w:color="auto" w:fill="FFFFFF"/>
        </w:rPr>
        <w:t xml:space="preserve"> conditions associated with risk of febrile </w:t>
      </w:r>
      <w:proofErr w:type="spellStart"/>
      <w:r w:rsidRPr="00A07FDB">
        <w:rPr>
          <w:rFonts w:ascii="Times New Roman" w:hAnsi="Times New Roman" w:cs="Times New Roman"/>
          <w:color w:val="212121"/>
          <w:sz w:val="16"/>
          <w:szCs w:val="16"/>
          <w:shd w:val="clear" w:color="auto" w:fill="FFFFFF"/>
        </w:rPr>
        <w:t>neutropenia</w:t>
      </w:r>
      <w:proofErr w:type="spellEnd"/>
      <w:r w:rsidRPr="00A07FDB">
        <w:rPr>
          <w:rFonts w:ascii="Times New Roman" w:hAnsi="Times New Roman" w:cs="Times New Roman"/>
          <w:color w:val="212121"/>
          <w:sz w:val="16"/>
          <w:szCs w:val="16"/>
          <w:shd w:val="clear" w:color="auto" w:fill="FFFFFF"/>
        </w:rPr>
        <w:t xml:space="preserve"> in breast cancer patients treated with chemotherapy. Breast Cancer Res Treat. 2013 Apr</w:t>
      </w:r>
      <w:proofErr w:type="gramStart"/>
      <w:r w:rsidRPr="00A07FDB">
        <w:rPr>
          <w:rFonts w:ascii="Times New Roman" w:hAnsi="Times New Roman" w:cs="Times New Roman"/>
          <w:color w:val="212121"/>
          <w:sz w:val="16"/>
          <w:szCs w:val="16"/>
          <w:shd w:val="clear" w:color="auto" w:fill="FFFFFF"/>
        </w:rPr>
        <w:t>;138</w:t>
      </w:r>
      <w:proofErr w:type="gramEnd"/>
      <w:r w:rsidRPr="00A07FDB">
        <w:rPr>
          <w:rFonts w:ascii="Times New Roman" w:hAnsi="Times New Roman" w:cs="Times New Roman"/>
          <w:color w:val="212121"/>
          <w:sz w:val="16"/>
          <w:szCs w:val="16"/>
          <w:shd w:val="clear" w:color="auto" w:fill="FFFFFF"/>
        </w:rPr>
        <w:t xml:space="preserve">(2):621-31.  </w:t>
      </w:r>
    </w:p>
    <w:p w:rsidR="00C14A97" w:rsidRPr="00A07FDB" w:rsidRDefault="00FD61C6" w:rsidP="00C14A97">
      <w:pPr>
        <w:pStyle w:val="ListParagraph"/>
        <w:numPr>
          <w:ilvl w:val="0"/>
          <w:numId w:val="1"/>
        </w:numPr>
        <w:rPr>
          <w:rFonts w:ascii="Times New Roman" w:hAnsi="Times New Roman" w:cs="Times New Roman"/>
          <w:sz w:val="16"/>
          <w:szCs w:val="16"/>
        </w:rPr>
      </w:pPr>
      <w:r w:rsidRPr="00A07FDB">
        <w:rPr>
          <w:rFonts w:ascii="Times New Roman" w:hAnsi="Times New Roman" w:cs="Times New Roman"/>
          <w:sz w:val="16"/>
          <w:szCs w:val="16"/>
        </w:rPr>
        <w:t xml:space="preserve"> </w:t>
      </w:r>
      <w:r w:rsidRPr="00A07FDB">
        <w:rPr>
          <w:rFonts w:ascii="Times New Roman" w:hAnsi="Times New Roman" w:cs="Times New Roman"/>
          <w:sz w:val="16"/>
          <w:szCs w:val="16"/>
          <w:shd w:val="clear" w:color="auto" w:fill="FFFFFF"/>
        </w:rPr>
        <w:t xml:space="preserve">Ye X, </w:t>
      </w:r>
      <w:proofErr w:type="spellStart"/>
      <w:r w:rsidRPr="00A07FDB">
        <w:rPr>
          <w:rFonts w:ascii="Times New Roman" w:hAnsi="Times New Roman" w:cs="Times New Roman"/>
          <w:sz w:val="16"/>
          <w:szCs w:val="16"/>
          <w:shd w:val="clear" w:color="auto" w:fill="FFFFFF"/>
        </w:rPr>
        <w:t>Zhai</w:t>
      </w:r>
      <w:proofErr w:type="spellEnd"/>
      <w:r w:rsidRPr="00A07FDB">
        <w:rPr>
          <w:rFonts w:ascii="Times New Roman" w:hAnsi="Times New Roman" w:cs="Times New Roman"/>
          <w:sz w:val="16"/>
          <w:szCs w:val="16"/>
          <w:shd w:val="clear" w:color="auto" w:fill="FFFFFF"/>
        </w:rPr>
        <w:t xml:space="preserve"> Q, Wang ZY, Du Q, Zhu B, Yu B. </w:t>
      </w:r>
      <w:proofErr w:type="spellStart"/>
      <w:r w:rsidRPr="00A07FDB">
        <w:rPr>
          <w:rStyle w:val="title0"/>
          <w:rFonts w:ascii="Times New Roman" w:hAnsi="Times New Roman" w:cs="Times New Roman"/>
          <w:sz w:val="16"/>
          <w:szCs w:val="16"/>
          <w:shd w:val="clear" w:color="auto" w:fill="FFFFFF"/>
        </w:rPr>
        <w:t>Neutropenic</w:t>
      </w:r>
      <w:proofErr w:type="spellEnd"/>
      <w:r w:rsidRPr="00A07FDB">
        <w:rPr>
          <w:rStyle w:val="title0"/>
          <w:rFonts w:ascii="Times New Roman" w:hAnsi="Times New Roman" w:cs="Times New Roman"/>
          <w:sz w:val="16"/>
          <w:szCs w:val="16"/>
          <w:shd w:val="clear" w:color="auto" w:fill="FFFFFF"/>
        </w:rPr>
        <w:t xml:space="preserve"> complications in Chinese patients with breast cancer in a real-world setting</w:t>
      </w:r>
      <w:r w:rsidRPr="00A07FDB">
        <w:rPr>
          <w:rFonts w:ascii="Times New Roman" w:hAnsi="Times New Roman" w:cs="Times New Roman"/>
          <w:sz w:val="16"/>
          <w:szCs w:val="16"/>
          <w:shd w:val="clear" w:color="auto" w:fill="FFFFFF"/>
        </w:rPr>
        <w:t>. International journal of clinical and experimental pathology. 2017 Jan 1</w:t>
      </w:r>
      <w:proofErr w:type="gramStart"/>
      <w:r w:rsidRPr="00A07FDB">
        <w:rPr>
          <w:rFonts w:ascii="Times New Roman" w:hAnsi="Times New Roman" w:cs="Times New Roman"/>
          <w:sz w:val="16"/>
          <w:szCs w:val="16"/>
          <w:shd w:val="clear" w:color="auto" w:fill="FFFFFF"/>
        </w:rPr>
        <w:t>;10</w:t>
      </w:r>
      <w:proofErr w:type="gramEnd"/>
      <w:r w:rsidRPr="00A07FDB">
        <w:rPr>
          <w:rFonts w:ascii="Times New Roman" w:hAnsi="Times New Roman" w:cs="Times New Roman"/>
          <w:sz w:val="16"/>
          <w:szCs w:val="16"/>
          <w:shd w:val="clear" w:color="auto" w:fill="FFFFFF"/>
        </w:rPr>
        <w:t>(1):651-660.</w:t>
      </w:r>
    </w:p>
    <w:p w:rsidR="00C14A97" w:rsidRPr="00A07FDB" w:rsidRDefault="00FD61C6" w:rsidP="00C14A97">
      <w:pPr>
        <w:pStyle w:val="ListParagraph"/>
        <w:numPr>
          <w:ilvl w:val="0"/>
          <w:numId w:val="1"/>
        </w:numPr>
        <w:rPr>
          <w:rFonts w:ascii="Times New Roman" w:hAnsi="Times New Roman" w:cs="Times New Roman"/>
          <w:sz w:val="16"/>
          <w:szCs w:val="16"/>
        </w:rPr>
      </w:pPr>
      <w:r w:rsidRPr="00A07FDB">
        <w:rPr>
          <w:rFonts w:ascii="Times New Roman" w:hAnsi="Times New Roman" w:cs="Times New Roman"/>
          <w:sz w:val="16"/>
          <w:szCs w:val="16"/>
          <w:shd w:val="clear" w:color="auto" w:fill="FFFFFF"/>
        </w:rPr>
        <w:t xml:space="preserve">Hashiguchi Y, Kasai M, Fukuda T, </w:t>
      </w:r>
      <w:proofErr w:type="spellStart"/>
      <w:r w:rsidRPr="00A07FDB">
        <w:rPr>
          <w:rFonts w:ascii="Times New Roman" w:hAnsi="Times New Roman" w:cs="Times New Roman"/>
          <w:sz w:val="16"/>
          <w:szCs w:val="16"/>
          <w:shd w:val="clear" w:color="auto" w:fill="FFFFFF"/>
        </w:rPr>
        <w:t>Ichimura</w:t>
      </w:r>
      <w:proofErr w:type="spellEnd"/>
      <w:r w:rsidRPr="00A07FDB">
        <w:rPr>
          <w:rFonts w:ascii="Times New Roman" w:hAnsi="Times New Roman" w:cs="Times New Roman"/>
          <w:sz w:val="16"/>
          <w:szCs w:val="16"/>
          <w:shd w:val="clear" w:color="auto" w:fill="FFFFFF"/>
        </w:rPr>
        <w:t xml:space="preserve"> T, </w:t>
      </w:r>
      <w:proofErr w:type="spellStart"/>
      <w:r w:rsidRPr="00A07FDB">
        <w:rPr>
          <w:rFonts w:ascii="Times New Roman" w:hAnsi="Times New Roman" w:cs="Times New Roman"/>
          <w:sz w:val="16"/>
          <w:szCs w:val="16"/>
          <w:shd w:val="clear" w:color="auto" w:fill="FFFFFF"/>
        </w:rPr>
        <w:t>Yasui</w:t>
      </w:r>
      <w:proofErr w:type="spellEnd"/>
      <w:r w:rsidRPr="00A07FDB">
        <w:rPr>
          <w:rFonts w:ascii="Times New Roman" w:hAnsi="Times New Roman" w:cs="Times New Roman"/>
          <w:sz w:val="16"/>
          <w:szCs w:val="16"/>
          <w:shd w:val="clear" w:color="auto" w:fill="FFFFFF"/>
        </w:rPr>
        <w:t xml:space="preserve"> T, </w:t>
      </w:r>
      <w:proofErr w:type="spellStart"/>
      <w:r w:rsidRPr="00A07FDB">
        <w:rPr>
          <w:rFonts w:ascii="Times New Roman" w:hAnsi="Times New Roman" w:cs="Times New Roman"/>
          <w:sz w:val="16"/>
          <w:szCs w:val="16"/>
          <w:shd w:val="clear" w:color="auto" w:fill="FFFFFF"/>
        </w:rPr>
        <w:t>Sumi</w:t>
      </w:r>
      <w:proofErr w:type="spellEnd"/>
      <w:r w:rsidRPr="00A07FDB">
        <w:rPr>
          <w:rFonts w:ascii="Times New Roman" w:hAnsi="Times New Roman" w:cs="Times New Roman"/>
          <w:sz w:val="16"/>
          <w:szCs w:val="16"/>
          <w:shd w:val="clear" w:color="auto" w:fill="FFFFFF"/>
        </w:rPr>
        <w:t xml:space="preserve"> T. Chemotherapy-induced </w:t>
      </w:r>
      <w:proofErr w:type="spellStart"/>
      <w:r w:rsidRPr="00A07FDB">
        <w:rPr>
          <w:rFonts w:ascii="Times New Roman" w:hAnsi="Times New Roman" w:cs="Times New Roman"/>
          <w:sz w:val="16"/>
          <w:szCs w:val="16"/>
          <w:shd w:val="clear" w:color="auto" w:fill="FFFFFF"/>
        </w:rPr>
        <w:t>neutropenia</w:t>
      </w:r>
      <w:proofErr w:type="spellEnd"/>
      <w:r w:rsidRPr="00A07FDB">
        <w:rPr>
          <w:rFonts w:ascii="Times New Roman" w:hAnsi="Times New Roman" w:cs="Times New Roman"/>
          <w:sz w:val="16"/>
          <w:szCs w:val="16"/>
          <w:shd w:val="clear" w:color="auto" w:fill="FFFFFF"/>
        </w:rPr>
        <w:t xml:space="preserve"> and febrile </w:t>
      </w:r>
      <w:proofErr w:type="spellStart"/>
      <w:r w:rsidRPr="00A07FDB">
        <w:rPr>
          <w:rFonts w:ascii="Times New Roman" w:hAnsi="Times New Roman" w:cs="Times New Roman"/>
          <w:sz w:val="16"/>
          <w:szCs w:val="16"/>
          <w:shd w:val="clear" w:color="auto" w:fill="FFFFFF"/>
        </w:rPr>
        <w:t>neutropenia</w:t>
      </w:r>
      <w:proofErr w:type="spellEnd"/>
      <w:r w:rsidRPr="00A07FDB">
        <w:rPr>
          <w:rFonts w:ascii="Times New Roman" w:hAnsi="Times New Roman" w:cs="Times New Roman"/>
          <w:sz w:val="16"/>
          <w:szCs w:val="16"/>
          <w:shd w:val="clear" w:color="auto" w:fill="FFFFFF"/>
        </w:rPr>
        <w:t xml:space="preserve"> in patients with gynecologic malignancy. Anticancer Drugs. 2015 Nov</w:t>
      </w:r>
      <w:proofErr w:type="gramStart"/>
      <w:r w:rsidRPr="00A07FDB">
        <w:rPr>
          <w:rFonts w:ascii="Times New Roman" w:hAnsi="Times New Roman" w:cs="Times New Roman"/>
          <w:sz w:val="16"/>
          <w:szCs w:val="16"/>
          <w:shd w:val="clear" w:color="auto" w:fill="FFFFFF"/>
        </w:rPr>
        <w:t>;26</w:t>
      </w:r>
      <w:proofErr w:type="gramEnd"/>
      <w:r w:rsidRPr="00A07FDB">
        <w:rPr>
          <w:rFonts w:ascii="Times New Roman" w:hAnsi="Times New Roman" w:cs="Times New Roman"/>
          <w:sz w:val="16"/>
          <w:szCs w:val="16"/>
          <w:shd w:val="clear" w:color="auto" w:fill="FFFFFF"/>
        </w:rPr>
        <w:t xml:space="preserve">(10):1054-60.  </w:t>
      </w:r>
    </w:p>
    <w:p w:rsidR="00417915" w:rsidRPr="00A07FDB" w:rsidRDefault="00FD61C6" w:rsidP="00417915">
      <w:pPr>
        <w:pStyle w:val="ListParagraph"/>
        <w:numPr>
          <w:ilvl w:val="0"/>
          <w:numId w:val="1"/>
        </w:numPr>
        <w:rPr>
          <w:rFonts w:ascii="Times New Roman" w:hAnsi="Times New Roman" w:cs="Times New Roman"/>
          <w:sz w:val="16"/>
          <w:szCs w:val="16"/>
        </w:rPr>
      </w:pPr>
      <w:proofErr w:type="gramStart"/>
      <w:r w:rsidRPr="00A07FDB">
        <w:rPr>
          <w:rFonts w:ascii="Times New Roman" w:hAnsi="Times New Roman" w:cs="Times New Roman"/>
          <w:sz w:val="16"/>
          <w:szCs w:val="16"/>
          <w:shd w:val="clear" w:color="auto" w:fill="FFFFFF"/>
        </w:rPr>
        <w:lastRenderedPageBreak/>
        <w:t>do</w:t>
      </w:r>
      <w:proofErr w:type="gramEnd"/>
      <w:r w:rsidRPr="00A07FDB">
        <w:rPr>
          <w:rFonts w:ascii="Times New Roman" w:hAnsi="Times New Roman" w:cs="Times New Roman"/>
          <w:sz w:val="16"/>
          <w:szCs w:val="16"/>
          <w:shd w:val="clear" w:color="auto" w:fill="FFFFFF"/>
        </w:rPr>
        <w:t xml:space="preserve"> </w:t>
      </w:r>
      <w:proofErr w:type="spellStart"/>
      <w:r w:rsidRPr="00A07FDB">
        <w:rPr>
          <w:rFonts w:ascii="Times New Roman" w:hAnsi="Times New Roman" w:cs="Times New Roman"/>
          <w:sz w:val="16"/>
          <w:szCs w:val="16"/>
          <w:shd w:val="clear" w:color="auto" w:fill="FFFFFF"/>
        </w:rPr>
        <w:t>Nascimento</w:t>
      </w:r>
      <w:proofErr w:type="spellEnd"/>
      <w:r w:rsidRPr="00A07FDB">
        <w:rPr>
          <w:rFonts w:ascii="Times New Roman" w:hAnsi="Times New Roman" w:cs="Times New Roman"/>
          <w:sz w:val="16"/>
          <w:szCs w:val="16"/>
          <w:shd w:val="clear" w:color="auto" w:fill="FFFFFF"/>
        </w:rPr>
        <w:t xml:space="preserve"> TG, de Andrade M, de Oliveira RA, de Almeida AM, </w:t>
      </w:r>
      <w:proofErr w:type="spellStart"/>
      <w:r w:rsidRPr="00A07FDB">
        <w:rPr>
          <w:rFonts w:ascii="Times New Roman" w:hAnsi="Times New Roman" w:cs="Times New Roman"/>
          <w:sz w:val="16"/>
          <w:szCs w:val="16"/>
          <w:shd w:val="clear" w:color="auto" w:fill="FFFFFF"/>
        </w:rPr>
        <w:t>Gozzo</w:t>
      </w:r>
      <w:proofErr w:type="spellEnd"/>
      <w:r w:rsidRPr="00A07FDB">
        <w:rPr>
          <w:rFonts w:ascii="Times New Roman" w:hAnsi="Times New Roman" w:cs="Times New Roman"/>
          <w:sz w:val="16"/>
          <w:szCs w:val="16"/>
          <w:shd w:val="clear" w:color="auto" w:fill="FFFFFF"/>
        </w:rPr>
        <w:t xml:space="preserve"> </w:t>
      </w:r>
      <w:proofErr w:type="spellStart"/>
      <w:r w:rsidRPr="00A07FDB">
        <w:rPr>
          <w:rFonts w:ascii="Times New Roman" w:hAnsi="Times New Roman" w:cs="Times New Roman"/>
          <w:sz w:val="16"/>
          <w:szCs w:val="16"/>
          <w:shd w:val="clear" w:color="auto" w:fill="FFFFFF"/>
        </w:rPr>
        <w:t>Tde</w:t>
      </w:r>
      <w:proofErr w:type="spellEnd"/>
      <w:r w:rsidRPr="00A07FDB">
        <w:rPr>
          <w:rFonts w:ascii="Times New Roman" w:hAnsi="Times New Roman" w:cs="Times New Roman"/>
          <w:sz w:val="16"/>
          <w:szCs w:val="16"/>
          <w:shd w:val="clear" w:color="auto" w:fill="FFFFFF"/>
        </w:rPr>
        <w:t xml:space="preserve"> O. </w:t>
      </w:r>
      <w:proofErr w:type="spellStart"/>
      <w:r w:rsidRPr="00A07FDB">
        <w:rPr>
          <w:rFonts w:ascii="Times New Roman" w:hAnsi="Times New Roman" w:cs="Times New Roman"/>
          <w:sz w:val="16"/>
          <w:szCs w:val="16"/>
          <w:shd w:val="clear" w:color="auto" w:fill="FFFFFF"/>
        </w:rPr>
        <w:t>Neutropenia</w:t>
      </w:r>
      <w:proofErr w:type="spellEnd"/>
      <w:r w:rsidRPr="00A07FDB">
        <w:rPr>
          <w:rFonts w:ascii="Times New Roman" w:hAnsi="Times New Roman" w:cs="Times New Roman"/>
          <w:sz w:val="16"/>
          <w:szCs w:val="16"/>
          <w:shd w:val="clear" w:color="auto" w:fill="FFFFFF"/>
        </w:rPr>
        <w:t xml:space="preserve">: occurrence and management in women with breast cancer receiving chemotherapy. Rev Lat Am </w:t>
      </w:r>
      <w:proofErr w:type="spellStart"/>
      <w:r w:rsidRPr="00A07FDB">
        <w:rPr>
          <w:rFonts w:ascii="Times New Roman" w:hAnsi="Times New Roman" w:cs="Times New Roman"/>
          <w:sz w:val="16"/>
          <w:szCs w:val="16"/>
          <w:shd w:val="clear" w:color="auto" w:fill="FFFFFF"/>
        </w:rPr>
        <w:t>Enfermagem</w:t>
      </w:r>
      <w:proofErr w:type="spellEnd"/>
      <w:r w:rsidRPr="00A07FDB">
        <w:rPr>
          <w:rFonts w:ascii="Times New Roman" w:hAnsi="Times New Roman" w:cs="Times New Roman"/>
          <w:sz w:val="16"/>
          <w:szCs w:val="16"/>
          <w:shd w:val="clear" w:color="auto" w:fill="FFFFFF"/>
        </w:rPr>
        <w:t>. 2014 Mar-Apr</w:t>
      </w:r>
      <w:proofErr w:type="gramStart"/>
      <w:r w:rsidRPr="00A07FDB">
        <w:rPr>
          <w:rFonts w:ascii="Times New Roman" w:hAnsi="Times New Roman" w:cs="Times New Roman"/>
          <w:sz w:val="16"/>
          <w:szCs w:val="16"/>
          <w:shd w:val="clear" w:color="auto" w:fill="FFFFFF"/>
        </w:rPr>
        <w:t>;22</w:t>
      </w:r>
      <w:proofErr w:type="gramEnd"/>
      <w:r w:rsidRPr="00A07FDB">
        <w:rPr>
          <w:rFonts w:ascii="Times New Roman" w:hAnsi="Times New Roman" w:cs="Times New Roman"/>
          <w:sz w:val="16"/>
          <w:szCs w:val="16"/>
          <w:shd w:val="clear" w:color="auto" w:fill="FFFFFF"/>
        </w:rPr>
        <w:t>(2):301-8.</w:t>
      </w:r>
    </w:p>
    <w:p w:rsidR="005B1D6B" w:rsidRPr="00A07FDB" w:rsidRDefault="00FD61C6" w:rsidP="00274F40">
      <w:pPr>
        <w:pStyle w:val="ListParagraph"/>
        <w:numPr>
          <w:ilvl w:val="0"/>
          <w:numId w:val="1"/>
        </w:numPr>
        <w:rPr>
          <w:rFonts w:ascii="Times New Roman" w:hAnsi="Times New Roman" w:cs="Times New Roman"/>
          <w:color w:val="000000" w:themeColor="text1"/>
          <w:sz w:val="16"/>
          <w:szCs w:val="16"/>
        </w:rPr>
      </w:pPr>
      <w:proofErr w:type="spellStart"/>
      <w:r w:rsidRPr="00A07FDB">
        <w:rPr>
          <w:rFonts w:ascii="Times New Roman" w:hAnsi="Times New Roman" w:cs="Times New Roman"/>
          <w:color w:val="212121"/>
          <w:sz w:val="16"/>
          <w:szCs w:val="16"/>
          <w:shd w:val="clear" w:color="auto" w:fill="FFFFFF"/>
        </w:rPr>
        <w:t>Weycker</w:t>
      </w:r>
      <w:proofErr w:type="spellEnd"/>
      <w:r w:rsidRPr="00A07FDB">
        <w:rPr>
          <w:rFonts w:ascii="Times New Roman" w:hAnsi="Times New Roman" w:cs="Times New Roman"/>
          <w:color w:val="212121"/>
          <w:sz w:val="16"/>
          <w:szCs w:val="16"/>
          <w:shd w:val="clear" w:color="auto" w:fill="FFFFFF"/>
        </w:rPr>
        <w:t xml:space="preserve"> D, </w:t>
      </w:r>
      <w:proofErr w:type="spellStart"/>
      <w:r w:rsidRPr="00A07FDB">
        <w:rPr>
          <w:rFonts w:ascii="Times New Roman" w:hAnsi="Times New Roman" w:cs="Times New Roman"/>
          <w:color w:val="212121"/>
          <w:sz w:val="16"/>
          <w:szCs w:val="16"/>
          <w:shd w:val="clear" w:color="auto" w:fill="FFFFFF"/>
        </w:rPr>
        <w:t>Edelsberg</w:t>
      </w:r>
      <w:proofErr w:type="spellEnd"/>
      <w:r w:rsidRPr="00A07FDB">
        <w:rPr>
          <w:rFonts w:ascii="Times New Roman" w:hAnsi="Times New Roman" w:cs="Times New Roman"/>
          <w:color w:val="212121"/>
          <w:sz w:val="16"/>
          <w:szCs w:val="16"/>
          <w:shd w:val="clear" w:color="auto" w:fill="FFFFFF"/>
        </w:rPr>
        <w:t xml:space="preserve"> J, </w:t>
      </w:r>
      <w:proofErr w:type="spellStart"/>
      <w:r w:rsidRPr="00A07FDB">
        <w:rPr>
          <w:rFonts w:ascii="Times New Roman" w:hAnsi="Times New Roman" w:cs="Times New Roman"/>
          <w:color w:val="212121"/>
          <w:sz w:val="16"/>
          <w:szCs w:val="16"/>
          <w:shd w:val="clear" w:color="auto" w:fill="FFFFFF"/>
        </w:rPr>
        <w:t>Kartashov</w:t>
      </w:r>
      <w:proofErr w:type="spellEnd"/>
      <w:r w:rsidRPr="00A07FDB">
        <w:rPr>
          <w:rFonts w:ascii="Times New Roman" w:hAnsi="Times New Roman" w:cs="Times New Roman"/>
          <w:color w:val="212121"/>
          <w:sz w:val="16"/>
          <w:szCs w:val="16"/>
          <w:shd w:val="clear" w:color="auto" w:fill="FFFFFF"/>
        </w:rPr>
        <w:t xml:space="preserve"> A, Barron R, Lyman G. Risk and healthcare costs of chemotherapy-induced </w:t>
      </w:r>
      <w:proofErr w:type="spellStart"/>
      <w:r w:rsidRPr="00A07FDB">
        <w:rPr>
          <w:rFonts w:ascii="Times New Roman" w:hAnsi="Times New Roman" w:cs="Times New Roman"/>
          <w:color w:val="212121"/>
          <w:sz w:val="16"/>
          <w:szCs w:val="16"/>
          <w:shd w:val="clear" w:color="auto" w:fill="FFFFFF"/>
        </w:rPr>
        <w:t>neutropenic</w:t>
      </w:r>
      <w:proofErr w:type="spellEnd"/>
      <w:r w:rsidRPr="00A07FDB">
        <w:rPr>
          <w:rFonts w:ascii="Times New Roman" w:hAnsi="Times New Roman" w:cs="Times New Roman"/>
          <w:color w:val="212121"/>
          <w:sz w:val="16"/>
          <w:szCs w:val="16"/>
          <w:shd w:val="clear" w:color="auto" w:fill="FFFFFF"/>
        </w:rPr>
        <w:t xml:space="preserve"> complications in women with metastatic breast cancer. Chemotherapy. 2012</w:t>
      </w:r>
      <w:proofErr w:type="gramStart"/>
      <w:r w:rsidRPr="00A07FDB">
        <w:rPr>
          <w:rFonts w:ascii="Times New Roman" w:hAnsi="Times New Roman" w:cs="Times New Roman"/>
          <w:color w:val="212121"/>
          <w:sz w:val="16"/>
          <w:szCs w:val="16"/>
          <w:shd w:val="clear" w:color="auto" w:fill="FFFFFF"/>
        </w:rPr>
        <w:t>;58</w:t>
      </w:r>
      <w:proofErr w:type="gramEnd"/>
      <w:r w:rsidRPr="00A07FDB">
        <w:rPr>
          <w:rFonts w:ascii="Times New Roman" w:hAnsi="Times New Roman" w:cs="Times New Roman"/>
          <w:color w:val="212121"/>
          <w:sz w:val="16"/>
          <w:szCs w:val="16"/>
          <w:shd w:val="clear" w:color="auto" w:fill="FFFFFF"/>
        </w:rPr>
        <w:t xml:space="preserve">(1):8-18.  </w:t>
      </w:r>
    </w:p>
    <w:p w:rsidR="00D01818" w:rsidRP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Default="00D01818" w:rsidP="00D01818">
      <w:pPr>
        <w:pStyle w:val="ListParagraph"/>
        <w:rPr>
          <w:rFonts w:ascii="Times New Roman" w:hAnsi="Times New Roman" w:cs="Times New Roman"/>
          <w:color w:val="000000" w:themeColor="text1"/>
          <w:sz w:val="20"/>
          <w:szCs w:val="20"/>
        </w:rPr>
      </w:pPr>
    </w:p>
    <w:p w:rsidR="00D01818" w:rsidRPr="00CF7510" w:rsidRDefault="00D01818" w:rsidP="00D01818">
      <w:pPr>
        <w:pStyle w:val="ListParagraph"/>
        <w:rPr>
          <w:rFonts w:ascii="Times New Roman" w:hAnsi="Times New Roman" w:cs="Times New Roman"/>
          <w:color w:val="000000" w:themeColor="text1"/>
          <w:sz w:val="20"/>
          <w:szCs w:val="20"/>
        </w:rPr>
      </w:pPr>
    </w:p>
    <w:sectPr w:rsidR="00D01818" w:rsidRPr="00CF7510" w:rsidSect="005966F5">
      <w:pgSz w:w="11907" w:h="16839" w:code="9"/>
      <w:pgMar w:top="1890" w:right="1917" w:bottom="1890" w:left="19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7DC" w:rsidRDefault="006D77DC" w:rsidP="00281DB6">
      <w:pPr>
        <w:spacing w:after="0" w:line="240" w:lineRule="auto"/>
      </w:pPr>
      <w:r>
        <w:separator/>
      </w:r>
    </w:p>
  </w:endnote>
  <w:endnote w:type="continuationSeparator" w:id="0">
    <w:p w:rsidR="006D77DC" w:rsidRDefault="006D77DC" w:rsidP="00281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7DC" w:rsidRDefault="006D77DC" w:rsidP="00281DB6">
      <w:pPr>
        <w:spacing w:after="0" w:line="240" w:lineRule="auto"/>
      </w:pPr>
      <w:r>
        <w:separator/>
      </w:r>
    </w:p>
  </w:footnote>
  <w:footnote w:type="continuationSeparator" w:id="0">
    <w:p w:rsidR="006D77DC" w:rsidRDefault="006D77DC" w:rsidP="00281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B4B1A2"/>
    <w:lvl w:ilvl="0">
      <w:numFmt w:val="bullet"/>
      <w:lvlText w:val="*"/>
      <w:lvlJc w:val="left"/>
    </w:lvl>
  </w:abstractNum>
  <w:abstractNum w:abstractNumId="1">
    <w:nsid w:val="003B0990"/>
    <w:multiLevelType w:val="hybridMultilevel"/>
    <w:tmpl w:val="FBFA42EA"/>
    <w:lvl w:ilvl="0" w:tplc="3FF85E7A">
      <w:start w:val="4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507B3"/>
    <w:multiLevelType w:val="hybridMultilevel"/>
    <w:tmpl w:val="F964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1B7"/>
    <w:multiLevelType w:val="hybridMultilevel"/>
    <w:tmpl w:val="939C3F0E"/>
    <w:lvl w:ilvl="0" w:tplc="C358BCB8">
      <w:start w:val="40"/>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D087E"/>
    <w:multiLevelType w:val="hybridMultilevel"/>
    <w:tmpl w:val="D658969C"/>
    <w:lvl w:ilvl="0" w:tplc="0CE4C8E6">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D3BD2"/>
    <w:multiLevelType w:val="hybridMultilevel"/>
    <w:tmpl w:val="C3AE99D2"/>
    <w:lvl w:ilvl="0" w:tplc="9AF4F392">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B07F2"/>
    <w:multiLevelType w:val="hybridMultilevel"/>
    <w:tmpl w:val="50E49EBE"/>
    <w:lvl w:ilvl="0" w:tplc="067E621C">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57CA1"/>
    <w:multiLevelType w:val="hybridMultilevel"/>
    <w:tmpl w:val="C38EADEC"/>
    <w:lvl w:ilvl="0" w:tplc="18BC2506">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C26F7"/>
    <w:multiLevelType w:val="hybridMultilevel"/>
    <w:tmpl w:val="4900DF2A"/>
    <w:lvl w:ilvl="0" w:tplc="A8AC61DA">
      <w:start w:val="1"/>
      <w:numFmt w:val="decimal"/>
      <w:lvlText w:val="%1."/>
      <w:lvlJc w:val="left"/>
      <w:pPr>
        <w:ind w:left="-360" w:hanging="360"/>
      </w:pPr>
      <w:rPr>
        <w:rFonts w:ascii="Helvetica" w:hAnsi="Helvetica" w:cs="Helvetica" w:hint="default"/>
        <w:color w:val="333333"/>
        <w:sz w:val="19"/>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345F57CB"/>
    <w:multiLevelType w:val="hybridMultilevel"/>
    <w:tmpl w:val="08E21D9A"/>
    <w:lvl w:ilvl="0" w:tplc="DF3C9D3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5D4535"/>
    <w:multiLevelType w:val="hybridMultilevel"/>
    <w:tmpl w:val="9504443A"/>
    <w:lvl w:ilvl="0" w:tplc="AC0272CC">
      <w:start w:val="4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F56C67"/>
    <w:multiLevelType w:val="hybridMultilevel"/>
    <w:tmpl w:val="09D20052"/>
    <w:lvl w:ilvl="0" w:tplc="F6769080">
      <w:start w:val="2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BF7D75"/>
    <w:multiLevelType w:val="hybridMultilevel"/>
    <w:tmpl w:val="B1384DDC"/>
    <w:lvl w:ilvl="0" w:tplc="6E0E972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156C1"/>
    <w:multiLevelType w:val="hybridMultilevel"/>
    <w:tmpl w:val="C5329A04"/>
    <w:lvl w:ilvl="0" w:tplc="05FA964E">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40656"/>
    <w:multiLevelType w:val="hybridMultilevel"/>
    <w:tmpl w:val="4BE605B0"/>
    <w:lvl w:ilvl="0" w:tplc="6F5C9DFC">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51BF7"/>
    <w:multiLevelType w:val="hybridMultilevel"/>
    <w:tmpl w:val="B6DCA30E"/>
    <w:lvl w:ilvl="0" w:tplc="21727C80">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E568F3"/>
    <w:multiLevelType w:val="hybridMultilevel"/>
    <w:tmpl w:val="A27297AE"/>
    <w:lvl w:ilvl="0" w:tplc="56CEA9CE">
      <w:start w:val="1"/>
      <w:numFmt w:val="decimal"/>
      <w:lvlText w:val="%1."/>
      <w:lvlJc w:val="left"/>
      <w:pPr>
        <w:ind w:left="3960" w:hanging="360"/>
      </w:pPr>
      <w:rPr>
        <w:rFonts w:ascii="Times New Roman" w:eastAsiaTheme="minorHAnsi"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635D358C"/>
    <w:multiLevelType w:val="hybridMultilevel"/>
    <w:tmpl w:val="AAACF27E"/>
    <w:lvl w:ilvl="0" w:tplc="65421C94">
      <w:start w:val="40"/>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1A6939"/>
    <w:multiLevelType w:val="hybridMultilevel"/>
    <w:tmpl w:val="703C2544"/>
    <w:lvl w:ilvl="0" w:tplc="263C4214">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661A7"/>
    <w:multiLevelType w:val="hybridMultilevel"/>
    <w:tmpl w:val="882EC2F2"/>
    <w:lvl w:ilvl="0" w:tplc="4CFE28A0">
      <w:start w:val="1"/>
      <w:numFmt w:val="decimal"/>
      <w:lvlText w:val="%1."/>
      <w:lvlJc w:val="left"/>
      <w:pPr>
        <w:ind w:left="6480" w:hanging="360"/>
      </w:pPr>
      <w:rPr>
        <w:rFonts w:ascii="Times New Roman" w:eastAsiaTheme="minorHAnsi" w:hAnsi="Times New Roman" w:cs="Times New Roman"/>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nsid w:val="6CFC595A"/>
    <w:multiLevelType w:val="hybridMultilevel"/>
    <w:tmpl w:val="C0C4A9F0"/>
    <w:lvl w:ilvl="0" w:tplc="6B12F7B0">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AD762D"/>
    <w:multiLevelType w:val="hybridMultilevel"/>
    <w:tmpl w:val="E772A2F4"/>
    <w:lvl w:ilvl="0" w:tplc="E592A5F2">
      <w:start w:val="2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E7A60E1"/>
    <w:multiLevelType w:val="hybridMultilevel"/>
    <w:tmpl w:val="422ADB88"/>
    <w:lvl w:ilvl="0" w:tplc="B47A6104">
      <w:start w:val="2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9"/>
  </w:num>
  <w:num w:numId="4">
    <w:abstractNumId w:val="9"/>
  </w:num>
  <w:num w:numId="5">
    <w:abstractNumId w:val="1"/>
  </w:num>
  <w:num w:numId="6">
    <w:abstractNumId w:val="10"/>
  </w:num>
  <w:num w:numId="7">
    <w:abstractNumId w:val="17"/>
  </w:num>
  <w:num w:numId="8">
    <w:abstractNumId w:val="3"/>
  </w:num>
  <w:num w:numId="9">
    <w:abstractNumId w:val="21"/>
  </w:num>
  <w:num w:numId="10">
    <w:abstractNumId w:val="20"/>
  </w:num>
  <w:num w:numId="11">
    <w:abstractNumId w:val="13"/>
  </w:num>
  <w:num w:numId="12">
    <w:abstractNumId w:val="18"/>
  </w:num>
  <w:num w:numId="13">
    <w:abstractNumId w:val="22"/>
  </w:num>
  <w:num w:numId="14">
    <w:abstractNumId w:val="6"/>
  </w:num>
  <w:num w:numId="15">
    <w:abstractNumId w:val="14"/>
  </w:num>
  <w:num w:numId="16">
    <w:abstractNumId w:val="5"/>
  </w:num>
  <w:num w:numId="17">
    <w:abstractNumId w:val="7"/>
  </w:num>
  <w:num w:numId="18">
    <w:abstractNumId w:val="4"/>
  </w:num>
  <w:num w:numId="19">
    <w:abstractNumId w:val="15"/>
  </w:num>
  <w:num w:numId="20">
    <w:abstractNumId w:val="12"/>
  </w:num>
  <w:num w:numId="21">
    <w:abstractNumId w:val="11"/>
  </w:num>
  <w:num w:numId="22">
    <w:abstractNumId w:val="8"/>
  </w:num>
  <w:num w:numId="2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18F9"/>
    <w:rsid w:val="000033F4"/>
    <w:rsid w:val="00015FAC"/>
    <w:rsid w:val="00024805"/>
    <w:rsid w:val="00031A7A"/>
    <w:rsid w:val="000320CA"/>
    <w:rsid w:val="0004438F"/>
    <w:rsid w:val="00045074"/>
    <w:rsid w:val="0007162D"/>
    <w:rsid w:val="00081FA3"/>
    <w:rsid w:val="000835AE"/>
    <w:rsid w:val="000A1FC3"/>
    <w:rsid w:val="000C1B8B"/>
    <w:rsid w:val="000E0488"/>
    <w:rsid w:val="000E56D1"/>
    <w:rsid w:val="000F19D1"/>
    <w:rsid w:val="000F37F2"/>
    <w:rsid w:val="00107A71"/>
    <w:rsid w:val="0011230C"/>
    <w:rsid w:val="00130E24"/>
    <w:rsid w:val="00132519"/>
    <w:rsid w:val="00150339"/>
    <w:rsid w:val="001515C7"/>
    <w:rsid w:val="001529A1"/>
    <w:rsid w:val="00156227"/>
    <w:rsid w:val="001566E4"/>
    <w:rsid w:val="001763AC"/>
    <w:rsid w:val="001A1F49"/>
    <w:rsid w:val="001A6A72"/>
    <w:rsid w:val="001C5DE4"/>
    <w:rsid w:val="001D1A03"/>
    <w:rsid w:val="001D3C10"/>
    <w:rsid w:val="001E1ACD"/>
    <w:rsid w:val="00203CC7"/>
    <w:rsid w:val="00211E89"/>
    <w:rsid w:val="00212EB6"/>
    <w:rsid w:val="002134ED"/>
    <w:rsid w:val="0021794B"/>
    <w:rsid w:val="00220EB2"/>
    <w:rsid w:val="002219F2"/>
    <w:rsid w:val="00236295"/>
    <w:rsid w:val="00244836"/>
    <w:rsid w:val="0024692D"/>
    <w:rsid w:val="00271A91"/>
    <w:rsid w:val="00274F40"/>
    <w:rsid w:val="00276032"/>
    <w:rsid w:val="00280FEF"/>
    <w:rsid w:val="00281DB6"/>
    <w:rsid w:val="00283B4A"/>
    <w:rsid w:val="0028503D"/>
    <w:rsid w:val="002A1D84"/>
    <w:rsid w:val="002A2D08"/>
    <w:rsid w:val="002B095D"/>
    <w:rsid w:val="002C0942"/>
    <w:rsid w:val="002D2981"/>
    <w:rsid w:val="002F4C8C"/>
    <w:rsid w:val="003111BE"/>
    <w:rsid w:val="00313D22"/>
    <w:rsid w:val="00322614"/>
    <w:rsid w:val="00334576"/>
    <w:rsid w:val="00337D2E"/>
    <w:rsid w:val="00367DD2"/>
    <w:rsid w:val="00377C10"/>
    <w:rsid w:val="00385E39"/>
    <w:rsid w:val="00386C34"/>
    <w:rsid w:val="003A7291"/>
    <w:rsid w:val="003F3243"/>
    <w:rsid w:val="004063D0"/>
    <w:rsid w:val="004157AF"/>
    <w:rsid w:val="00417915"/>
    <w:rsid w:val="00432E70"/>
    <w:rsid w:val="004440BF"/>
    <w:rsid w:val="00471BAF"/>
    <w:rsid w:val="0047539F"/>
    <w:rsid w:val="004775CF"/>
    <w:rsid w:val="00477BBF"/>
    <w:rsid w:val="00480B75"/>
    <w:rsid w:val="00481805"/>
    <w:rsid w:val="0049553C"/>
    <w:rsid w:val="004A649F"/>
    <w:rsid w:val="004B1470"/>
    <w:rsid w:val="004D0935"/>
    <w:rsid w:val="004D37B5"/>
    <w:rsid w:val="004F555C"/>
    <w:rsid w:val="0051674F"/>
    <w:rsid w:val="00540D0C"/>
    <w:rsid w:val="0056750E"/>
    <w:rsid w:val="0057017A"/>
    <w:rsid w:val="00572EA3"/>
    <w:rsid w:val="00592341"/>
    <w:rsid w:val="005937C4"/>
    <w:rsid w:val="005946B2"/>
    <w:rsid w:val="005966F5"/>
    <w:rsid w:val="00597D84"/>
    <w:rsid w:val="005A3B3E"/>
    <w:rsid w:val="005B1D6B"/>
    <w:rsid w:val="005B3CA1"/>
    <w:rsid w:val="0060155E"/>
    <w:rsid w:val="006357C1"/>
    <w:rsid w:val="00654B5B"/>
    <w:rsid w:val="006624DC"/>
    <w:rsid w:val="00665DE3"/>
    <w:rsid w:val="00685B1D"/>
    <w:rsid w:val="006C1632"/>
    <w:rsid w:val="006C6BCF"/>
    <w:rsid w:val="006C7E74"/>
    <w:rsid w:val="006D77DC"/>
    <w:rsid w:val="00701E82"/>
    <w:rsid w:val="00716F2C"/>
    <w:rsid w:val="00720124"/>
    <w:rsid w:val="007407F1"/>
    <w:rsid w:val="00741FBF"/>
    <w:rsid w:val="00746024"/>
    <w:rsid w:val="00750194"/>
    <w:rsid w:val="00774A85"/>
    <w:rsid w:val="00782D8A"/>
    <w:rsid w:val="00786161"/>
    <w:rsid w:val="00797AE7"/>
    <w:rsid w:val="007B2505"/>
    <w:rsid w:val="007B6BCD"/>
    <w:rsid w:val="007D27F9"/>
    <w:rsid w:val="008006E2"/>
    <w:rsid w:val="008421F0"/>
    <w:rsid w:val="00847DD5"/>
    <w:rsid w:val="00855847"/>
    <w:rsid w:val="008727E7"/>
    <w:rsid w:val="00877FDA"/>
    <w:rsid w:val="008862DC"/>
    <w:rsid w:val="0089117E"/>
    <w:rsid w:val="008D2CA5"/>
    <w:rsid w:val="008E575D"/>
    <w:rsid w:val="009462A7"/>
    <w:rsid w:val="0095777C"/>
    <w:rsid w:val="00957F0A"/>
    <w:rsid w:val="0096081F"/>
    <w:rsid w:val="009704BF"/>
    <w:rsid w:val="009758D3"/>
    <w:rsid w:val="00985E9C"/>
    <w:rsid w:val="00986264"/>
    <w:rsid w:val="009918F9"/>
    <w:rsid w:val="00996745"/>
    <w:rsid w:val="009A3A5E"/>
    <w:rsid w:val="009B3F8C"/>
    <w:rsid w:val="009C5A9E"/>
    <w:rsid w:val="009D52A2"/>
    <w:rsid w:val="009E2953"/>
    <w:rsid w:val="009F5779"/>
    <w:rsid w:val="00A04658"/>
    <w:rsid w:val="00A07FDB"/>
    <w:rsid w:val="00A15674"/>
    <w:rsid w:val="00A273CC"/>
    <w:rsid w:val="00A36837"/>
    <w:rsid w:val="00A61338"/>
    <w:rsid w:val="00A616DD"/>
    <w:rsid w:val="00A6548C"/>
    <w:rsid w:val="00A751FE"/>
    <w:rsid w:val="00AA08BA"/>
    <w:rsid w:val="00AA7BA3"/>
    <w:rsid w:val="00AB0CAA"/>
    <w:rsid w:val="00AB32C5"/>
    <w:rsid w:val="00AF2E00"/>
    <w:rsid w:val="00AF3366"/>
    <w:rsid w:val="00B13C27"/>
    <w:rsid w:val="00B26DA7"/>
    <w:rsid w:val="00B50F74"/>
    <w:rsid w:val="00B528E1"/>
    <w:rsid w:val="00B57D41"/>
    <w:rsid w:val="00B75B94"/>
    <w:rsid w:val="00B93E84"/>
    <w:rsid w:val="00BD17CB"/>
    <w:rsid w:val="00BE0DA7"/>
    <w:rsid w:val="00C11DF6"/>
    <w:rsid w:val="00C14A97"/>
    <w:rsid w:val="00C22FDF"/>
    <w:rsid w:val="00C4477E"/>
    <w:rsid w:val="00C50C05"/>
    <w:rsid w:val="00C91954"/>
    <w:rsid w:val="00C93D2E"/>
    <w:rsid w:val="00C94396"/>
    <w:rsid w:val="00C9461D"/>
    <w:rsid w:val="00C95D16"/>
    <w:rsid w:val="00CA427E"/>
    <w:rsid w:val="00CD401C"/>
    <w:rsid w:val="00CD60A5"/>
    <w:rsid w:val="00CE03E5"/>
    <w:rsid w:val="00CE2994"/>
    <w:rsid w:val="00CE5DD7"/>
    <w:rsid w:val="00CF7510"/>
    <w:rsid w:val="00D01818"/>
    <w:rsid w:val="00D212C6"/>
    <w:rsid w:val="00D31969"/>
    <w:rsid w:val="00D35966"/>
    <w:rsid w:val="00D51BD0"/>
    <w:rsid w:val="00D7010C"/>
    <w:rsid w:val="00D72DAE"/>
    <w:rsid w:val="00D94369"/>
    <w:rsid w:val="00DA4675"/>
    <w:rsid w:val="00DB7273"/>
    <w:rsid w:val="00DD15CC"/>
    <w:rsid w:val="00E03296"/>
    <w:rsid w:val="00E037F6"/>
    <w:rsid w:val="00E256D0"/>
    <w:rsid w:val="00E34C18"/>
    <w:rsid w:val="00E67379"/>
    <w:rsid w:val="00E71C76"/>
    <w:rsid w:val="00E742DC"/>
    <w:rsid w:val="00E754DD"/>
    <w:rsid w:val="00E7652E"/>
    <w:rsid w:val="00E94C3E"/>
    <w:rsid w:val="00E96013"/>
    <w:rsid w:val="00E96E5E"/>
    <w:rsid w:val="00EA302D"/>
    <w:rsid w:val="00EA6369"/>
    <w:rsid w:val="00ED7012"/>
    <w:rsid w:val="00EE272E"/>
    <w:rsid w:val="00F14B02"/>
    <w:rsid w:val="00F20EE7"/>
    <w:rsid w:val="00F24E8C"/>
    <w:rsid w:val="00F26079"/>
    <w:rsid w:val="00F268A6"/>
    <w:rsid w:val="00F26918"/>
    <w:rsid w:val="00F41030"/>
    <w:rsid w:val="00F50D1B"/>
    <w:rsid w:val="00F6002B"/>
    <w:rsid w:val="00F62A8F"/>
    <w:rsid w:val="00F80E28"/>
    <w:rsid w:val="00F85414"/>
    <w:rsid w:val="00FA67AF"/>
    <w:rsid w:val="00FA7DA8"/>
    <w:rsid w:val="00FB626E"/>
    <w:rsid w:val="00FC090F"/>
    <w:rsid w:val="00FC462D"/>
    <w:rsid w:val="00FD2C74"/>
    <w:rsid w:val="00FD5A5E"/>
    <w:rsid w:val="00FD6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F9"/>
  </w:style>
  <w:style w:type="paragraph" w:styleId="Heading1">
    <w:name w:val="heading 1"/>
    <w:basedOn w:val="Normal"/>
    <w:next w:val="Normal"/>
    <w:link w:val="Heading1Char"/>
    <w:uiPriority w:val="9"/>
    <w:qFormat/>
    <w:rsid w:val="00D01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529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8F9"/>
    <w:pPr>
      <w:ind w:left="720"/>
      <w:contextualSpacing/>
    </w:pPr>
  </w:style>
  <w:style w:type="table" w:styleId="TableGrid">
    <w:name w:val="Table Grid"/>
    <w:basedOn w:val="TableNormal"/>
    <w:uiPriority w:val="59"/>
    <w:rsid w:val="00F26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
    <w:name w:val="A2"/>
    <w:uiPriority w:val="99"/>
    <w:rsid w:val="00DB7273"/>
    <w:rPr>
      <w:rFonts w:cs="Minion Pro"/>
      <w:color w:val="000000"/>
      <w:sz w:val="18"/>
      <w:szCs w:val="18"/>
    </w:rPr>
  </w:style>
  <w:style w:type="paragraph" w:customStyle="1" w:styleId="Default">
    <w:name w:val="Default"/>
    <w:rsid w:val="004A649F"/>
    <w:pPr>
      <w:autoSpaceDE w:val="0"/>
      <w:autoSpaceDN w:val="0"/>
      <w:adjustRightInd w:val="0"/>
      <w:spacing w:after="0" w:line="240" w:lineRule="auto"/>
    </w:pPr>
    <w:rPr>
      <w:rFonts w:ascii="Franklin Gothic Book" w:hAnsi="Franklin Gothic Book" w:cs="Franklin Gothic Book"/>
      <w:color w:val="000000"/>
      <w:sz w:val="24"/>
      <w:szCs w:val="24"/>
      <w:lang w:val="en-IN"/>
    </w:r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paragraph" w:styleId="NormalWeb">
    <w:name w:val="Normal (Web)"/>
    <w:basedOn w:val="Normal"/>
    <w:uiPriority w:val="99"/>
    <w:semiHidden/>
    <w:unhideWhenUsed/>
    <w:rsid w:val="00C91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529A1"/>
    <w:rPr>
      <w:rFonts w:ascii="Times New Roman" w:eastAsia="Times New Roman" w:hAnsi="Times New Roman" w:cs="Times New Roman"/>
      <w:b/>
      <w:bCs/>
      <w:sz w:val="36"/>
      <w:szCs w:val="36"/>
    </w:rPr>
  </w:style>
  <w:style w:type="paragraph" w:styleId="NoSpacing">
    <w:name w:val="No Spacing"/>
    <w:uiPriority w:val="1"/>
    <w:qFormat/>
    <w:rsid w:val="009F5779"/>
    <w:pPr>
      <w:spacing w:after="0" w:line="240" w:lineRule="auto"/>
    </w:pPr>
  </w:style>
  <w:style w:type="paragraph" w:styleId="Title">
    <w:name w:val="Title"/>
    <w:basedOn w:val="Normal"/>
    <w:next w:val="Normal"/>
    <w:link w:val="TitleChar"/>
    <w:uiPriority w:val="10"/>
    <w:qFormat/>
    <w:rsid w:val="009F57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77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81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DB6"/>
  </w:style>
  <w:style w:type="paragraph" w:styleId="Footer">
    <w:name w:val="footer"/>
    <w:basedOn w:val="Normal"/>
    <w:link w:val="FooterChar"/>
    <w:uiPriority w:val="99"/>
    <w:semiHidden/>
    <w:unhideWhenUsed/>
    <w:rsid w:val="00281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DB6"/>
  </w:style>
  <w:style w:type="character" w:styleId="Hyperlink">
    <w:name w:val="Hyperlink"/>
    <w:basedOn w:val="DefaultParagraphFont"/>
    <w:uiPriority w:val="99"/>
    <w:unhideWhenUsed/>
    <w:rsid w:val="00024805"/>
    <w:rPr>
      <w:color w:val="0000FF" w:themeColor="hyperlink"/>
      <w:u w:val="single"/>
    </w:rPr>
  </w:style>
  <w:style w:type="character" w:customStyle="1" w:styleId="Heading1Char">
    <w:name w:val="Heading 1 Char"/>
    <w:basedOn w:val="DefaultParagraphFont"/>
    <w:link w:val="Heading1"/>
    <w:uiPriority w:val="9"/>
    <w:rsid w:val="00D01818"/>
    <w:rPr>
      <w:rFonts w:asciiTheme="majorHAnsi" w:eastAsiaTheme="majorEastAsia" w:hAnsiTheme="majorHAnsi" w:cstheme="majorBidi"/>
      <w:b/>
      <w:bCs/>
      <w:color w:val="365F91" w:themeColor="accent1" w:themeShade="BF"/>
      <w:sz w:val="28"/>
      <w:szCs w:val="28"/>
    </w:rPr>
  </w:style>
  <w:style w:type="character" w:customStyle="1" w:styleId="title0">
    <w:name w:val="title"/>
    <w:basedOn w:val="DefaultParagraphFont"/>
    <w:rsid w:val="00FD61C6"/>
  </w:style>
</w:styles>
</file>

<file path=word/webSettings.xml><?xml version="1.0" encoding="utf-8"?>
<w:webSettings xmlns:r="http://schemas.openxmlformats.org/officeDocument/2006/relationships" xmlns:w="http://schemas.openxmlformats.org/wordprocessingml/2006/main">
  <w:divs>
    <w:div w:id="203406">
      <w:bodyDiv w:val="1"/>
      <w:marLeft w:val="0"/>
      <w:marRight w:val="0"/>
      <w:marTop w:val="0"/>
      <w:marBottom w:val="0"/>
      <w:divBdr>
        <w:top w:val="none" w:sz="0" w:space="0" w:color="auto"/>
        <w:left w:val="none" w:sz="0" w:space="0" w:color="auto"/>
        <w:bottom w:val="none" w:sz="0" w:space="0" w:color="auto"/>
        <w:right w:val="none" w:sz="0" w:space="0" w:color="auto"/>
      </w:divBdr>
    </w:div>
    <w:div w:id="979723714">
      <w:bodyDiv w:val="1"/>
      <w:marLeft w:val="0"/>
      <w:marRight w:val="0"/>
      <w:marTop w:val="0"/>
      <w:marBottom w:val="0"/>
      <w:divBdr>
        <w:top w:val="none" w:sz="0" w:space="0" w:color="auto"/>
        <w:left w:val="none" w:sz="0" w:space="0" w:color="auto"/>
        <w:bottom w:val="none" w:sz="0" w:space="0" w:color="auto"/>
        <w:right w:val="none" w:sz="0" w:space="0" w:color="auto"/>
      </w:divBdr>
      <w:divsChild>
        <w:div w:id="73998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dirindia.org/ncrp/ca/chapter4_1.asp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doughnutChart>
        <c:varyColors val="1"/>
        <c:ser>
          <c:idx val="0"/>
          <c:order val="0"/>
          <c:tx>
            <c:strRef>
              <c:f>Sheet1!$B$1</c:f>
              <c:strCache>
                <c:ptCount val="1"/>
                <c:pt idx="0">
                  <c:v>Sales</c:v>
                </c:pt>
              </c:strCache>
            </c:strRef>
          </c:tx>
          <c:dLbls>
            <c:showVal val="1"/>
            <c:showLeaderLines val="1"/>
          </c:dLbls>
          <c:cat>
            <c:strRef>
              <c:f>Sheet1!$A$2:$A$5</c:f>
              <c:strCache>
                <c:ptCount val="4"/>
                <c:pt idx="0">
                  <c:v>HR POSITIVE </c:v>
                </c:pt>
                <c:pt idx="1">
                  <c:v>Her2neu positive </c:v>
                </c:pt>
                <c:pt idx="2">
                  <c:v>TNBC</c:v>
                </c:pt>
                <c:pt idx="3">
                  <c:v>Combined HR &amp; Her2 positive </c:v>
                </c:pt>
              </c:strCache>
            </c:strRef>
          </c:cat>
          <c:val>
            <c:numRef>
              <c:f>Sheet1!$B$2:$B$5</c:f>
              <c:numCache>
                <c:formatCode>General</c:formatCode>
                <c:ptCount val="4"/>
                <c:pt idx="0">
                  <c:v>19</c:v>
                </c:pt>
                <c:pt idx="1">
                  <c:v>11</c:v>
                </c:pt>
                <c:pt idx="2">
                  <c:v>27</c:v>
                </c:pt>
                <c:pt idx="3">
                  <c:v>25</c:v>
                </c:pt>
              </c:numCache>
            </c:numRef>
          </c:val>
        </c:ser>
        <c:firstSliceAng val="0"/>
        <c:holeSize val="50"/>
      </c:doughnutChart>
    </c:plotArea>
    <c:legend>
      <c:legendPos val="r"/>
      <c:layout>
        <c:manualLayout>
          <c:xMode val="edge"/>
          <c:yMode val="edge"/>
          <c:x val="0.62262849956255906"/>
          <c:y val="0.1517547687407412"/>
          <c:w val="0.33517258275101242"/>
          <c:h val="0.71766942474936835"/>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 </a:t>
            </a:r>
          </a:p>
        </c:rich>
      </c:tx>
    </c:title>
    <c:view3D>
      <c:rotX val="30"/>
      <c:perspective val="30"/>
    </c:view3D>
    <c:plotArea>
      <c:layout/>
      <c:pie3DChart>
        <c:varyColors val="1"/>
        <c:ser>
          <c:idx val="0"/>
          <c:order val="0"/>
          <c:tx>
            <c:strRef>
              <c:f>Sheet1!$B$1</c:f>
              <c:strCache>
                <c:ptCount val="1"/>
                <c:pt idx="0">
                  <c:v> 2</c:v>
                </c:pt>
              </c:strCache>
            </c:strRef>
          </c:tx>
          <c:dLbls>
            <c:showVal val="1"/>
            <c:showLeaderLines val="1"/>
          </c:dLbls>
          <c:cat>
            <c:strRef>
              <c:f>Sheet1!$A$2:$A$5</c:f>
              <c:strCache>
                <c:ptCount val="4"/>
                <c:pt idx="0">
                  <c:v> </c:v>
                </c:pt>
                <c:pt idx="1">
                  <c:v>CIN</c:v>
                </c:pt>
                <c:pt idx="2">
                  <c:v>FN</c:v>
                </c:pt>
                <c:pt idx="3">
                  <c:v>Others </c:v>
                </c:pt>
              </c:strCache>
            </c:strRef>
          </c:cat>
          <c:val>
            <c:numRef>
              <c:f>Sheet1!$B$2:$B$5</c:f>
              <c:numCache>
                <c:formatCode>General</c:formatCode>
                <c:ptCount val="4"/>
                <c:pt idx="0">
                  <c:v>0</c:v>
                </c:pt>
                <c:pt idx="1">
                  <c:v>25</c:v>
                </c:pt>
                <c:pt idx="2">
                  <c:v>12</c:v>
                </c:pt>
                <c:pt idx="3">
                  <c:v>6</c:v>
                </c:pt>
              </c:numCache>
            </c:numRef>
          </c:val>
        </c:ser>
      </c:pie3DChart>
    </c:plotArea>
    <c:legend>
      <c:legendPos val="r"/>
      <c:legendEntry>
        <c:idx val="0"/>
        <c:delete val="1"/>
      </c:legendEntry>
      <c:layout>
        <c:manualLayout>
          <c:xMode val="edge"/>
          <c:yMode val="edge"/>
          <c:x val="0.71538023070551904"/>
          <c:y val="0.37273833470877527"/>
          <c:w val="0.18955601107979414"/>
          <c:h val="0.4451547529801377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1849</TotalTime>
  <Pages>8</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dcterms:created xsi:type="dcterms:W3CDTF">2020-10-05T18:57:00Z</dcterms:created>
  <dcterms:modified xsi:type="dcterms:W3CDTF">2021-01-21T19:26:00Z</dcterms:modified>
</cp:coreProperties>
</file>