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CD" w:rsidRPr="00FA2D8B" w:rsidRDefault="001346F5" w:rsidP="001045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A2D8B">
        <w:rPr>
          <w:rFonts w:ascii="Times New Roman" w:hAnsi="Times New Roman" w:cs="Times New Roman"/>
          <w:b/>
          <w:sz w:val="44"/>
          <w:szCs w:val="44"/>
        </w:rPr>
        <w:t>A study of Clinical Profile of Palliative Care Patient</w:t>
      </w:r>
      <w:r w:rsidR="008D2CF6" w:rsidRPr="00FA2D8B">
        <w:rPr>
          <w:rFonts w:ascii="Times New Roman" w:hAnsi="Times New Roman" w:cs="Times New Roman"/>
          <w:b/>
          <w:sz w:val="44"/>
          <w:szCs w:val="44"/>
        </w:rPr>
        <w:t xml:space="preserve"> at State Cancer institute, GMC</w:t>
      </w:r>
    </w:p>
    <w:p w:rsidR="002757CD" w:rsidRPr="00FA2D8B" w:rsidRDefault="002757CD" w:rsidP="002757CD">
      <w:pPr>
        <w:rPr>
          <w:rFonts w:ascii="Times New Roman" w:hAnsi="Times New Roman" w:cs="Times New Roman"/>
          <w:b/>
          <w:sz w:val="18"/>
          <w:szCs w:val="18"/>
        </w:rPr>
      </w:pPr>
      <w:r w:rsidRPr="00FA2D8B">
        <w:rPr>
          <w:rFonts w:ascii="Times New Roman" w:hAnsi="Times New Roman" w:cs="Times New Roman"/>
          <w:b/>
          <w:sz w:val="18"/>
          <w:szCs w:val="18"/>
        </w:rPr>
        <w:t>Das Shamb</w:t>
      </w:r>
      <w:r w:rsidR="00685D62" w:rsidRPr="00FA2D8B">
        <w:rPr>
          <w:rFonts w:ascii="Times New Roman" w:hAnsi="Times New Roman" w:cs="Times New Roman"/>
          <w:b/>
          <w:sz w:val="18"/>
          <w:szCs w:val="18"/>
        </w:rPr>
        <w:t>hu</w:t>
      </w:r>
      <w:r w:rsidR="00685D62" w:rsidRPr="00FA2D8B">
        <w:rPr>
          <w:rFonts w:ascii="Times New Roman" w:hAnsi="Times New Roman" w:cs="Times New Roman"/>
          <w:b/>
          <w:sz w:val="18"/>
          <w:szCs w:val="18"/>
          <w:vertAlign w:val="superscript"/>
        </w:rPr>
        <w:t>1</w:t>
      </w:r>
      <w:r w:rsidRPr="00FA2D8B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="00685D62" w:rsidRPr="00FA2D8B">
        <w:rPr>
          <w:rFonts w:ascii="Times New Roman" w:hAnsi="Times New Roman" w:cs="Times New Roman"/>
          <w:b/>
          <w:sz w:val="18"/>
          <w:szCs w:val="18"/>
        </w:rPr>
        <w:t>Deka</w:t>
      </w:r>
      <w:proofErr w:type="spellEnd"/>
      <w:r w:rsidR="00685D62" w:rsidRPr="00FA2D8B">
        <w:rPr>
          <w:rFonts w:ascii="Times New Roman" w:hAnsi="Times New Roman" w:cs="Times New Roman"/>
          <w:b/>
          <w:sz w:val="18"/>
          <w:szCs w:val="18"/>
        </w:rPr>
        <w:t xml:space="preserve"> Arun</w:t>
      </w:r>
      <w:r w:rsidR="00685D62" w:rsidRPr="00FA2D8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685D62" w:rsidRPr="00FA2D8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A2D8B">
        <w:rPr>
          <w:rFonts w:ascii="Times New Roman" w:hAnsi="Times New Roman" w:cs="Times New Roman"/>
          <w:b/>
          <w:sz w:val="18"/>
          <w:szCs w:val="18"/>
        </w:rPr>
        <w:t>Deka</w:t>
      </w:r>
      <w:proofErr w:type="spellEnd"/>
      <w:r w:rsidRPr="00FA2D8B">
        <w:rPr>
          <w:rFonts w:ascii="Times New Roman" w:hAnsi="Times New Roman" w:cs="Times New Roman"/>
          <w:b/>
          <w:sz w:val="18"/>
          <w:szCs w:val="18"/>
        </w:rPr>
        <w:t xml:space="preserve"> Hitesh</w:t>
      </w:r>
      <w:r w:rsidRPr="00FA2D8B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="00D556C3" w:rsidRPr="00FA2D8B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="00D556C3" w:rsidRPr="00FA2D8B">
        <w:rPr>
          <w:rFonts w:ascii="Times New Roman" w:hAnsi="Times New Roman" w:cs="Times New Roman"/>
          <w:b/>
          <w:sz w:val="18"/>
          <w:szCs w:val="18"/>
        </w:rPr>
        <w:t>Daku</w:t>
      </w:r>
      <w:r w:rsidRPr="00FA2D8B">
        <w:rPr>
          <w:rFonts w:ascii="Times New Roman" w:hAnsi="Times New Roman" w:cs="Times New Roman"/>
          <w:b/>
          <w:sz w:val="18"/>
          <w:szCs w:val="18"/>
        </w:rPr>
        <w:t>a</w:t>
      </w:r>
      <w:proofErr w:type="spellEnd"/>
      <w:r w:rsidRPr="00FA2D8B">
        <w:rPr>
          <w:rFonts w:ascii="Times New Roman" w:hAnsi="Times New Roman" w:cs="Times New Roman"/>
          <w:b/>
          <w:sz w:val="18"/>
          <w:szCs w:val="18"/>
        </w:rPr>
        <w:t xml:space="preserve"> Dipankar</w:t>
      </w:r>
      <w:r w:rsidRPr="00FA2D8B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Pr="00FA2D8B">
        <w:rPr>
          <w:rFonts w:ascii="Times New Roman" w:hAnsi="Times New Roman" w:cs="Times New Roman"/>
          <w:b/>
          <w:sz w:val="18"/>
          <w:szCs w:val="18"/>
        </w:rPr>
        <w:t>, Das S</w:t>
      </w:r>
      <w:r w:rsidR="00D556C3" w:rsidRPr="00FA2D8B">
        <w:rPr>
          <w:rFonts w:ascii="Times New Roman" w:hAnsi="Times New Roman" w:cs="Times New Roman"/>
          <w:b/>
          <w:sz w:val="18"/>
          <w:szCs w:val="18"/>
        </w:rPr>
        <w:t>h</w:t>
      </w:r>
      <w:r w:rsidRPr="00FA2D8B">
        <w:rPr>
          <w:rFonts w:ascii="Times New Roman" w:hAnsi="Times New Roman" w:cs="Times New Roman"/>
          <w:b/>
          <w:sz w:val="18"/>
          <w:szCs w:val="18"/>
        </w:rPr>
        <w:t>antana</w:t>
      </w:r>
      <w:r w:rsidRPr="00FA2D8B">
        <w:rPr>
          <w:rFonts w:ascii="Times New Roman" w:hAnsi="Times New Roman" w:cs="Times New Roman"/>
          <w:b/>
          <w:sz w:val="18"/>
          <w:szCs w:val="18"/>
          <w:vertAlign w:val="superscript"/>
        </w:rPr>
        <w:t>5</w:t>
      </w:r>
      <w:r w:rsidRPr="00FA2D8B">
        <w:rPr>
          <w:rFonts w:ascii="Times New Roman" w:hAnsi="Times New Roman" w:cs="Times New Roman"/>
          <w:b/>
          <w:sz w:val="18"/>
          <w:szCs w:val="18"/>
        </w:rPr>
        <w:t>,</w:t>
      </w:r>
      <w:r w:rsidR="00CA4DC7" w:rsidRPr="00FA2D8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D556C3" w:rsidRPr="00FA2D8B">
        <w:rPr>
          <w:rFonts w:ascii="Times New Roman" w:hAnsi="Times New Roman" w:cs="Times New Roman"/>
          <w:b/>
          <w:sz w:val="18"/>
          <w:szCs w:val="18"/>
        </w:rPr>
        <w:t>S</w:t>
      </w:r>
      <w:r w:rsidRPr="00FA2D8B">
        <w:rPr>
          <w:rFonts w:ascii="Times New Roman" w:hAnsi="Times New Roman" w:cs="Times New Roman"/>
          <w:b/>
          <w:sz w:val="18"/>
          <w:szCs w:val="18"/>
        </w:rPr>
        <w:t>arma</w:t>
      </w:r>
      <w:r w:rsidR="00D556C3" w:rsidRPr="00FA2D8B">
        <w:rPr>
          <w:rFonts w:ascii="Times New Roman" w:hAnsi="Times New Roman" w:cs="Times New Roman"/>
          <w:b/>
          <w:sz w:val="18"/>
          <w:szCs w:val="18"/>
        </w:rPr>
        <w:t>h</w:t>
      </w:r>
      <w:proofErr w:type="spellEnd"/>
      <w:r w:rsidRPr="00FA2D8B">
        <w:rPr>
          <w:rFonts w:ascii="Times New Roman" w:hAnsi="Times New Roman" w:cs="Times New Roman"/>
          <w:b/>
          <w:sz w:val="18"/>
          <w:szCs w:val="18"/>
        </w:rPr>
        <w:t xml:space="preserve"> Pranami</w:t>
      </w:r>
      <w:r w:rsidRPr="00FA2D8B">
        <w:rPr>
          <w:rFonts w:ascii="Times New Roman" w:hAnsi="Times New Roman" w:cs="Times New Roman"/>
          <w:b/>
          <w:sz w:val="18"/>
          <w:szCs w:val="18"/>
          <w:vertAlign w:val="superscript"/>
        </w:rPr>
        <w:t>6</w:t>
      </w:r>
      <w:r w:rsidR="00D556C3" w:rsidRPr="00FA2D8B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="00D556C3" w:rsidRPr="00FA2D8B">
        <w:rPr>
          <w:rFonts w:ascii="Times New Roman" w:hAnsi="Times New Roman" w:cs="Times New Roman"/>
          <w:b/>
          <w:sz w:val="18"/>
          <w:szCs w:val="18"/>
        </w:rPr>
        <w:t>Soibam</w:t>
      </w:r>
      <w:proofErr w:type="spellEnd"/>
      <w:r w:rsidR="00D556C3" w:rsidRPr="00FA2D8B">
        <w:rPr>
          <w:rFonts w:ascii="Times New Roman" w:hAnsi="Times New Roman" w:cs="Times New Roman"/>
          <w:b/>
          <w:sz w:val="18"/>
          <w:szCs w:val="18"/>
        </w:rPr>
        <w:t xml:space="preserve"> D. Gordhoni</w:t>
      </w:r>
      <w:r w:rsidR="00D556C3" w:rsidRPr="00FA2D8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7 </w:t>
      </w:r>
    </w:p>
    <w:p w:rsidR="002757CD" w:rsidRPr="001045CE" w:rsidRDefault="002757CD" w:rsidP="002757CD">
      <w:pPr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</w:pPr>
      <w:r w:rsidRPr="00FA2D8B">
        <w:rPr>
          <w:rFonts w:ascii="Times New Roman" w:eastAsia="Calibri" w:hAnsi="Times New Roman" w:cs="Times New Roman"/>
          <w:sz w:val="18"/>
          <w:szCs w:val="18"/>
        </w:rPr>
        <w:t>Running title:</w:t>
      </w:r>
      <w:r w:rsidRPr="001045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045C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045CE">
        <w:rPr>
          <w:rFonts w:ascii="Times New Roman" w:hAnsi="Times New Roman" w:cs="Times New Roman"/>
          <w:b/>
          <w:sz w:val="18"/>
          <w:szCs w:val="18"/>
        </w:rPr>
        <w:t>Clinical profile of palliative care patients</w:t>
      </w:r>
    </w:p>
    <w:p w:rsidR="002757CD" w:rsidRPr="001045CE" w:rsidRDefault="002757CD" w:rsidP="002757CD">
      <w:pPr>
        <w:rPr>
          <w:rFonts w:ascii="Times New Roman" w:hAnsi="Times New Roman" w:cs="Times New Roman"/>
          <w:bCs/>
          <w:i/>
          <w:iCs/>
          <w:sz w:val="40"/>
          <w:szCs w:val="24"/>
          <w:vertAlign w:val="superscript"/>
        </w:rPr>
      </w:pPr>
    </w:p>
    <w:p w:rsidR="002757CD" w:rsidRPr="001045CE" w:rsidRDefault="002757CD" w:rsidP="002757CD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5CE">
        <w:rPr>
          <w:rFonts w:ascii="Times New Roman" w:eastAsia="Calibri" w:hAnsi="Times New Roman" w:cs="Times New Roman"/>
          <w:b/>
          <w:sz w:val="28"/>
          <w:szCs w:val="28"/>
        </w:rPr>
        <w:t>ABSTRACT</w:t>
      </w:r>
    </w:p>
    <w:p w:rsidR="00352834" w:rsidRPr="00FA2D8B" w:rsidRDefault="002757CD" w:rsidP="002757CD">
      <w:pPr>
        <w:spacing w:line="240" w:lineRule="auto"/>
        <w:jc w:val="both"/>
        <w:rPr>
          <w:rFonts w:ascii="Times New Roman" w:eastAsia="PalatinoLinotype-Roman" w:hAnsi="Times New Roman" w:cs="Times New Roman"/>
          <w:sz w:val="20"/>
          <w:szCs w:val="20"/>
        </w:rPr>
      </w:pPr>
      <w:r w:rsidRPr="00FA2D8B">
        <w:rPr>
          <w:rFonts w:ascii="Times New Roman" w:eastAsia="Calibri" w:hAnsi="Times New Roman" w:cs="Times New Roman"/>
          <w:b/>
          <w:sz w:val="20"/>
          <w:szCs w:val="20"/>
        </w:rPr>
        <w:t>Introduction</w:t>
      </w:r>
      <w:r w:rsidRPr="00FA2D8B">
        <w:rPr>
          <w:rFonts w:ascii="Times New Roman" w:eastAsia="Calibri" w:hAnsi="Times New Roman" w:cs="Times New Roman"/>
          <w:sz w:val="20"/>
          <w:szCs w:val="20"/>
        </w:rPr>
        <w:t>:</w:t>
      </w:r>
      <w:r w:rsidR="001B122E" w:rsidRPr="00FA2D8B">
        <w:rPr>
          <w:rFonts w:ascii="Times New Roman" w:eastAsia="PalatinoLinotype-Roman" w:hAnsi="Times New Roman" w:cs="Times New Roman"/>
          <w:b/>
          <w:sz w:val="20"/>
          <w:szCs w:val="20"/>
        </w:rPr>
        <w:t xml:space="preserve"> </w:t>
      </w:r>
      <w:r w:rsidR="001B122E" w:rsidRPr="00FA2D8B">
        <w:rPr>
          <w:rFonts w:ascii="Times New Roman" w:eastAsia="PalatinoLinotype-Roman" w:hAnsi="Times New Roman" w:cs="Times New Roman"/>
          <w:sz w:val="20"/>
          <w:szCs w:val="20"/>
        </w:rPr>
        <w:t>Palliative ca</w:t>
      </w:r>
      <w:r w:rsidR="008D2CF6" w:rsidRPr="00FA2D8B">
        <w:rPr>
          <w:rFonts w:ascii="Times New Roman" w:eastAsia="PalatinoLinotype-Roman" w:hAnsi="Times New Roman" w:cs="Times New Roman"/>
          <w:sz w:val="20"/>
          <w:szCs w:val="20"/>
        </w:rPr>
        <w:t>re is one of the most important components of</w:t>
      </w:r>
      <w:r w:rsidR="001B122E" w:rsidRPr="00FA2D8B">
        <w:rPr>
          <w:rFonts w:ascii="Times New Roman" w:eastAsia="PalatinoLinotype-Roman" w:hAnsi="Times New Roman" w:cs="Times New Roman"/>
          <w:sz w:val="20"/>
          <w:szCs w:val="20"/>
        </w:rPr>
        <w:t xml:space="preserve"> cancer care </w:t>
      </w:r>
      <w:r w:rsidR="001346F5" w:rsidRPr="00FA2D8B">
        <w:rPr>
          <w:rFonts w:ascii="Times New Roman" w:eastAsia="PalatinoLinotype-Roman" w:hAnsi="Times New Roman" w:cs="Times New Roman"/>
          <w:sz w:val="20"/>
          <w:szCs w:val="20"/>
        </w:rPr>
        <w:t xml:space="preserve">and has been present in India </w:t>
      </w:r>
      <w:r w:rsidR="00D556C3" w:rsidRPr="00FA2D8B">
        <w:rPr>
          <w:rFonts w:ascii="Times New Roman" w:eastAsia="PalatinoLinotype-Roman" w:hAnsi="Times New Roman" w:cs="Times New Roman"/>
          <w:sz w:val="20"/>
          <w:szCs w:val="20"/>
        </w:rPr>
        <w:t>since decades</w:t>
      </w:r>
      <w:r w:rsidR="001346F5" w:rsidRPr="00FA2D8B">
        <w:rPr>
          <w:rFonts w:ascii="Times New Roman" w:eastAsia="PalatinoLinotype-Roman" w:hAnsi="Times New Roman" w:cs="Times New Roman"/>
          <w:sz w:val="20"/>
          <w:szCs w:val="20"/>
        </w:rPr>
        <w:t xml:space="preserve"> now </w:t>
      </w:r>
      <w:r w:rsidR="008D2CF6" w:rsidRPr="00FA2D8B">
        <w:rPr>
          <w:rFonts w:ascii="Times New Roman" w:eastAsia="PalatinoLinotype-Roman" w:hAnsi="Times New Roman" w:cs="Times New Roman"/>
          <w:sz w:val="20"/>
          <w:szCs w:val="20"/>
        </w:rPr>
        <w:t xml:space="preserve">but still limited data available regarding palliative care from North Eastern India. </w:t>
      </w:r>
    </w:p>
    <w:p w:rsidR="008D2CF6" w:rsidRPr="00FA2D8B" w:rsidRDefault="008D2CF6" w:rsidP="002757CD">
      <w:pPr>
        <w:spacing w:line="240" w:lineRule="auto"/>
        <w:jc w:val="both"/>
        <w:rPr>
          <w:rFonts w:ascii="Times New Roman" w:eastAsia="PalatinoLinotype-Roman" w:hAnsi="Times New Roman" w:cs="Times New Roman"/>
          <w:sz w:val="20"/>
          <w:szCs w:val="20"/>
        </w:rPr>
      </w:pPr>
      <w:r w:rsidRPr="00FA2D8B">
        <w:rPr>
          <w:rStyle w:val="A2"/>
          <w:rFonts w:ascii="Times New Roman" w:hAnsi="Times New Roman" w:cs="Times New Roman"/>
          <w:b/>
          <w:sz w:val="20"/>
          <w:szCs w:val="20"/>
        </w:rPr>
        <w:t>Objectives:</w:t>
      </w:r>
      <w:r w:rsidRPr="00FA2D8B">
        <w:rPr>
          <w:rStyle w:val="A2"/>
          <w:rFonts w:ascii="Times New Roman" w:hAnsi="Times New Roman" w:cs="Times New Roman"/>
          <w:sz w:val="20"/>
          <w:szCs w:val="20"/>
        </w:rPr>
        <w:t xml:space="preserve"> </w:t>
      </w:r>
      <w:r w:rsidR="00D700A1" w:rsidRPr="00FA2D8B">
        <w:rPr>
          <w:rStyle w:val="A2"/>
          <w:rFonts w:ascii="Times New Roman" w:hAnsi="Times New Roman" w:cs="Times New Roman"/>
          <w:sz w:val="20"/>
          <w:szCs w:val="20"/>
        </w:rPr>
        <w:t>To study the clinical profile of cancer patients</w:t>
      </w:r>
      <w:r w:rsidR="00D556C3" w:rsidRPr="00FA2D8B">
        <w:rPr>
          <w:rStyle w:val="A2"/>
          <w:rFonts w:ascii="Times New Roman" w:hAnsi="Times New Roman" w:cs="Times New Roman"/>
          <w:sz w:val="20"/>
          <w:szCs w:val="20"/>
        </w:rPr>
        <w:t xml:space="preserve"> in palliative setting</w:t>
      </w:r>
      <w:r w:rsidR="00D700A1" w:rsidRPr="00FA2D8B">
        <w:rPr>
          <w:rStyle w:val="A2"/>
          <w:rFonts w:ascii="Times New Roman" w:hAnsi="Times New Roman" w:cs="Times New Roman"/>
          <w:sz w:val="20"/>
          <w:szCs w:val="20"/>
        </w:rPr>
        <w:t>.</w:t>
      </w:r>
    </w:p>
    <w:p w:rsidR="00D700A1" w:rsidRPr="00FA2D8B" w:rsidRDefault="002757CD" w:rsidP="00D700A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IN"/>
        </w:rPr>
      </w:pPr>
      <w:r w:rsidRPr="00FA2D8B">
        <w:rPr>
          <w:rFonts w:ascii="Times New Roman" w:hAnsi="Times New Roman" w:cs="Times New Roman"/>
          <w:b/>
          <w:sz w:val="20"/>
          <w:szCs w:val="20"/>
          <w:lang w:val="en-GB"/>
        </w:rPr>
        <w:t>Materials and methods</w:t>
      </w:r>
      <w:r w:rsidRPr="00FA2D8B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D556C3" w:rsidRPr="00FA2D8B">
        <w:rPr>
          <w:rFonts w:ascii="Times New Roman" w:hAnsi="Times New Roman" w:cs="Times New Roman"/>
          <w:sz w:val="20"/>
          <w:szCs w:val="20"/>
        </w:rPr>
        <w:t>The present study was a pros</w:t>
      </w:r>
      <w:r w:rsidR="008D2CF6" w:rsidRPr="00FA2D8B">
        <w:rPr>
          <w:rFonts w:ascii="Times New Roman" w:hAnsi="Times New Roman" w:cs="Times New Roman"/>
          <w:sz w:val="20"/>
          <w:szCs w:val="20"/>
        </w:rPr>
        <w:t xml:space="preserve">pective study </w:t>
      </w:r>
      <w:r w:rsidR="00D700A1" w:rsidRPr="00FA2D8B">
        <w:rPr>
          <w:rFonts w:ascii="Times New Roman" w:hAnsi="Times New Roman" w:cs="Times New Roman"/>
          <w:sz w:val="20"/>
          <w:szCs w:val="20"/>
        </w:rPr>
        <w:t xml:space="preserve">done </w:t>
      </w:r>
      <w:r w:rsidR="008D2CF6" w:rsidRPr="00FA2D8B">
        <w:rPr>
          <w:rFonts w:ascii="Times New Roman" w:hAnsi="Times New Roman" w:cs="Times New Roman"/>
          <w:sz w:val="20"/>
          <w:szCs w:val="20"/>
        </w:rPr>
        <w:t>on patients attending pain and palliative care Department</w:t>
      </w:r>
      <w:r w:rsidRPr="00FA2D8B">
        <w:rPr>
          <w:rFonts w:ascii="Times New Roman" w:hAnsi="Times New Roman" w:cs="Times New Roman"/>
          <w:sz w:val="20"/>
          <w:szCs w:val="20"/>
        </w:rPr>
        <w:t xml:space="preserve"> of State Cancer Institute, </w:t>
      </w:r>
      <w:proofErr w:type="spellStart"/>
      <w:r w:rsidR="008D2CF6" w:rsidRPr="00FA2D8B">
        <w:rPr>
          <w:rFonts w:ascii="Times New Roman" w:hAnsi="Times New Roman" w:cs="Times New Roman"/>
          <w:sz w:val="20"/>
          <w:szCs w:val="20"/>
        </w:rPr>
        <w:t>Gauhati</w:t>
      </w:r>
      <w:proofErr w:type="spellEnd"/>
      <w:r w:rsidR="008D2CF6" w:rsidRPr="00FA2D8B">
        <w:rPr>
          <w:rFonts w:ascii="Times New Roman" w:hAnsi="Times New Roman" w:cs="Times New Roman"/>
          <w:sz w:val="20"/>
          <w:szCs w:val="20"/>
        </w:rPr>
        <w:t xml:space="preserve"> Medical College, </w:t>
      </w:r>
      <w:proofErr w:type="spellStart"/>
      <w:proofErr w:type="gramStart"/>
      <w:r w:rsidRPr="00FA2D8B">
        <w:rPr>
          <w:rFonts w:ascii="Times New Roman" w:hAnsi="Times New Roman" w:cs="Times New Roman"/>
          <w:sz w:val="20"/>
          <w:szCs w:val="20"/>
        </w:rPr>
        <w:t>Guwahati</w:t>
      </w:r>
      <w:proofErr w:type="spellEnd"/>
      <w:proofErr w:type="gramEnd"/>
      <w:r w:rsidR="00D700A1" w:rsidRPr="00FA2D8B">
        <w:rPr>
          <w:rFonts w:ascii="Times New Roman" w:hAnsi="Times New Roman" w:cs="Times New Roman"/>
          <w:sz w:val="20"/>
          <w:szCs w:val="20"/>
        </w:rPr>
        <w:t xml:space="preserve"> for a period of twelve months from January 2020 to December 2020</w:t>
      </w:r>
      <w:r w:rsidRPr="00FA2D8B">
        <w:rPr>
          <w:rFonts w:ascii="Times New Roman" w:hAnsi="Times New Roman" w:cs="Times New Roman"/>
          <w:sz w:val="20"/>
          <w:szCs w:val="20"/>
        </w:rPr>
        <w:t>. In the study we</w:t>
      </w:r>
      <w:r w:rsidR="00D700A1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recorded the data regarding patient’s characteristics (age, sex, performance status, </w:t>
      </w:r>
      <w:proofErr w:type="spellStart"/>
      <w:r w:rsidR="00D700A1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symptomatology</w:t>
      </w:r>
      <w:proofErr w:type="spellEnd"/>
      <w:r w:rsidR="00D700A1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, primary diagnosis) during their visit to the pain and palliative care OPD.  </w:t>
      </w:r>
    </w:p>
    <w:p w:rsidR="00352834" w:rsidRPr="00FA2D8B" w:rsidRDefault="002757CD" w:rsidP="002757C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D8B">
        <w:rPr>
          <w:rFonts w:ascii="Times New Roman" w:hAnsi="Times New Roman" w:cs="Times New Roman"/>
          <w:b/>
          <w:sz w:val="20"/>
          <w:szCs w:val="20"/>
        </w:rPr>
        <w:t>Results</w:t>
      </w:r>
      <w:r w:rsidRPr="00FA2D8B">
        <w:rPr>
          <w:rFonts w:ascii="Times New Roman" w:hAnsi="Times New Roman" w:cs="Times New Roman"/>
          <w:sz w:val="20"/>
          <w:szCs w:val="20"/>
        </w:rPr>
        <w:t>:</w:t>
      </w:r>
      <w:r w:rsidR="00D700A1" w:rsidRPr="00FA2D8B">
        <w:rPr>
          <w:rFonts w:ascii="Times New Roman" w:hAnsi="Times New Roman" w:cs="Times New Roman"/>
          <w:sz w:val="20"/>
          <w:szCs w:val="20"/>
        </w:rPr>
        <w:t xml:space="preserve"> Total 1002 cases of Cancer patients were studied. Median age of presentation was 41-50 years (range 18-86 years). Male and Female ratio was 1:1.28. Majority of patients had ECOG performance status 2 followed ECOG PS 3. </w:t>
      </w:r>
      <w:r w:rsidR="00D9146B" w:rsidRPr="00FA2D8B">
        <w:rPr>
          <w:rFonts w:ascii="Times New Roman" w:hAnsi="Times New Roman" w:cs="Times New Roman"/>
          <w:sz w:val="20"/>
          <w:szCs w:val="20"/>
        </w:rPr>
        <w:t>Overall</w:t>
      </w:r>
      <w:r w:rsidR="00D700A1" w:rsidRPr="00FA2D8B">
        <w:rPr>
          <w:rFonts w:ascii="Times New Roman" w:hAnsi="Times New Roman" w:cs="Times New Roman"/>
          <w:sz w:val="20"/>
          <w:szCs w:val="20"/>
        </w:rPr>
        <w:t xml:space="preserve"> head and neck cancer</w:t>
      </w:r>
      <w:r w:rsidR="00D9146B" w:rsidRPr="00FA2D8B">
        <w:rPr>
          <w:rFonts w:ascii="Times New Roman" w:hAnsi="Times New Roman" w:cs="Times New Roman"/>
          <w:sz w:val="20"/>
          <w:szCs w:val="20"/>
        </w:rPr>
        <w:t xml:space="preserve"> was the most common cancer</w:t>
      </w:r>
      <w:r w:rsidR="00D700A1" w:rsidRPr="00FA2D8B">
        <w:rPr>
          <w:rFonts w:ascii="Times New Roman" w:hAnsi="Times New Roman" w:cs="Times New Roman"/>
          <w:sz w:val="20"/>
          <w:szCs w:val="20"/>
        </w:rPr>
        <w:t xml:space="preserve"> followed by carcinoma gall bladder and esophageal cancer</w:t>
      </w:r>
      <w:r w:rsidR="00D9146B" w:rsidRPr="00FA2D8B">
        <w:rPr>
          <w:rFonts w:ascii="Times New Roman" w:hAnsi="Times New Roman" w:cs="Times New Roman"/>
          <w:sz w:val="20"/>
          <w:szCs w:val="20"/>
        </w:rPr>
        <w:t xml:space="preserve"> while in female breast cancer was the most common. In the </w:t>
      </w:r>
      <w:proofErr w:type="spellStart"/>
      <w:r w:rsidR="00D9146B" w:rsidRPr="00FA2D8B">
        <w:rPr>
          <w:rFonts w:ascii="Times New Roman" w:hAnsi="Times New Roman" w:cs="Times New Roman"/>
          <w:sz w:val="20"/>
          <w:szCs w:val="20"/>
        </w:rPr>
        <w:t>symptomatolgy</w:t>
      </w:r>
      <w:proofErr w:type="spellEnd"/>
      <w:r w:rsidR="00D9146B" w:rsidRPr="00FA2D8B">
        <w:rPr>
          <w:rFonts w:ascii="Times New Roman" w:hAnsi="Times New Roman" w:cs="Times New Roman"/>
          <w:sz w:val="20"/>
          <w:szCs w:val="20"/>
        </w:rPr>
        <w:t>,</w:t>
      </w:r>
      <w:r w:rsidR="00D700A1" w:rsidRPr="00FA2D8B">
        <w:rPr>
          <w:rFonts w:ascii="Times New Roman" w:hAnsi="Times New Roman" w:cs="Times New Roman"/>
          <w:sz w:val="20"/>
          <w:szCs w:val="20"/>
        </w:rPr>
        <w:t xml:space="preserve"> </w:t>
      </w:r>
      <w:r w:rsidR="00D9146B" w:rsidRPr="00FA2D8B">
        <w:rPr>
          <w:rFonts w:ascii="Times New Roman" w:hAnsi="Times New Roman" w:cs="Times New Roman"/>
          <w:sz w:val="20"/>
          <w:szCs w:val="20"/>
        </w:rPr>
        <w:t xml:space="preserve">Pain was the most common symptom followed by anorexia and generalized weakness. </w:t>
      </w:r>
      <w:proofErr w:type="gramStart"/>
      <w:r w:rsidR="00D9146B" w:rsidRPr="00FA2D8B">
        <w:rPr>
          <w:rFonts w:ascii="Times New Roman" w:hAnsi="Times New Roman" w:cs="Times New Roman"/>
          <w:sz w:val="20"/>
          <w:szCs w:val="20"/>
        </w:rPr>
        <w:t>Skeleton the most common site of metastasis followed by lung and liver.</w:t>
      </w:r>
      <w:proofErr w:type="gramEnd"/>
      <w:r w:rsidR="00D9146B" w:rsidRPr="00FA2D8B">
        <w:rPr>
          <w:rFonts w:ascii="Times New Roman" w:hAnsi="Times New Roman" w:cs="Times New Roman"/>
          <w:sz w:val="20"/>
          <w:szCs w:val="20"/>
        </w:rPr>
        <w:t xml:space="preserve"> Majority of patients attending pain and palliative OPD were in stage IV followed by Stage III cancer.</w:t>
      </w:r>
    </w:p>
    <w:p w:rsidR="002757CD" w:rsidRPr="00FA2D8B" w:rsidRDefault="002757CD" w:rsidP="002757CD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FA2D8B">
        <w:rPr>
          <w:rFonts w:ascii="Times New Roman" w:hAnsi="Times New Roman" w:cs="Times New Roman"/>
          <w:b/>
          <w:sz w:val="20"/>
          <w:szCs w:val="20"/>
        </w:rPr>
        <w:t>Conclusion</w:t>
      </w:r>
      <w:r w:rsidRPr="00FA2D8B">
        <w:rPr>
          <w:rFonts w:ascii="Times New Roman" w:hAnsi="Times New Roman" w:cs="Times New Roman"/>
          <w:sz w:val="20"/>
          <w:szCs w:val="20"/>
        </w:rPr>
        <w:t>:</w:t>
      </w:r>
      <w:r w:rsidR="00D9146B" w:rsidRPr="00FA2D8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Pain was the most common symptom which adversely </w:t>
      </w:r>
      <w:proofErr w:type="gramStart"/>
      <w:r w:rsidR="00D9146B" w:rsidRPr="00FA2D8B">
        <w:rPr>
          <w:rFonts w:ascii="Times New Roman" w:hAnsi="Times New Roman" w:cs="Times New Roman"/>
          <w:bCs/>
          <w:sz w:val="20"/>
          <w:szCs w:val="20"/>
          <w:lang w:val="en-GB"/>
        </w:rPr>
        <w:t>affect</w:t>
      </w:r>
      <w:proofErr w:type="gramEnd"/>
      <w:r w:rsidR="00D9146B" w:rsidRPr="00FA2D8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quality of life of cancer patients. </w:t>
      </w:r>
      <w:proofErr w:type="gramStart"/>
      <w:r w:rsidR="00D9146B" w:rsidRPr="00FA2D8B">
        <w:rPr>
          <w:rFonts w:ascii="Times New Roman" w:hAnsi="Times New Roman" w:cs="Times New Roman"/>
          <w:bCs/>
          <w:sz w:val="20"/>
          <w:szCs w:val="20"/>
          <w:lang w:val="en-GB"/>
        </w:rPr>
        <w:t>Early referral to for palliative care need to be ensured.</w:t>
      </w:r>
      <w:proofErr w:type="gramEnd"/>
    </w:p>
    <w:p w:rsidR="002757CD" w:rsidRPr="00FA2D8B" w:rsidRDefault="002757CD" w:rsidP="002757CD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FA2D8B">
        <w:rPr>
          <w:rFonts w:ascii="Times New Roman" w:hAnsi="Times New Roman" w:cs="Times New Roman"/>
          <w:b/>
          <w:sz w:val="20"/>
          <w:szCs w:val="20"/>
        </w:rPr>
        <w:t>Keywords:</w:t>
      </w:r>
      <w:r w:rsidR="00D9146B" w:rsidRPr="00FA2D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146B" w:rsidRPr="00FA2D8B">
        <w:rPr>
          <w:rFonts w:ascii="Times New Roman" w:hAnsi="Times New Roman" w:cs="Times New Roman"/>
          <w:sz w:val="20"/>
          <w:szCs w:val="20"/>
        </w:rPr>
        <w:t xml:space="preserve">Palliative care, North east India, </w:t>
      </w:r>
      <w:proofErr w:type="spellStart"/>
      <w:r w:rsidR="00D9146B" w:rsidRPr="00FA2D8B">
        <w:rPr>
          <w:rFonts w:ascii="Times New Roman" w:hAnsi="Times New Roman" w:cs="Times New Roman"/>
          <w:sz w:val="20"/>
          <w:szCs w:val="20"/>
        </w:rPr>
        <w:t>Symptomatology</w:t>
      </w:r>
      <w:proofErr w:type="spellEnd"/>
      <w:r w:rsidR="00D9146B" w:rsidRPr="00FA2D8B">
        <w:rPr>
          <w:rFonts w:ascii="Times New Roman" w:hAnsi="Times New Roman" w:cs="Times New Roman"/>
          <w:sz w:val="20"/>
          <w:szCs w:val="20"/>
        </w:rPr>
        <w:t>.</w:t>
      </w:r>
    </w:p>
    <w:p w:rsidR="002757CD" w:rsidRPr="001045CE" w:rsidRDefault="005400BC" w:rsidP="002757CD">
      <w:pPr>
        <w:spacing w:after="0"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1045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7CD" w:rsidRPr="001045CE" w:rsidRDefault="002757CD" w:rsidP="002757CD">
      <w:pPr>
        <w:spacing w:after="0"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1045CE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685D62" w:rsidRPr="00FA2D8B" w:rsidRDefault="00685D62" w:rsidP="009F0FAC">
      <w:pPr>
        <w:pStyle w:val="p"/>
        <w:shd w:val="clear" w:color="auto" w:fill="FFFFFF"/>
        <w:spacing w:before="166" w:beforeAutospacing="0" w:after="166" w:afterAutospacing="0"/>
        <w:jc w:val="both"/>
        <w:rPr>
          <w:color w:val="000000"/>
          <w:sz w:val="20"/>
          <w:szCs w:val="20"/>
        </w:rPr>
      </w:pPr>
      <w:r w:rsidRPr="00FA2D8B">
        <w:rPr>
          <w:color w:val="000000"/>
          <w:sz w:val="20"/>
          <w:szCs w:val="20"/>
        </w:rPr>
        <w:t>The World Health Organization defines palliative care as “an approach that improves the quality of life of patients and their families facing the problem associated with life-</w:t>
      </w:r>
      <w:r w:rsidRPr="00FA2D8B">
        <w:rPr>
          <w:color w:val="000000"/>
          <w:sz w:val="20"/>
          <w:szCs w:val="20"/>
        </w:rPr>
        <w:lastRenderedPageBreak/>
        <w:t>threatening illness, through the prevention and relief of suffering by means of early identification and impeccable assessment and treatment of pain and other problems, physical, psychosocial and spiritual.”</w:t>
      </w:r>
      <w:r w:rsidR="00BC742D" w:rsidRPr="00FA2D8B">
        <w:rPr>
          <w:color w:val="000000"/>
          <w:sz w:val="20"/>
          <w:szCs w:val="20"/>
          <w:vertAlign w:val="superscript"/>
        </w:rPr>
        <w:t>1</w:t>
      </w:r>
      <w:r w:rsidR="00280FF1" w:rsidRPr="00FA2D8B">
        <w:rPr>
          <w:color w:val="000000"/>
          <w:sz w:val="20"/>
          <w:szCs w:val="20"/>
        </w:rPr>
        <w:t xml:space="preserve"> </w:t>
      </w:r>
      <w:r w:rsidRPr="00FA2D8B">
        <w:rPr>
          <w:color w:val="000000"/>
          <w:sz w:val="20"/>
          <w:szCs w:val="20"/>
        </w:rPr>
        <w:t>This care is required by patients suffering from a variety of chronic diseases</w:t>
      </w:r>
      <w:r w:rsidR="00D556C3" w:rsidRPr="00FA2D8B">
        <w:rPr>
          <w:color w:val="000000"/>
          <w:sz w:val="20"/>
          <w:szCs w:val="20"/>
        </w:rPr>
        <w:t xml:space="preserve"> </w:t>
      </w:r>
      <w:r w:rsidRPr="00FA2D8B">
        <w:rPr>
          <w:color w:val="000000"/>
          <w:sz w:val="20"/>
          <w:szCs w:val="20"/>
        </w:rPr>
        <w:t>but has been most commonly used for cancer patients.</w:t>
      </w:r>
      <w:hyperlink r:id="rId5" w:anchor="ref2" w:history="1">
        <w:r w:rsidR="00BC742D" w:rsidRPr="00FA2D8B">
          <w:rPr>
            <w:rStyle w:val="Hyperlink"/>
            <w:color w:val="642A8F"/>
            <w:sz w:val="20"/>
            <w:szCs w:val="20"/>
            <w:u w:val="none"/>
            <w:vertAlign w:val="superscript"/>
          </w:rPr>
          <w:t>2</w:t>
        </w:r>
      </w:hyperlink>
      <w:r w:rsidR="00BC742D" w:rsidRPr="00FA2D8B">
        <w:rPr>
          <w:color w:val="000000"/>
          <w:sz w:val="20"/>
          <w:szCs w:val="20"/>
          <w:vertAlign w:val="superscript"/>
        </w:rPr>
        <w:t xml:space="preserve"> </w:t>
      </w:r>
      <w:r w:rsidRPr="00FA2D8B">
        <w:rPr>
          <w:color w:val="000000"/>
          <w:sz w:val="20"/>
          <w:szCs w:val="20"/>
        </w:rPr>
        <w:t xml:space="preserve"> The concept of palliative care existed far back in the history</w:t>
      </w:r>
      <w:r w:rsidR="00EC4FD2" w:rsidRPr="00FA2D8B">
        <w:rPr>
          <w:color w:val="000000"/>
          <w:sz w:val="20"/>
          <w:szCs w:val="20"/>
        </w:rPr>
        <w:t xml:space="preserve"> </w:t>
      </w:r>
      <w:r w:rsidRPr="00FA2D8B">
        <w:rPr>
          <w:color w:val="000000"/>
          <w:sz w:val="20"/>
          <w:szCs w:val="20"/>
        </w:rPr>
        <w:t>but</w:t>
      </w:r>
      <w:r w:rsidR="00EC4FD2" w:rsidRPr="00FA2D8B">
        <w:rPr>
          <w:color w:val="000000"/>
          <w:sz w:val="20"/>
          <w:szCs w:val="20"/>
        </w:rPr>
        <w:t xml:space="preserve"> Dame Cicely Saunders </w:t>
      </w:r>
      <w:r w:rsidRPr="00FA2D8B">
        <w:rPr>
          <w:color w:val="000000"/>
          <w:sz w:val="20"/>
          <w:szCs w:val="20"/>
        </w:rPr>
        <w:t xml:space="preserve">has </w:t>
      </w:r>
      <w:r w:rsidR="00EC4FD2" w:rsidRPr="00FA2D8B">
        <w:rPr>
          <w:color w:val="000000"/>
          <w:sz w:val="20"/>
          <w:szCs w:val="20"/>
        </w:rPr>
        <w:t xml:space="preserve">popularized the concept of modern palliative care with the setup of </w:t>
      </w:r>
      <w:r w:rsidR="00BC742D" w:rsidRPr="00FA2D8B">
        <w:rPr>
          <w:color w:val="000000"/>
          <w:sz w:val="20"/>
          <w:szCs w:val="20"/>
        </w:rPr>
        <w:t xml:space="preserve">St Christopher’s </w:t>
      </w:r>
      <w:r w:rsidR="00EC4FD2" w:rsidRPr="00FA2D8B">
        <w:rPr>
          <w:color w:val="000000"/>
          <w:sz w:val="20"/>
          <w:szCs w:val="20"/>
        </w:rPr>
        <w:t>hospices</w:t>
      </w:r>
      <w:r w:rsidR="00BC742D" w:rsidRPr="00FA2D8B">
        <w:rPr>
          <w:color w:val="000000"/>
          <w:sz w:val="20"/>
          <w:szCs w:val="20"/>
        </w:rPr>
        <w:t xml:space="preserve"> in 1967</w:t>
      </w:r>
      <w:r w:rsidR="00EC4FD2" w:rsidRPr="00FA2D8B">
        <w:rPr>
          <w:color w:val="000000"/>
          <w:sz w:val="20"/>
          <w:szCs w:val="20"/>
        </w:rPr>
        <w:t xml:space="preserve"> for end-of-life care.</w:t>
      </w:r>
      <w:r w:rsidR="003F5673" w:rsidRPr="00FA2D8B">
        <w:rPr>
          <w:color w:val="000000"/>
          <w:sz w:val="20"/>
          <w:szCs w:val="20"/>
          <w:vertAlign w:val="superscript"/>
        </w:rPr>
        <w:t>3</w:t>
      </w:r>
      <w:r w:rsidR="00EC4FD2" w:rsidRPr="00FA2D8B">
        <w:rPr>
          <w:color w:val="000000"/>
          <w:sz w:val="20"/>
          <w:szCs w:val="20"/>
        </w:rPr>
        <w:t xml:space="preserve"> </w:t>
      </w:r>
      <w:proofErr w:type="gramStart"/>
      <w:r w:rsidR="00B20392" w:rsidRPr="00FA2D8B">
        <w:rPr>
          <w:color w:val="000000"/>
          <w:sz w:val="20"/>
          <w:szCs w:val="20"/>
        </w:rPr>
        <w:t>Now</w:t>
      </w:r>
      <w:proofErr w:type="gramEnd"/>
      <w:r w:rsidR="00EC4FD2" w:rsidRPr="00FA2D8B">
        <w:rPr>
          <w:color w:val="000000"/>
          <w:sz w:val="20"/>
          <w:szCs w:val="20"/>
        </w:rPr>
        <w:t xml:space="preserve"> palliative care has broadened from diagnosis to beyond bereavement for the family.</w:t>
      </w:r>
      <w:r w:rsidR="002031F6" w:rsidRPr="00FA2D8B">
        <w:rPr>
          <w:color w:val="000000"/>
          <w:sz w:val="20"/>
          <w:szCs w:val="20"/>
          <w:vertAlign w:val="superscript"/>
        </w:rPr>
        <w:t>4</w:t>
      </w:r>
      <w:r w:rsidR="0079077B" w:rsidRPr="00FA2D8B">
        <w:rPr>
          <w:color w:val="000000"/>
          <w:sz w:val="20"/>
          <w:szCs w:val="20"/>
        </w:rPr>
        <w:t xml:space="preserve"> </w:t>
      </w:r>
      <w:r w:rsidRPr="00FA2D8B">
        <w:rPr>
          <w:color w:val="000000"/>
          <w:sz w:val="20"/>
          <w:szCs w:val="20"/>
        </w:rPr>
        <w:t xml:space="preserve">In India, palliative care is still an emerging </w:t>
      </w:r>
      <w:r w:rsidR="00CB22A3" w:rsidRPr="00FA2D8B">
        <w:rPr>
          <w:color w:val="000000"/>
          <w:sz w:val="20"/>
          <w:szCs w:val="20"/>
        </w:rPr>
        <w:t>discipline.</w:t>
      </w:r>
      <w:r w:rsidR="002031F6" w:rsidRPr="00FA2D8B">
        <w:rPr>
          <w:color w:val="000000"/>
          <w:sz w:val="20"/>
          <w:szCs w:val="20"/>
          <w:vertAlign w:val="superscript"/>
        </w:rPr>
        <w:t>5</w:t>
      </w:r>
    </w:p>
    <w:p w:rsidR="002757CD" w:rsidRPr="00FA2D8B" w:rsidRDefault="00685D62" w:rsidP="009F0FAC">
      <w:pPr>
        <w:pStyle w:val="NormalWeb"/>
        <w:shd w:val="clear" w:color="auto" w:fill="FFFFFF"/>
        <w:spacing w:before="166" w:beforeAutospacing="0" w:after="166" w:afterAutospacing="0"/>
        <w:jc w:val="both"/>
        <w:rPr>
          <w:color w:val="000000"/>
          <w:sz w:val="20"/>
          <w:szCs w:val="20"/>
        </w:rPr>
      </w:pPr>
      <w:r w:rsidRPr="00FA2D8B">
        <w:rPr>
          <w:color w:val="000000"/>
          <w:sz w:val="20"/>
          <w:szCs w:val="20"/>
        </w:rPr>
        <w:t>India has a high load of cancer</w:t>
      </w:r>
      <w:r w:rsidR="00B20392" w:rsidRPr="00FA2D8B">
        <w:rPr>
          <w:color w:val="000000"/>
          <w:sz w:val="20"/>
          <w:szCs w:val="20"/>
        </w:rPr>
        <w:t xml:space="preserve"> patients</w:t>
      </w:r>
      <w:r w:rsidR="00C450A6" w:rsidRPr="00FA2D8B">
        <w:rPr>
          <w:color w:val="000000"/>
          <w:sz w:val="20"/>
          <w:szCs w:val="20"/>
        </w:rPr>
        <w:t xml:space="preserve">. </w:t>
      </w:r>
      <w:r w:rsidR="00C450A6" w:rsidRPr="00FA2D8B">
        <w:rPr>
          <w:color w:val="212121"/>
          <w:sz w:val="20"/>
          <w:szCs w:val="20"/>
          <w:shd w:val="clear" w:color="auto" w:fill="FFFFFF"/>
        </w:rPr>
        <w:t xml:space="preserve">According to the estimates of the National Cancer Registry </w:t>
      </w:r>
      <w:proofErr w:type="spellStart"/>
      <w:r w:rsidR="00C450A6" w:rsidRPr="00FA2D8B">
        <w:rPr>
          <w:color w:val="212121"/>
          <w:sz w:val="20"/>
          <w:szCs w:val="20"/>
          <w:shd w:val="clear" w:color="auto" w:fill="FFFFFF"/>
        </w:rPr>
        <w:t>Programme</w:t>
      </w:r>
      <w:proofErr w:type="spellEnd"/>
      <w:r w:rsidR="00C450A6" w:rsidRPr="00FA2D8B">
        <w:rPr>
          <w:color w:val="212121"/>
          <w:sz w:val="20"/>
          <w:szCs w:val="20"/>
          <w:shd w:val="clear" w:color="auto" w:fill="FFFFFF"/>
        </w:rPr>
        <w:t xml:space="preserve"> Report 2020, released by the I</w:t>
      </w:r>
      <w:r w:rsidR="000D799A" w:rsidRPr="00FA2D8B">
        <w:rPr>
          <w:color w:val="212121"/>
          <w:sz w:val="20"/>
          <w:szCs w:val="20"/>
          <w:shd w:val="clear" w:color="auto" w:fill="FFFFFF"/>
        </w:rPr>
        <w:t xml:space="preserve">ndian </w:t>
      </w:r>
      <w:r w:rsidR="00C450A6" w:rsidRPr="00FA2D8B">
        <w:rPr>
          <w:color w:val="212121"/>
          <w:sz w:val="20"/>
          <w:szCs w:val="20"/>
          <w:shd w:val="clear" w:color="auto" w:fill="FFFFFF"/>
        </w:rPr>
        <w:t>C</w:t>
      </w:r>
      <w:r w:rsidR="000D799A" w:rsidRPr="00FA2D8B">
        <w:rPr>
          <w:color w:val="212121"/>
          <w:sz w:val="20"/>
          <w:szCs w:val="20"/>
          <w:shd w:val="clear" w:color="auto" w:fill="FFFFFF"/>
        </w:rPr>
        <w:t xml:space="preserve">ouncil of </w:t>
      </w:r>
      <w:r w:rsidR="00C450A6" w:rsidRPr="00FA2D8B">
        <w:rPr>
          <w:color w:val="212121"/>
          <w:sz w:val="20"/>
          <w:szCs w:val="20"/>
          <w:shd w:val="clear" w:color="auto" w:fill="FFFFFF"/>
        </w:rPr>
        <w:t>M</w:t>
      </w:r>
      <w:r w:rsidR="000D799A" w:rsidRPr="00FA2D8B">
        <w:rPr>
          <w:color w:val="212121"/>
          <w:sz w:val="20"/>
          <w:szCs w:val="20"/>
          <w:shd w:val="clear" w:color="auto" w:fill="FFFFFF"/>
        </w:rPr>
        <w:t xml:space="preserve">edical </w:t>
      </w:r>
      <w:r w:rsidR="00C450A6" w:rsidRPr="00FA2D8B">
        <w:rPr>
          <w:color w:val="212121"/>
          <w:sz w:val="20"/>
          <w:szCs w:val="20"/>
          <w:shd w:val="clear" w:color="auto" w:fill="FFFFFF"/>
        </w:rPr>
        <w:t>R</w:t>
      </w:r>
      <w:r w:rsidR="000D799A" w:rsidRPr="00FA2D8B">
        <w:rPr>
          <w:color w:val="212121"/>
          <w:sz w:val="20"/>
          <w:szCs w:val="20"/>
          <w:shd w:val="clear" w:color="auto" w:fill="FFFFFF"/>
        </w:rPr>
        <w:t>esearch</w:t>
      </w:r>
      <w:r w:rsidR="00C450A6" w:rsidRPr="00FA2D8B">
        <w:rPr>
          <w:color w:val="212121"/>
          <w:sz w:val="20"/>
          <w:szCs w:val="20"/>
          <w:shd w:val="clear" w:color="auto" w:fill="FFFFFF"/>
        </w:rPr>
        <w:t xml:space="preserve"> in association with National Centre for Disease Informatics &amp; Research (NCDIR) </w:t>
      </w:r>
      <w:proofErr w:type="spellStart"/>
      <w:r w:rsidR="00C450A6" w:rsidRPr="00FA2D8B">
        <w:rPr>
          <w:color w:val="212121"/>
          <w:sz w:val="20"/>
          <w:szCs w:val="20"/>
          <w:shd w:val="clear" w:color="auto" w:fill="FFFFFF"/>
        </w:rPr>
        <w:t>Bengaluru</w:t>
      </w:r>
      <w:proofErr w:type="spellEnd"/>
      <w:r w:rsidR="00C450A6" w:rsidRPr="00FA2D8B">
        <w:rPr>
          <w:color w:val="212121"/>
          <w:sz w:val="20"/>
          <w:szCs w:val="20"/>
          <w:shd w:val="clear" w:color="auto" w:fill="FFFFFF"/>
        </w:rPr>
        <w:t xml:space="preserve">, there will be about 13.9 </w:t>
      </w:r>
      <w:proofErr w:type="spellStart"/>
      <w:r w:rsidR="00C450A6" w:rsidRPr="00FA2D8B">
        <w:rPr>
          <w:color w:val="212121"/>
          <w:sz w:val="20"/>
          <w:szCs w:val="20"/>
          <w:shd w:val="clear" w:color="auto" w:fill="FFFFFF"/>
        </w:rPr>
        <w:t>lakhs</w:t>
      </w:r>
      <w:proofErr w:type="spellEnd"/>
      <w:r w:rsidR="00C450A6" w:rsidRPr="00FA2D8B">
        <w:rPr>
          <w:color w:val="212121"/>
          <w:sz w:val="20"/>
          <w:szCs w:val="20"/>
          <w:shd w:val="clear" w:color="auto" w:fill="FFFFFF"/>
        </w:rPr>
        <w:t xml:space="preserve"> cancer cases in 2020 which is likely to increase to 15.7 </w:t>
      </w:r>
      <w:proofErr w:type="spellStart"/>
      <w:r w:rsidR="00C450A6" w:rsidRPr="00FA2D8B">
        <w:rPr>
          <w:color w:val="212121"/>
          <w:sz w:val="20"/>
          <w:szCs w:val="20"/>
          <w:shd w:val="clear" w:color="auto" w:fill="FFFFFF"/>
        </w:rPr>
        <w:t>lakhs</w:t>
      </w:r>
      <w:proofErr w:type="spellEnd"/>
      <w:r w:rsidR="00C450A6" w:rsidRPr="00FA2D8B">
        <w:rPr>
          <w:color w:val="212121"/>
          <w:sz w:val="20"/>
          <w:szCs w:val="20"/>
          <w:shd w:val="clear" w:color="auto" w:fill="FFFFFF"/>
        </w:rPr>
        <w:t xml:space="preserve"> by 2025, based on current trends. There will be an estimated 12% rise in cancer cases in India in next five years. </w:t>
      </w:r>
      <w:r w:rsidRPr="00FA2D8B">
        <w:rPr>
          <w:color w:val="000000"/>
          <w:sz w:val="20"/>
          <w:szCs w:val="20"/>
        </w:rPr>
        <w:t>While the need of palliative care is high in India</w:t>
      </w:r>
      <w:r w:rsidR="00280FF1" w:rsidRPr="00FA2D8B">
        <w:rPr>
          <w:color w:val="000000"/>
          <w:sz w:val="20"/>
          <w:szCs w:val="20"/>
        </w:rPr>
        <w:t>, t</w:t>
      </w:r>
      <w:r w:rsidR="005400BC" w:rsidRPr="00FA2D8B">
        <w:rPr>
          <w:color w:val="000000"/>
          <w:sz w:val="20"/>
          <w:szCs w:val="20"/>
        </w:rPr>
        <w:t>here are very limited</w:t>
      </w:r>
      <w:r w:rsidRPr="00FA2D8B">
        <w:rPr>
          <w:color w:val="000000"/>
          <w:sz w:val="20"/>
          <w:szCs w:val="20"/>
        </w:rPr>
        <w:t xml:space="preserve"> data on patients opting for palliative care in India</w:t>
      </w:r>
      <w:r w:rsidR="005400BC" w:rsidRPr="00FA2D8B">
        <w:rPr>
          <w:color w:val="000000"/>
          <w:sz w:val="20"/>
          <w:szCs w:val="20"/>
        </w:rPr>
        <w:t>.</w:t>
      </w:r>
      <w:r w:rsidR="00280FF1" w:rsidRPr="00FA2D8B">
        <w:rPr>
          <w:color w:val="000000"/>
          <w:sz w:val="20"/>
          <w:szCs w:val="20"/>
        </w:rPr>
        <w:t xml:space="preserve"> </w:t>
      </w:r>
      <w:r w:rsidR="002757CD" w:rsidRPr="00FA2D8B">
        <w:rPr>
          <w:sz w:val="20"/>
          <w:szCs w:val="20"/>
        </w:rPr>
        <w:t xml:space="preserve">State cancer Institute, </w:t>
      </w:r>
      <w:proofErr w:type="spellStart"/>
      <w:r w:rsidR="002757CD" w:rsidRPr="00FA2D8B">
        <w:rPr>
          <w:sz w:val="20"/>
          <w:szCs w:val="20"/>
        </w:rPr>
        <w:t>Guwahati</w:t>
      </w:r>
      <w:proofErr w:type="spellEnd"/>
      <w:r w:rsidR="002757CD" w:rsidRPr="00FA2D8B">
        <w:rPr>
          <w:sz w:val="20"/>
          <w:szCs w:val="20"/>
        </w:rPr>
        <w:t xml:space="preserve"> is one of the tertiary care oncology centers of North Eastern region of India providing comprehensive oncology services to the patients from entire NE regions</w:t>
      </w:r>
      <w:r w:rsidR="0079077B" w:rsidRPr="00FA2D8B">
        <w:rPr>
          <w:sz w:val="20"/>
          <w:szCs w:val="20"/>
        </w:rPr>
        <w:t xml:space="preserve"> thereby we want to evaluate the</w:t>
      </w:r>
      <w:r w:rsidR="00B011E5" w:rsidRPr="00FA2D8B">
        <w:rPr>
          <w:sz w:val="20"/>
          <w:szCs w:val="20"/>
        </w:rPr>
        <w:t xml:space="preserve"> clinical</w:t>
      </w:r>
      <w:r w:rsidR="0079077B" w:rsidRPr="00FA2D8B">
        <w:rPr>
          <w:sz w:val="20"/>
          <w:szCs w:val="20"/>
        </w:rPr>
        <w:t xml:space="preserve"> profile of patients attending to our palliative care OPD at SCI</w:t>
      </w:r>
      <w:r w:rsidR="005400BC" w:rsidRPr="00FA2D8B">
        <w:rPr>
          <w:sz w:val="20"/>
          <w:szCs w:val="20"/>
        </w:rPr>
        <w:t>.</w:t>
      </w:r>
      <w:r w:rsidR="009E78F1" w:rsidRPr="00FA2D8B">
        <w:rPr>
          <w:sz w:val="20"/>
          <w:szCs w:val="20"/>
        </w:rPr>
        <w:t xml:space="preserve"> </w:t>
      </w:r>
    </w:p>
    <w:p w:rsidR="002757CD" w:rsidRPr="001045CE" w:rsidRDefault="002757CD" w:rsidP="002757CD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5CE">
        <w:rPr>
          <w:rFonts w:ascii="Times New Roman" w:hAnsi="Times New Roman" w:cs="Times New Roman"/>
          <w:b/>
          <w:sz w:val="28"/>
          <w:szCs w:val="28"/>
        </w:rPr>
        <w:t>MATERIAL AND METHODS</w:t>
      </w:r>
    </w:p>
    <w:p w:rsidR="002757CD" w:rsidRPr="00FA2D8B" w:rsidRDefault="002757CD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The present study is a hospital based </w:t>
      </w:r>
      <w:r w:rsidR="00685D62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prospective study carried out on 1002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patients </w:t>
      </w:r>
      <w:r w:rsidR="000D799A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who had 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atte</w:t>
      </w:r>
      <w:r w:rsidR="000D799A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nded Department Pain and P</w:t>
      </w:r>
      <w:r w:rsidR="00685D62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alliative care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at State Cancer Institute,</w:t>
      </w:r>
      <w:r w:rsidR="000D799A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</w:t>
      </w:r>
      <w:proofErr w:type="spellStart"/>
      <w:r w:rsidR="000D799A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Gauhati</w:t>
      </w:r>
      <w:proofErr w:type="spellEnd"/>
      <w:r w:rsidR="000D799A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Medical College,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</w:t>
      </w:r>
      <w:proofErr w:type="spellStart"/>
      <w:proofErr w:type="gramStart"/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Guwahati</w:t>
      </w:r>
      <w:proofErr w:type="spellEnd"/>
      <w:proofErr w:type="gramEnd"/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</w:t>
      </w:r>
      <w:r w:rsidR="00685D62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for palliative care 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during</w:t>
      </w:r>
      <w:r w:rsidR="00E64D9F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12 months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period from January </w:t>
      </w:r>
      <w:r w:rsidR="00E64D9F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2020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to December</w:t>
      </w:r>
      <w:r w:rsidR="00E64D9F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2020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.</w:t>
      </w:r>
    </w:p>
    <w:p w:rsidR="002757CD" w:rsidRPr="00FA2D8B" w:rsidRDefault="005400BC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IN"/>
        </w:rPr>
      </w:pP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We recorded</w:t>
      </w:r>
      <w:r w:rsidR="002757CD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the data regarding patie</w:t>
      </w:r>
      <w:r w:rsidR="00E64D9F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nt’s characteristics (age, sex</w:t>
      </w:r>
      <w:r w:rsidR="002757CD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,</w:t>
      </w:r>
      <w:r w:rsidR="00E64D9F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</w:t>
      </w:r>
      <w:r w:rsidR="002757CD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performance status</w:t>
      </w:r>
      <w:r w:rsidR="00E64D9F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, symptomatology, primary diagnosis)</w:t>
      </w:r>
      <w:r w:rsidR="00C32871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during their</w:t>
      </w: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visit to the </w:t>
      </w:r>
      <w:r w:rsidR="000D799A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Pain and P</w:t>
      </w:r>
      <w:r w:rsidR="00EC4FD2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alliative care OPD</w:t>
      </w:r>
      <w:r w:rsidR="0079077B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.</w:t>
      </w:r>
      <w:r w:rsidR="00EC4FD2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</w:t>
      </w:r>
      <w:r w:rsidR="0079077B"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</w:t>
      </w:r>
    </w:p>
    <w:p w:rsidR="002757CD" w:rsidRPr="00FA2D8B" w:rsidRDefault="002757CD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A2D8B">
        <w:rPr>
          <w:rFonts w:ascii="Times New Roman" w:hAnsi="Times New Roman" w:cs="Times New Roman"/>
          <w:sz w:val="20"/>
          <w:szCs w:val="20"/>
          <w:shd w:val="clear" w:color="auto" w:fill="FFFFFF"/>
        </w:rPr>
        <w:t>Performance status is assessed using Eastern Cooperative Oncology Group (ECOG) performance status grading as shown in Table</w:t>
      </w:r>
      <w:r w:rsidR="00CA4DC7" w:rsidRPr="00FA2D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</w:t>
      </w:r>
    </w:p>
    <w:p w:rsidR="002757CD" w:rsidRPr="001045CE" w:rsidRDefault="002757CD" w:rsidP="002757CD">
      <w:pPr>
        <w:widowControl w:val="0"/>
        <w:tabs>
          <w:tab w:val="left" w:pos="90"/>
        </w:tabs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A2D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Table </w:t>
      </w:r>
      <w:r w:rsidR="00CA4DC7" w:rsidRPr="00FA2D8B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FA2D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045CE">
        <w:rPr>
          <w:rFonts w:ascii="Times New Roman" w:hAnsi="Times New Roman" w:cs="Times New Roman"/>
          <w:sz w:val="20"/>
          <w:szCs w:val="20"/>
          <w:shd w:val="clear" w:color="auto" w:fill="FFFFFF"/>
        </w:rPr>
        <w:t>ECOG Performance Status</w:t>
      </w:r>
      <w:r w:rsidR="000D799A" w:rsidRPr="001045CE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6 </w:t>
      </w:r>
    </w:p>
    <w:p w:rsidR="000D799A" w:rsidRPr="001045CE" w:rsidRDefault="000D799A" w:rsidP="000D799A">
      <w:pPr>
        <w:widowControl w:val="0"/>
        <w:tabs>
          <w:tab w:val="left" w:pos="90"/>
        </w:tabs>
        <w:autoSpaceDE w:val="0"/>
        <w:autoSpaceDN w:val="0"/>
        <w:adjustRightInd w:val="0"/>
        <w:spacing w:after="0" w:line="0" w:lineRule="atLeast"/>
        <w:ind w:left="360"/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1134"/>
        <w:gridCol w:w="6021"/>
      </w:tblGrid>
      <w:tr w:rsidR="002757CD" w:rsidRPr="001045CE" w:rsidTr="00B22504">
        <w:trPr>
          <w:jc w:val="center"/>
        </w:trPr>
        <w:tc>
          <w:tcPr>
            <w:tcW w:w="1260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Grade 0</w:t>
            </w:r>
          </w:p>
        </w:tc>
        <w:tc>
          <w:tcPr>
            <w:tcW w:w="7308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 xml:space="preserve">Fully active, able to carry on all </w:t>
            </w:r>
            <w:proofErr w:type="spellStart"/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predisease</w:t>
            </w:r>
            <w:proofErr w:type="spellEnd"/>
            <w:r w:rsidRPr="001045CE">
              <w:rPr>
                <w:rFonts w:ascii="Times New Roman" w:hAnsi="Times New Roman" w:cs="Times New Roman"/>
                <w:sz w:val="18"/>
                <w:szCs w:val="18"/>
              </w:rPr>
              <w:t xml:space="preserve"> performance without restriction.</w:t>
            </w:r>
          </w:p>
        </w:tc>
      </w:tr>
      <w:tr w:rsidR="002757CD" w:rsidRPr="001045CE" w:rsidTr="00B22504">
        <w:trPr>
          <w:jc w:val="center"/>
        </w:trPr>
        <w:tc>
          <w:tcPr>
            <w:tcW w:w="1260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Grade 1</w:t>
            </w:r>
          </w:p>
        </w:tc>
        <w:tc>
          <w:tcPr>
            <w:tcW w:w="7308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Restricted in physically strenuous activity, but ambulatory and able to carry out work of a light and sedentary nature.</w:t>
            </w:r>
          </w:p>
        </w:tc>
      </w:tr>
      <w:tr w:rsidR="002757CD" w:rsidRPr="001045CE" w:rsidTr="00B22504">
        <w:trPr>
          <w:jc w:val="center"/>
        </w:trPr>
        <w:tc>
          <w:tcPr>
            <w:tcW w:w="1260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Grade 2</w:t>
            </w:r>
          </w:p>
        </w:tc>
        <w:tc>
          <w:tcPr>
            <w:tcW w:w="7308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Ambulatory and capable of all self care but unable to carry out any work activities. Up and about more than 50% of working hours.</w:t>
            </w:r>
          </w:p>
        </w:tc>
      </w:tr>
      <w:tr w:rsidR="002757CD" w:rsidRPr="001045CE" w:rsidTr="00B22504">
        <w:trPr>
          <w:jc w:val="center"/>
        </w:trPr>
        <w:tc>
          <w:tcPr>
            <w:tcW w:w="1260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Grade 3</w:t>
            </w:r>
          </w:p>
        </w:tc>
        <w:tc>
          <w:tcPr>
            <w:tcW w:w="7308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Capable of only limited self care, confined to bed or chair more than 50% of working hours.</w:t>
            </w:r>
          </w:p>
        </w:tc>
      </w:tr>
      <w:tr w:rsidR="002757CD" w:rsidRPr="001045CE" w:rsidTr="00B22504">
        <w:trPr>
          <w:jc w:val="center"/>
        </w:trPr>
        <w:tc>
          <w:tcPr>
            <w:tcW w:w="1260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Grade 4</w:t>
            </w:r>
          </w:p>
        </w:tc>
        <w:tc>
          <w:tcPr>
            <w:tcW w:w="7308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Completely disabled. Cannot carry on any self care. Totally confined to bed or chair.</w:t>
            </w:r>
          </w:p>
        </w:tc>
      </w:tr>
      <w:tr w:rsidR="002757CD" w:rsidRPr="001045CE" w:rsidTr="00B22504">
        <w:trPr>
          <w:jc w:val="center"/>
        </w:trPr>
        <w:tc>
          <w:tcPr>
            <w:tcW w:w="1260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Grade 5</w:t>
            </w:r>
          </w:p>
        </w:tc>
        <w:tc>
          <w:tcPr>
            <w:tcW w:w="7308" w:type="dxa"/>
          </w:tcPr>
          <w:p w:rsidR="002757CD" w:rsidRPr="001045CE" w:rsidRDefault="002757CD" w:rsidP="00B2250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5CE">
              <w:rPr>
                <w:rFonts w:ascii="Times New Roman" w:hAnsi="Times New Roman" w:cs="Times New Roman"/>
                <w:sz w:val="18"/>
                <w:szCs w:val="18"/>
              </w:rPr>
              <w:t>Dead.</w:t>
            </w:r>
          </w:p>
        </w:tc>
      </w:tr>
    </w:tbl>
    <w:p w:rsidR="000D799A" w:rsidRPr="00BB05AF" w:rsidRDefault="00CA4DC7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IN"/>
        </w:rPr>
      </w:pPr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Pain was assessed by </w:t>
      </w:r>
      <w:proofErr w:type="spellStart"/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>Neumerical</w:t>
      </w:r>
      <w:proofErr w:type="spellEnd"/>
      <w:r w:rsidRPr="00FA2D8B">
        <w:rPr>
          <w:rFonts w:ascii="Times New Roman" w:hAnsi="Times New Roman" w:cs="Times New Roman"/>
          <w:color w:val="000000"/>
          <w:sz w:val="20"/>
          <w:szCs w:val="20"/>
          <w:lang w:val="en-IN"/>
        </w:rPr>
        <w:t xml:space="preserve"> pain rating scale and visual analogue scale </w:t>
      </w:r>
      <w:r w:rsidRPr="00FA2D8B">
        <w:rPr>
          <w:rFonts w:ascii="Times New Roman" w:hAnsi="Times New Roman" w:cs="Times New Roman"/>
          <w:b/>
          <w:color w:val="000000"/>
          <w:sz w:val="20"/>
          <w:szCs w:val="20"/>
          <w:lang w:val="en-IN"/>
        </w:rPr>
        <w:t>Table 2</w:t>
      </w:r>
      <w:r w:rsidRPr="001045CE">
        <w:rPr>
          <w:rFonts w:ascii="Times New Roman" w:hAnsi="Times New Roman" w:cs="Times New Roman"/>
          <w:color w:val="000000"/>
          <w:sz w:val="18"/>
          <w:szCs w:val="18"/>
          <w:lang w:val="en-IN"/>
        </w:rPr>
        <w:t>.</w:t>
      </w:r>
    </w:p>
    <w:p w:rsidR="00EA614B" w:rsidRPr="001045CE" w:rsidRDefault="00EA614B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5CE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371461" cy="1909119"/>
            <wp:effectExtent l="19050" t="0" r="0" b="0"/>
            <wp:docPr id="2" name="Picture 4" descr="Assessment Tools &amp; Clinical Guidelines | Pain 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essment Tools &amp; Clinical Guidelines | Pain B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784" cy="191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1B" w:rsidRPr="001045CE" w:rsidRDefault="00E746A0" w:rsidP="00EA614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45CE">
        <w:rPr>
          <w:rFonts w:ascii="Times New Roman" w:hAnsi="Times New Roman" w:cs="Times New Roman"/>
          <w:b/>
          <w:sz w:val="20"/>
          <w:szCs w:val="20"/>
        </w:rPr>
        <w:t>Table 2: Pain assessment scale</w:t>
      </w:r>
      <w:r w:rsidR="00BC2BF1" w:rsidRPr="001045CE">
        <w:rPr>
          <w:rFonts w:ascii="Times New Roman" w:hAnsi="Times New Roman" w:cs="Times New Roman"/>
          <w:b/>
          <w:sz w:val="20"/>
          <w:szCs w:val="20"/>
          <w:vertAlign w:val="superscript"/>
        </w:rPr>
        <w:t>7</w:t>
      </w:r>
    </w:p>
    <w:p w:rsidR="002757CD" w:rsidRPr="001045CE" w:rsidRDefault="002757CD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5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RESULTS</w:t>
      </w:r>
    </w:p>
    <w:p w:rsidR="00F324FB" w:rsidRPr="00FA2D8B" w:rsidRDefault="002757CD" w:rsidP="00F324F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</w:t>
      </w:r>
      <w:r w:rsidR="009B591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edian age of presentation was 41-50 years (range, 18 to 86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years</w:t>
      </w:r>
      <w:r w:rsidR="0079077B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  <w:r w:rsidR="00C400CA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02C1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 the study majority of patients were female with m</w:t>
      </w:r>
      <w:r w:rsidR="00C400CA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ale </w:t>
      </w:r>
      <w:r w:rsidR="00D02C1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C400CA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female ratio was 1:1.28</w:t>
      </w:r>
      <w:r w:rsidR="00D02C1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9B591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034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81patients (8.08</w:t>
      </w:r>
      <w:r w:rsidR="00BB0FE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%) we</w:t>
      </w:r>
      <w:r w:rsidR="00BB0FE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 unmarried.</w:t>
      </w:r>
      <w:r w:rsidR="009E78F1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2C1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About 69.57% of patients were female in the age group of 41-50 years and 61.78% were male. A</w:t>
      </w:r>
      <w:r w:rsidR="00C400CA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mong patients attending pain and palliative OPD majority were having an ECOG PS 2 (44.21%) followed by ECOG PS 3 (32.23%)</w:t>
      </w:r>
      <w:r w:rsidR="001C38E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shown in </w:t>
      </w:r>
      <w:r w:rsidR="001C38E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Table 3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:rsidR="002757CD" w:rsidRPr="001045CE" w:rsidRDefault="00F324FB" w:rsidP="00F324F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1045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ab/>
      </w:r>
      <w:r w:rsidRPr="001045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ab/>
        <w:t xml:space="preserve">      </w:t>
      </w:r>
      <w:r w:rsidR="002757CD" w:rsidRPr="001045C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Table 3 Clinical characteristics of </w:t>
      </w:r>
      <w:r w:rsidR="00C32871" w:rsidRPr="001045C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palliative care</w:t>
      </w:r>
      <w:r w:rsidR="002757CD" w:rsidRPr="001045C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patients</w:t>
      </w:r>
    </w:p>
    <w:tbl>
      <w:tblPr>
        <w:tblStyle w:val="TableGrid"/>
        <w:tblW w:w="6717" w:type="dxa"/>
        <w:jc w:val="center"/>
        <w:tblInd w:w="1024" w:type="dxa"/>
        <w:tblLook w:val="04A0"/>
      </w:tblPr>
      <w:tblGrid>
        <w:gridCol w:w="957"/>
        <w:gridCol w:w="3150"/>
        <w:gridCol w:w="2610"/>
      </w:tblGrid>
      <w:tr w:rsidR="002757CD" w:rsidRPr="001045CE" w:rsidTr="00EA614B">
        <w:trPr>
          <w:jc w:val="center"/>
        </w:trPr>
        <w:tc>
          <w:tcPr>
            <w:tcW w:w="957" w:type="dxa"/>
          </w:tcPr>
          <w:p w:rsidR="002757CD" w:rsidRPr="001045CE" w:rsidRDefault="002757CD" w:rsidP="00B22504">
            <w:pPr>
              <w:pStyle w:val="ListParagraph"/>
              <w:spacing w:before="144" w:after="144" w:line="0" w:lineRule="atLeast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Serial No.</w:t>
            </w: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 w:line="0" w:lineRule="atLeast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Parameters</w:t>
            </w:r>
          </w:p>
        </w:tc>
        <w:tc>
          <w:tcPr>
            <w:tcW w:w="2610" w:type="dxa"/>
          </w:tcPr>
          <w:p w:rsidR="002757CD" w:rsidRPr="001045CE" w:rsidRDefault="002757CD" w:rsidP="00B22504">
            <w:pPr>
              <w:pStyle w:val="ListParagraph"/>
              <w:spacing w:before="144" w:after="144" w:line="0" w:lineRule="atLeast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Number (%)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Total number of patients Included</w:t>
            </w:r>
          </w:p>
        </w:tc>
        <w:tc>
          <w:tcPr>
            <w:tcW w:w="2610" w:type="dxa"/>
          </w:tcPr>
          <w:p w:rsidR="002757CD" w:rsidRPr="001045CE" w:rsidRDefault="009B591C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1002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Age of presentation in years</w:t>
            </w:r>
          </w:p>
        </w:tc>
        <w:tc>
          <w:tcPr>
            <w:tcW w:w="2610" w:type="dxa"/>
          </w:tcPr>
          <w:p w:rsidR="002757CD" w:rsidRPr="001045CE" w:rsidRDefault="009B591C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41-50years  (range, 18-86</w:t>
            </w:r>
            <w:r w:rsidR="002757CD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</w:tcPr>
          <w:p w:rsidR="002757CD" w:rsidRPr="001045CE" w:rsidRDefault="009B591C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:rsidR="002757CD" w:rsidRPr="001045CE" w:rsidRDefault="009B591C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:rsidR="002757CD" w:rsidRPr="001045CE" w:rsidRDefault="009B591C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 w:val="restart"/>
          </w:tcPr>
          <w:p w:rsidR="002757CD" w:rsidRPr="001045CE" w:rsidRDefault="00C32871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Sex:</w:t>
            </w:r>
          </w:p>
        </w:tc>
        <w:tc>
          <w:tcPr>
            <w:tcW w:w="261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2610" w:type="dxa"/>
          </w:tcPr>
          <w:p w:rsidR="002757CD" w:rsidRPr="001045CE" w:rsidRDefault="009B591C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440</w:t>
            </w:r>
            <w:r w:rsidR="00B011E5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(43.91%)</w:t>
            </w:r>
          </w:p>
        </w:tc>
      </w:tr>
      <w:tr w:rsidR="00EA614B" w:rsidRPr="001045CE" w:rsidTr="00EA614B">
        <w:trPr>
          <w:jc w:val="center"/>
        </w:trPr>
        <w:tc>
          <w:tcPr>
            <w:tcW w:w="957" w:type="dxa"/>
            <w:vMerge/>
          </w:tcPr>
          <w:p w:rsidR="00EA614B" w:rsidRPr="001045CE" w:rsidRDefault="00EA614B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EA614B" w:rsidRPr="001045CE" w:rsidRDefault="00EA614B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2610" w:type="dxa"/>
          </w:tcPr>
          <w:p w:rsidR="00EA614B" w:rsidRPr="001045CE" w:rsidRDefault="00EA614B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562 (56.09)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 w:val="restart"/>
          </w:tcPr>
          <w:p w:rsidR="002757CD" w:rsidRPr="001045CE" w:rsidRDefault="00052EA8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50" w:type="dxa"/>
          </w:tcPr>
          <w:p w:rsidR="002757CD" w:rsidRPr="001045CE" w:rsidRDefault="00052EA8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 status</w:t>
            </w:r>
          </w:p>
        </w:tc>
        <w:tc>
          <w:tcPr>
            <w:tcW w:w="261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052EA8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2610" w:type="dxa"/>
          </w:tcPr>
          <w:p w:rsidR="002757CD" w:rsidRPr="001045CE" w:rsidRDefault="00052EA8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981</w:t>
            </w:r>
            <w:r w:rsidR="00B011E5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(97.90%)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052EA8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Unmarried</w:t>
            </w:r>
          </w:p>
        </w:tc>
        <w:tc>
          <w:tcPr>
            <w:tcW w:w="2610" w:type="dxa"/>
          </w:tcPr>
          <w:p w:rsidR="002757CD" w:rsidRPr="001045CE" w:rsidRDefault="00052EA8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B011E5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(2.10%)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 w:val="restart"/>
          </w:tcPr>
          <w:p w:rsidR="002757CD" w:rsidRPr="001045CE" w:rsidRDefault="008F1F62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52EA8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ECOG PS:</w:t>
            </w:r>
          </w:p>
        </w:tc>
        <w:tc>
          <w:tcPr>
            <w:tcW w:w="261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PS 0</w:t>
            </w:r>
          </w:p>
        </w:tc>
        <w:tc>
          <w:tcPr>
            <w:tcW w:w="2610" w:type="dxa"/>
          </w:tcPr>
          <w:p w:rsidR="002757CD" w:rsidRPr="001045CE" w:rsidRDefault="009B591C" w:rsidP="009B591C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2757CD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04.99</w:t>
            </w:r>
            <w:r w:rsidR="002757CD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%)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PS 1</w:t>
            </w:r>
          </w:p>
        </w:tc>
        <w:tc>
          <w:tcPr>
            <w:tcW w:w="2610" w:type="dxa"/>
          </w:tcPr>
          <w:p w:rsidR="002757CD" w:rsidRPr="001045CE" w:rsidRDefault="009E78F1" w:rsidP="009B591C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125 (12.47%)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PS 2</w:t>
            </w:r>
          </w:p>
        </w:tc>
        <w:tc>
          <w:tcPr>
            <w:tcW w:w="2610" w:type="dxa"/>
          </w:tcPr>
          <w:p w:rsidR="002757CD" w:rsidRPr="001045CE" w:rsidRDefault="00C400CA" w:rsidP="009E78F1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443 (44.21%)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PS 3</w:t>
            </w:r>
          </w:p>
        </w:tc>
        <w:tc>
          <w:tcPr>
            <w:tcW w:w="2610" w:type="dxa"/>
          </w:tcPr>
          <w:p w:rsidR="002757CD" w:rsidRPr="001045CE" w:rsidRDefault="00C400CA" w:rsidP="009B591C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323 (32.23%)</w:t>
            </w:r>
          </w:p>
        </w:tc>
      </w:tr>
      <w:tr w:rsidR="002757CD" w:rsidRPr="001045CE" w:rsidTr="00EA614B">
        <w:trPr>
          <w:jc w:val="center"/>
        </w:trPr>
        <w:tc>
          <w:tcPr>
            <w:tcW w:w="957" w:type="dxa"/>
            <w:vMerge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</w:tcPr>
          <w:p w:rsidR="002757CD" w:rsidRPr="001045CE" w:rsidRDefault="002757CD" w:rsidP="00B22504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PS 4</w:t>
            </w:r>
          </w:p>
        </w:tc>
        <w:tc>
          <w:tcPr>
            <w:tcW w:w="2610" w:type="dxa"/>
          </w:tcPr>
          <w:p w:rsidR="002757CD" w:rsidRPr="001045CE" w:rsidRDefault="009B591C" w:rsidP="009B591C">
            <w:pPr>
              <w:pStyle w:val="ListParagraph"/>
              <w:spacing w:before="144" w:after="144"/>
              <w:ind w:left="0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="002757CD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6.08</w:t>
            </w:r>
            <w:r w:rsidR="002757CD" w:rsidRPr="001045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%)</w:t>
            </w:r>
          </w:p>
        </w:tc>
      </w:tr>
    </w:tbl>
    <w:p w:rsidR="00D045AF" w:rsidRDefault="00D045AF" w:rsidP="00C92EE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C92EEB" w:rsidRPr="00FA2D8B" w:rsidRDefault="00052EA8" w:rsidP="00C92EE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 xml:space="preserve">In the study we </w:t>
      </w:r>
      <w:r w:rsidR="001C38E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have found that </w:t>
      </w:r>
      <w:r w:rsidR="008F1F62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overall </w:t>
      </w:r>
      <w:r w:rsidR="001C38E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patients having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head and neck </w:t>
      </w:r>
      <w:r w:rsidR="001C38E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cancer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like carcinoma oral cavity, </w:t>
      </w:r>
      <w:proofErr w:type="spellStart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oropharynx</w:t>
      </w:r>
      <w:proofErr w:type="spellEnd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, larynx attended to our OPD for palliation of their symptoms in maximum number followed by carcinoma gall bladder, oesophagus, breast</w:t>
      </w:r>
      <w:r w:rsidR="008F1F62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lung and others</w:t>
      </w:r>
      <w:r w:rsidR="008F1F62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. In gender wise, head and neck cancer was the most common cancer in male followed by oesophageal, gall bladder and lung cancer while in female breast cancer was</w:t>
      </w:r>
      <w:r w:rsidR="00094618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F1F62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the most common followed by </w:t>
      </w:r>
      <w:r w:rsidR="00F324FB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gall bladder and gynaecological cancer 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as shown in T</w:t>
      </w:r>
      <w:r w:rsidR="009E78F1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able 4.</w:t>
      </w:r>
      <w:r w:rsidR="00C400CA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Majority of head and neck cancer were related to tobacco use.</w:t>
      </w:r>
    </w:p>
    <w:p w:rsidR="00BB0FE3" w:rsidRPr="00FA2D8B" w:rsidRDefault="00C92EEB" w:rsidP="00FA2D8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FA2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2757CD"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Table 4</w:t>
      </w:r>
      <w:r w:rsidR="00C32871"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 Type of cancer seeking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32871"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palliative care </w:t>
      </w:r>
    </w:p>
    <w:tbl>
      <w:tblPr>
        <w:tblStyle w:val="TableGrid"/>
        <w:tblW w:w="0" w:type="auto"/>
        <w:tblInd w:w="108" w:type="dxa"/>
        <w:tblLook w:val="04A0"/>
      </w:tblPr>
      <w:tblGrid>
        <w:gridCol w:w="2154"/>
        <w:gridCol w:w="1266"/>
        <w:gridCol w:w="1530"/>
        <w:gridCol w:w="2070"/>
      </w:tblGrid>
      <w:tr w:rsidR="00C655D3" w:rsidRPr="001045CE" w:rsidTr="00D045AF">
        <w:trPr>
          <w:trHeight w:val="386"/>
        </w:trPr>
        <w:tc>
          <w:tcPr>
            <w:tcW w:w="2154" w:type="dxa"/>
          </w:tcPr>
          <w:p w:rsidR="00C655D3" w:rsidRPr="00D045AF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D045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Cancer</w:t>
            </w:r>
          </w:p>
        </w:tc>
        <w:tc>
          <w:tcPr>
            <w:tcW w:w="1266" w:type="dxa"/>
          </w:tcPr>
          <w:p w:rsidR="00C655D3" w:rsidRPr="00D045AF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D045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Male </w:t>
            </w:r>
          </w:p>
        </w:tc>
        <w:tc>
          <w:tcPr>
            <w:tcW w:w="1530" w:type="dxa"/>
          </w:tcPr>
          <w:p w:rsidR="00C655D3" w:rsidRPr="00D045AF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D045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2070" w:type="dxa"/>
          </w:tcPr>
          <w:p w:rsidR="00C655D3" w:rsidRPr="00D045AF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D045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Total Number</w:t>
            </w:r>
            <w:r w:rsidR="00D045AF" w:rsidRPr="00D045A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   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Head and Neck Cancer</w:t>
            </w:r>
          </w:p>
        </w:tc>
        <w:tc>
          <w:tcPr>
            <w:tcW w:w="1266" w:type="dxa"/>
          </w:tcPr>
          <w:p w:rsidR="00C655D3" w:rsidRPr="00FA2D8B" w:rsidRDefault="001C38ED" w:rsidP="0097773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147(14.67%)</w:t>
            </w:r>
          </w:p>
        </w:tc>
        <w:tc>
          <w:tcPr>
            <w:tcW w:w="1530" w:type="dxa"/>
          </w:tcPr>
          <w:p w:rsidR="00C655D3" w:rsidRPr="00FA2D8B" w:rsidRDefault="001C38ED" w:rsidP="0097773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59 (5.88%)</w:t>
            </w:r>
          </w:p>
        </w:tc>
        <w:tc>
          <w:tcPr>
            <w:tcW w:w="2070" w:type="dxa"/>
          </w:tcPr>
          <w:p w:rsidR="00C655D3" w:rsidRPr="00FA2D8B" w:rsidRDefault="001C38ED" w:rsidP="0097773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206 (20.55)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Ca GB</w:t>
            </w:r>
          </w:p>
        </w:tc>
        <w:tc>
          <w:tcPr>
            <w:tcW w:w="1266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69</w:t>
            </w:r>
            <w:r w:rsidR="00B011E5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(6.88%)</w:t>
            </w:r>
          </w:p>
        </w:tc>
        <w:tc>
          <w:tcPr>
            <w:tcW w:w="153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93</w:t>
            </w:r>
            <w:r w:rsidR="00B011E5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(9.28%)</w:t>
            </w:r>
          </w:p>
        </w:tc>
        <w:tc>
          <w:tcPr>
            <w:tcW w:w="207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162 (16.16%)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Ca oesophagus</w:t>
            </w:r>
          </w:p>
        </w:tc>
        <w:tc>
          <w:tcPr>
            <w:tcW w:w="1266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8</w:t>
            </w:r>
            <w:r w:rsidR="00C655D3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</w:t>
            </w:r>
            <w:r w:rsidR="00B011E5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(8.28%)</w:t>
            </w:r>
          </w:p>
        </w:tc>
        <w:tc>
          <w:tcPr>
            <w:tcW w:w="1530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</w:t>
            </w:r>
            <w:r w:rsidR="00C655D3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9</w:t>
            </w:r>
            <w:r w:rsidR="00B011E5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(48.9%)</w:t>
            </w:r>
          </w:p>
        </w:tc>
        <w:tc>
          <w:tcPr>
            <w:tcW w:w="207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132 (13.17%)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Ca Lung</w:t>
            </w:r>
          </w:p>
        </w:tc>
        <w:tc>
          <w:tcPr>
            <w:tcW w:w="1266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59</w:t>
            </w:r>
            <w:r w:rsidR="00B011E5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(5.88%)</w:t>
            </w:r>
          </w:p>
        </w:tc>
        <w:tc>
          <w:tcPr>
            <w:tcW w:w="1530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43</w:t>
            </w:r>
            <w:r w:rsidR="00B011E5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(4.29%)</w:t>
            </w:r>
          </w:p>
        </w:tc>
        <w:tc>
          <w:tcPr>
            <w:tcW w:w="207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102 (10.17%)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Ca stomach</w:t>
            </w:r>
          </w:p>
        </w:tc>
        <w:tc>
          <w:tcPr>
            <w:tcW w:w="1266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37</w:t>
            </w:r>
            <w:r w:rsidR="00B011E5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(3.69%)</w:t>
            </w:r>
          </w:p>
        </w:tc>
        <w:tc>
          <w:tcPr>
            <w:tcW w:w="1530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30</w:t>
            </w:r>
            <w:r w:rsidR="00503491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(2.99%)</w:t>
            </w:r>
          </w:p>
        </w:tc>
        <w:tc>
          <w:tcPr>
            <w:tcW w:w="207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67 (6.68%)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Ca Breast</w:t>
            </w:r>
          </w:p>
        </w:tc>
        <w:tc>
          <w:tcPr>
            <w:tcW w:w="1266" w:type="dxa"/>
          </w:tcPr>
          <w:p w:rsidR="00C655D3" w:rsidRPr="00FA2D8B" w:rsidRDefault="001C38ED" w:rsidP="001C38E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 (4.95%)</w:t>
            </w:r>
          </w:p>
        </w:tc>
        <w:tc>
          <w:tcPr>
            <w:tcW w:w="1530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97 (95.05%)</w:t>
            </w:r>
          </w:p>
        </w:tc>
        <w:tc>
          <w:tcPr>
            <w:tcW w:w="2070" w:type="dxa"/>
          </w:tcPr>
          <w:p w:rsidR="00C655D3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101 (10.07%)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Gynecological</w:t>
            </w:r>
            <w:proofErr w:type="spellEnd"/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malignancy</w:t>
            </w:r>
          </w:p>
        </w:tc>
        <w:tc>
          <w:tcPr>
            <w:tcW w:w="1266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-</w:t>
            </w:r>
          </w:p>
        </w:tc>
        <w:tc>
          <w:tcPr>
            <w:tcW w:w="153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95</w:t>
            </w:r>
            <w:r w:rsidR="00510FC2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(9.48%)</w:t>
            </w:r>
          </w:p>
        </w:tc>
        <w:tc>
          <w:tcPr>
            <w:tcW w:w="207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95 (9.48%)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CRC</w:t>
            </w:r>
          </w:p>
        </w:tc>
        <w:tc>
          <w:tcPr>
            <w:tcW w:w="1266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25</w:t>
            </w:r>
            <w:r w:rsidR="00503491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(2.49%)</w:t>
            </w:r>
          </w:p>
        </w:tc>
        <w:tc>
          <w:tcPr>
            <w:tcW w:w="153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19</w:t>
            </w:r>
            <w:r w:rsidR="00503491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(1.9%)</w:t>
            </w:r>
          </w:p>
        </w:tc>
        <w:tc>
          <w:tcPr>
            <w:tcW w:w="207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44 (4.39%)</w:t>
            </w:r>
          </w:p>
        </w:tc>
      </w:tr>
      <w:tr w:rsidR="00C655D3" w:rsidRPr="001045CE" w:rsidTr="00FA2D8B">
        <w:tc>
          <w:tcPr>
            <w:tcW w:w="2154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Others</w:t>
            </w:r>
          </w:p>
        </w:tc>
        <w:tc>
          <w:tcPr>
            <w:tcW w:w="1266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48</w:t>
            </w:r>
            <w:r w:rsidR="00503491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(4.79%)</w:t>
            </w:r>
          </w:p>
        </w:tc>
        <w:tc>
          <w:tcPr>
            <w:tcW w:w="153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45</w:t>
            </w:r>
            <w:r w:rsidR="00503491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(4.49%)</w:t>
            </w:r>
          </w:p>
        </w:tc>
        <w:tc>
          <w:tcPr>
            <w:tcW w:w="2070" w:type="dxa"/>
          </w:tcPr>
          <w:p w:rsidR="00C655D3" w:rsidRPr="00FA2D8B" w:rsidRDefault="00C655D3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93 (9.28%)</w:t>
            </w:r>
          </w:p>
        </w:tc>
      </w:tr>
      <w:tr w:rsidR="00510FC2" w:rsidRPr="001045CE" w:rsidTr="00FA2D8B">
        <w:tc>
          <w:tcPr>
            <w:tcW w:w="2154" w:type="dxa"/>
          </w:tcPr>
          <w:p w:rsidR="00510FC2" w:rsidRPr="00FA2D8B" w:rsidRDefault="00510FC2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266" w:type="dxa"/>
          </w:tcPr>
          <w:p w:rsidR="00510FC2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472</w:t>
            </w:r>
            <w:r w:rsidR="00503491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(47.11%)</w:t>
            </w:r>
          </w:p>
        </w:tc>
        <w:tc>
          <w:tcPr>
            <w:tcW w:w="1530" w:type="dxa"/>
          </w:tcPr>
          <w:p w:rsidR="00510FC2" w:rsidRPr="00FA2D8B" w:rsidRDefault="001C38ED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530</w:t>
            </w:r>
            <w:r w:rsidR="00503491"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(52.89%)</w:t>
            </w:r>
          </w:p>
        </w:tc>
        <w:tc>
          <w:tcPr>
            <w:tcW w:w="2070" w:type="dxa"/>
          </w:tcPr>
          <w:p w:rsidR="00510FC2" w:rsidRPr="00FA2D8B" w:rsidRDefault="00510FC2" w:rsidP="002757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A2D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1002 (100%)</w:t>
            </w:r>
          </w:p>
        </w:tc>
      </w:tr>
    </w:tbl>
    <w:p w:rsidR="00C92EEB" w:rsidRDefault="00C92EEB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</w:p>
    <w:p w:rsidR="00FB028D" w:rsidRPr="00FA2D8B" w:rsidRDefault="001A66FF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Overall p</w:t>
      </w:r>
      <w:r w:rsidR="009E78F1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ain was the most common symptom</w:t>
      </w:r>
      <w:r w:rsidR="00A7034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(82.14%)</w:t>
      </w:r>
      <w:r w:rsidR="009E78F1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324FB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for which patients attended pain and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palliative care department followed by anorexia</w:t>
      </w:r>
      <w:r w:rsidR="00A7034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(73.25%)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r w:rsidR="00A7034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generalized weakness (66.67), weight loss (56.59%), </w:t>
      </w:r>
      <w:r w:rsidR="00D66688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dysphasia</w:t>
      </w:r>
      <w:r w:rsidR="00A7034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(43.11%)</w:t>
      </w:r>
      <w:r w:rsidR="00D66688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, nausea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and vomiting</w:t>
      </w:r>
      <w:r w:rsidR="00A7034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(40.11%)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and others as shown in the figure 1.</w:t>
      </w:r>
      <w:r w:rsidR="00A7034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Pain was the most common symptom in patients having skeletal metastasis than due to other causes.</w:t>
      </w:r>
    </w:p>
    <w:p w:rsidR="009F0FAC" w:rsidRPr="001045CE" w:rsidRDefault="009F0FAC" w:rsidP="002757C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6340DC" w:rsidRPr="001045CE" w:rsidRDefault="006340DC" w:rsidP="00D66688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1045CE" w:rsidRPr="001045CE" w:rsidRDefault="001B223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1045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ab/>
      </w:r>
    </w:p>
    <w:p w:rsidR="00FA2D8B" w:rsidRDefault="00FA2D8B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  <w:r w:rsidRPr="001045C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225778</wp:posOffset>
            </wp:positionH>
            <wp:positionV relativeFrom="paragraph">
              <wp:posOffset>116417</wp:posOffset>
            </wp:positionV>
            <wp:extent cx="4191705" cy="3036711"/>
            <wp:effectExtent l="19050" t="0" r="18345" b="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Pr="001045CE" w:rsidRDefault="001045CE" w:rsidP="001A66FF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GB"/>
        </w:rPr>
      </w:pPr>
    </w:p>
    <w:p w:rsidR="001045CE" w:rsidRDefault="001B223E" w:rsidP="00FA2D8B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Figure</w:t>
      </w:r>
      <w:r w:rsidR="001A66F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1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: </w:t>
      </w:r>
      <w:proofErr w:type="spellStart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Symptomatology</w:t>
      </w:r>
      <w:proofErr w:type="spellEnd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of patients attending pain and palliative department</w:t>
      </w:r>
    </w:p>
    <w:p w:rsidR="00FA2D8B" w:rsidRPr="00FA2D8B" w:rsidRDefault="00FA2D8B" w:rsidP="00FA2D8B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</w:p>
    <w:p w:rsidR="001A66FF" w:rsidRPr="00FA2D8B" w:rsidRDefault="001A66FF" w:rsidP="00D66688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ind w:right="9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Patient with metastatic disease i.e. stage IV came for palliation of their symptoms in highest percentage followed by patient with locally advanced disease i.e. stage III. Patients with early disease </w:t>
      </w:r>
      <w:r w:rsidR="00352834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i.e. stage </w:t>
      </w:r>
      <w:proofErr w:type="gramStart"/>
      <w:r w:rsidR="00352834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</w:t>
      </w:r>
      <w:proofErr w:type="gramEnd"/>
      <w:r w:rsidR="00352834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and stage II usually have their symptoms in well manageable stat</w:t>
      </w:r>
      <w:r w:rsidR="00D66688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e so attended to us in least</w:t>
      </w:r>
      <w:r w:rsidR="00352834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percentage. </w:t>
      </w:r>
    </w:p>
    <w:p w:rsidR="001045CE" w:rsidRPr="001045CE" w:rsidRDefault="001045CE" w:rsidP="00D66688">
      <w:pPr>
        <w:widowControl w:val="0"/>
        <w:tabs>
          <w:tab w:val="left" w:pos="1858"/>
        </w:tabs>
        <w:autoSpaceDE w:val="0"/>
        <w:autoSpaceDN w:val="0"/>
        <w:adjustRightInd w:val="0"/>
        <w:spacing w:before="120" w:after="120" w:line="240" w:lineRule="auto"/>
        <w:ind w:right="99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</w:p>
    <w:p w:rsidR="00FA2D8B" w:rsidRDefault="001045CE" w:rsidP="00FA2D8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1045CE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4160709" cy="1943649"/>
            <wp:effectExtent l="19050" t="0" r="11241" b="0"/>
            <wp:docPr id="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66FF" w:rsidRPr="00FA2D8B" w:rsidRDefault="00FA2D8B" w:rsidP="00FA2D8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ab/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Figure</w:t>
      </w:r>
      <w:r w:rsidR="001A66FF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2: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66FF" w:rsidRPr="00FA2D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Stage-wise referral to pain &amp; palliative care OPD</w:t>
      </w:r>
    </w:p>
    <w:p w:rsidR="001045CE" w:rsidRPr="001045CE" w:rsidRDefault="001045CE" w:rsidP="0091163C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1163C" w:rsidRPr="00FA2D8B" w:rsidRDefault="00352834" w:rsidP="00B067BA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D8B">
        <w:rPr>
          <w:rFonts w:ascii="Times New Roman" w:hAnsi="Times New Roman" w:cs="Times New Roman"/>
          <w:sz w:val="20"/>
          <w:szCs w:val="20"/>
        </w:rPr>
        <w:t>Skeleton</w:t>
      </w:r>
      <w:r w:rsidR="00AF76F3" w:rsidRPr="00FA2D8B">
        <w:rPr>
          <w:rFonts w:ascii="Times New Roman" w:hAnsi="Times New Roman" w:cs="Times New Roman"/>
          <w:sz w:val="20"/>
          <w:szCs w:val="20"/>
        </w:rPr>
        <w:t xml:space="preserve"> (49.7%)</w:t>
      </w:r>
      <w:r w:rsidRPr="00FA2D8B">
        <w:rPr>
          <w:rFonts w:ascii="Times New Roman" w:hAnsi="Times New Roman" w:cs="Times New Roman"/>
          <w:sz w:val="20"/>
          <w:szCs w:val="20"/>
        </w:rPr>
        <w:t xml:space="preserve"> was the most common site of metastasis in the patients followed by </w:t>
      </w:r>
      <w:r w:rsidR="00AF76F3" w:rsidRPr="00FA2D8B">
        <w:rPr>
          <w:rFonts w:ascii="Times New Roman" w:hAnsi="Times New Roman" w:cs="Times New Roman"/>
          <w:sz w:val="20"/>
          <w:szCs w:val="20"/>
        </w:rPr>
        <w:t>lung (23.98%) and liver (17.16%)</w:t>
      </w:r>
      <w:r w:rsidRPr="00FA2D8B">
        <w:rPr>
          <w:rFonts w:ascii="Times New Roman" w:hAnsi="Times New Roman" w:cs="Times New Roman"/>
          <w:sz w:val="20"/>
          <w:szCs w:val="20"/>
        </w:rPr>
        <w:t>.</w:t>
      </w:r>
      <w:r w:rsidR="00AF76F3" w:rsidRPr="00FA2D8B">
        <w:rPr>
          <w:rFonts w:ascii="Times New Roman" w:hAnsi="Times New Roman" w:cs="Times New Roman"/>
          <w:sz w:val="20"/>
          <w:szCs w:val="20"/>
        </w:rPr>
        <w:t xml:space="preserve"> </w:t>
      </w:r>
      <w:r w:rsidR="00707F1E" w:rsidRPr="00FA2D8B">
        <w:rPr>
          <w:rFonts w:ascii="Times New Roman" w:hAnsi="Times New Roman" w:cs="Times New Roman"/>
          <w:sz w:val="20"/>
          <w:szCs w:val="20"/>
        </w:rPr>
        <w:t xml:space="preserve">Axial skeleton was the most common site of metastasis than </w:t>
      </w:r>
      <w:proofErr w:type="spellStart"/>
      <w:r w:rsidR="00707F1E" w:rsidRPr="00FA2D8B">
        <w:rPr>
          <w:rFonts w:ascii="Times New Roman" w:hAnsi="Times New Roman" w:cs="Times New Roman"/>
          <w:sz w:val="20"/>
          <w:szCs w:val="20"/>
        </w:rPr>
        <w:t>appendicular</w:t>
      </w:r>
      <w:proofErr w:type="spellEnd"/>
      <w:r w:rsidR="00707F1E" w:rsidRPr="00FA2D8B">
        <w:rPr>
          <w:rFonts w:ascii="Times New Roman" w:hAnsi="Times New Roman" w:cs="Times New Roman"/>
          <w:sz w:val="20"/>
          <w:szCs w:val="20"/>
        </w:rPr>
        <w:t xml:space="preserve"> skeleton. </w:t>
      </w:r>
      <w:r w:rsidR="00AF76F3" w:rsidRPr="00FA2D8B">
        <w:rPr>
          <w:rFonts w:ascii="Times New Roman" w:hAnsi="Times New Roman" w:cs="Times New Roman"/>
          <w:sz w:val="20"/>
          <w:szCs w:val="20"/>
        </w:rPr>
        <w:t>Pain was the most common symptom in patient with skeletal metastasis.</w:t>
      </w:r>
      <w:r w:rsidR="00707F1E" w:rsidRPr="00FA2D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57CD" w:rsidRPr="001045CE" w:rsidRDefault="0091163C" w:rsidP="00AF76F3">
      <w:pPr>
        <w:widowControl w:val="0"/>
        <w:autoSpaceDE w:val="0"/>
        <w:autoSpaceDN w:val="0"/>
        <w:adjustRightInd w:val="0"/>
        <w:spacing w:before="120" w:after="120" w:line="240" w:lineRule="auto"/>
        <w:ind w:left="180" w:firstLine="990"/>
        <w:jc w:val="both"/>
        <w:rPr>
          <w:rFonts w:ascii="Times New Roman" w:hAnsi="Times New Roman" w:cs="Times New Roman"/>
          <w:sz w:val="20"/>
          <w:szCs w:val="20"/>
        </w:rPr>
      </w:pPr>
      <w:r w:rsidRPr="001045C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9097D" w:rsidRPr="001045C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4159610" cy="2242751"/>
            <wp:effectExtent l="19050" t="0" r="12340" b="5149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7CD" w:rsidRPr="00B067BA" w:rsidRDefault="002757CD" w:rsidP="00B067BA">
      <w:pPr>
        <w:shd w:val="clear" w:color="auto" w:fill="FFFFFF"/>
        <w:spacing w:after="0" w:line="0" w:lineRule="atLeast"/>
        <w:contextualSpacing/>
        <w:jc w:val="center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045C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Figure </w:t>
      </w:r>
      <w:r w:rsidR="001B223E" w:rsidRPr="001045C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3</w:t>
      </w:r>
      <w:r w:rsidRPr="001045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Sites of metastasis</w:t>
      </w:r>
    </w:p>
    <w:p w:rsidR="00B067BA" w:rsidRDefault="00B067BA" w:rsidP="002757CD">
      <w:pPr>
        <w:shd w:val="clear" w:color="auto" w:fill="FFFFFF"/>
        <w:spacing w:before="144" w:after="144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757CD" w:rsidRPr="001045CE" w:rsidRDefault="002757CD" w:rsidP="002757CD">
      <w:pPr>
        <w:shd w:val="clear" w:color="auto" w:fill="FFFFFF"/>
        <w:spacing w:before="144" w:after="144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45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DISCUSSION</w:t>
      </w:r>
      <w:r w:rsidR="008269F2" w:rsidRPr="001045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CB22A3" w:rsidRPr="001045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20392" w:rsidRPr="00FA2D8B" w:rsidRDefault="00882420" w:rsidP="002757CD">
      <w:pPr>
        <w:shd w:val="clear" w:color="auto" w:fill="FFFFFF"/>
        <w:spacing w:before="144" w:after="144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Palliative </w:t>
      </w:r>
      <w:proofErr w:type="gramStart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care being the integral part of cancer care need</w:t>
      </w:r>
      <w:proofErr w:type="gramEnd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provide throughout the continuum of care not just as a end of life care. Early integration of palliative care with standard oncologic care </w:t>
      </w:r>
      <w:r w:rsidR="0076214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results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clinically meaningful improvement in quality of life.</w:t>
      </w:r>
      <w:r w:rsidR="0076214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At State Cancer Institute, </w:t>
      </w:r>
      <w:proofErr w:type="spellStart"/>
      <w:r w:rsidR="0076214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Guwahati</w:t>
      </w:r>
      <w:proofErr w:type="spellEnd"/>
      <w:r w:rsidR="0076214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we are providing comprehensive palliative care to patients suffering from difference cancer at difference stages of their illness thereby generating our own data regarding palliative care in this part of country.  </w:t>
      </w:r>
    </w:p>
    <w:p w:rsidR="00F96043" w:rsidRPr="00FA2D8B" w:rsidRDefault="00F96043" w:rsidP="002757CD">
      <w:pPr>
        <w:shd w:val="clear" w:color="auto" w:fill="FFFFFF"/>
        <w:spacing w:before="144" w:after="144" w:line="240" w:lineRule="auto"/>
        <w:jc w:val="both"/>
        <w:outlineLvl w:val="4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 w:rsidRPr="00FA2D8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Jivarajani</w:t>
      </w:r>
      <w:proofErr w:type="spellEnd"/>
      <w:r w:rsidRPr="00FA2D8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PJ</w:t>
      </w:r>
      <w:r w:rsidR="00BC2BF1" w:rsidRPr="00FA2D8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>8</w:t>
      </w:r>
      <w:r w:rsidR="00F324FB" w:rsidRPr="00FA2D8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et al in their study found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that maximum number of cases were </w:t>
      </w:r>
      <w:r w:rsidR="00122F8A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 the 35-64 years of age group.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Proportion of cancer cases was 62.59% and 71.20% in males and females, respectively, in this age group. </w:t>
      </w:r>
      <w:r w:rsidR="00D02C1C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There was an overall female preponderance in age group 35-64 years, but male preponderance was found in age above 65 years.</w:t>
      </w:r>
      <w:r w:rsidR="00122F8A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These finding were similar t</w:t>
      </w:r>
      <w:r w:rsidR="00D02C1C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o </w:t>
      </w:r>
      <w:r w:rsidR="00E72B07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the results of </w:t>
      </w:r>
      <w:r w:rsidR="00D02C1C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our study.</w:t>
      </w:r>
    </w:p>
    <w:p w:rsidR="008F1F62" w:rsidRPr="00FA2D8B" w:rsidRDefault="00E72B07" w:rsidP="002757CD">
      <w:pPr>
        <w:shd w:val="clear" w:color="auto" w:fill="FFFFFF"/>
        <w:spacing w:before="144" w:after="144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Jivarajani</w:t>
      </w:r>
      <w:proofErr w:type="spellEnd"/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PJ</w:t>
      </w:r>
      <w:r w:rsidR="00BC2BF1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8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et al in their study found that the</w:t>
      </w:r>
      <w:r w:rsidR="00D02C1C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leading sites of cancer</w:t>
      </w:r>
      <w:r w:rsidR="008F1F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 males were mouth (14.56%) followed by tongue (13.17%), lung (8.37%), esophagus (6.26%), </w:t>
      </w:r>
      <w:proofErr w:type="spellStart"/>
      <w:r w:rsidR="008F1F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hypopharynx</w:t>
      </w:r>
      <w:proofErr w:type="spellEnd"/>
      <w:r w:rsidR="008F1F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(4.22%), larynx (3.78%), tonsil (2.62%), and prostate (2.47%)</w:t>
      </w:r>
      <w:r w:rsidR="00CA5429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i.e. head and neck cancer were most common in male</w:t>
      </w:r>
      <w:r w:rsidR="008F1F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The leading sites among females were breast (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24.85%) followed by cervix </w:t>
      </w:r>
      <w:r w:rsidR="008F1F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(15.11%), ovary (5.38%), 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head and neck cancer</w:t>
      </w:r>
      <w:r w:rsidR="008F1F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esophageal cancer</w:t>
      </w:r>
      <w:r w:rsidR="002A2AC0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(3.45%),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lung (2.03%)</w:t>
      </w:r>
      <w:r w:rsidR="008F1F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CA5429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These finding were similar to the results of the present study.</w:t>
      </w:r>
    </w:p>
    <w:p w:rsidR="002757CD" w:rsidRPr="00FA2D8B" w:rsidRDefault="00CA5429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 the present study we have found that pain was the most common symptom followed by anorexia, dysphasia</w:t>
      </w:r>
      <w:r w:rsidR="00A12B62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weakness and sleeplessness. 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</w:t>
      </w:r>
      <w:r w:rsidR="00D5145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se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fi</w:t>
      </w:r>
      <w:r w:rsidR="00D5145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ndings were similar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with a study done by </w:t>
      </w:r>
      <w:proofErr w:type="spellStart"/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Naveh</w:t>
      </w:r>
      <w:proofErr w:type="spellEnd"/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3A690E" w:rsidRPr="00FA2D8B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 who reported that 66% of the patients had severe pain and </w:t>
      </w:r>
      <w:proofErr w:type="spellStart"/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Iyer</w:t>
      </w:r>
      <w:proofErr w:type="spellEnd"/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3A690E" w:rsidRPr="00FA2D8B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who found that more than 90% of the </w:t>
      </w:r>
      <w:r w:rsidR="00D5145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patients expressed pain, weakness and anorexia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BC2BF1" w:rsidRPr="00FA2D8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9,10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proofErr w:type="spellStart"/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Nilmana</w:t>
      </w:r>
      <w:proofErr w:type="spellEnd"/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3A690E" w:rsidRPr="00FA2D8B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 and Harding </w:t>
      </w:r>
      <w:r w:rsidR="003A690E" w:rsidRPr="00FA2D8B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 reported in their study that most of the cancer patients </w:t>
      </w:r>
      <w:r w:rsidR="00D5145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had pain (87.5%), weakness</w:t>
      </w:r>
      <w:r w:rsidR="003A690E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(77.7%)</w:t>
      </w:r>
      <w:r w:rsidR="004C171C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BC2BF1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11,12</w:t>
      </w:r>
      <w:r w:rsidR="00096C9D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96C9D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Jivarajani</w:t>
      </w:r>
      <w:proofErr w:type="spellEnd"/>
      <w:r w:rsidR="00096C9D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PJ et al in their study also found that the majority of the patients studied had pain (77%), tiredness (96.5%), disturbed sleep (96.4%), weight loss (63.3%), and irritability (85.7%).</w:t>
      </w:r>
      <w:r w:rsidR="00BC2BF1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8</w:t>
      </w:r>
      <w:r w:rsidR="00BC2BF1" w:rsidRPr="00FA2D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</w:p>
    <w:p w:rsidR="00B067BA" w:rsidRDefault="00B067BA" w:rsidP="002757CD">
      <w:pPr>
        <w:pStyle w:val="ListParagraph"/>
        <w:shd w:val="clear" w:color="auto" w:fill="FFFFFF"/>
        <w:spacing w:before="120" w:after="120" w:line="240" w:lineRule="auto"/>
        <w:ind w:left="0"/>
        <w:contextualSpacing w:val="0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757CD" w:rsidRPr="00B067BA" w:rsidRDefault="002757CD" w:rsidP="002757CD">
      <w:pPr>
        <w:pStyle w:val="ListParagraph"/>
        <w:shd w:val="clear" w:color="auto" w:fill="FFFFFF"/>
        <w:spacing w:before="120" w:after="120" w:line="240" w:lineRule="auto"/>
        <w:ind w:left="0"/>
        <w:contextualSpacing w:val="0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067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CONCLUSION</w:t>
      </w:r>
    </w:p>
    <w:p w:rsidR="002757CD" w:rsidRPr="00FA2D8B" w:rsidRDefault="00F83421" w:rsidP="002757CD">
      <w:pPr>
        <w:pStyle w:val="ListParagraph"/>
        <w:shd w:val="clear" w:color="auto" w:fill="FFFFFF"/>
        <w:spacing w:after="0" w:line="240" w:lineRule="exact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This study revealed that cancer patients experience many symptoms which affect their quality of life. The management of </w:t>
      </w:r>
      <w:r w:rsidR="001B122E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ancer pain is a critical issue in the care patients with cancer and all professionals must ensure that patients receive early and timely referral</w:t>
      </w:r>
      <w:r w:rsidR="00A05A07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palliative care at initial stage of their disease.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q</w:t>
      </w:r>
      <w:r w:rsidR="00A05A07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uite large number of patients in our study presented to palliative care at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A05A07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5A07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advanced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stage of dis</w:t>
      </w:r>
      <w:r w:rsidR="00A05A07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ease when symptoms become severe, debilitating, multiple and difficult to manage which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indicating that there was lack of awareness of the </w:t>
      </w:r>
      <w:r w:rsidR="00A05A07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palliative care in both medical professionals </w:t>
      </w:r>
      <w:r w:rsidR="001B122E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general population</w:t>
      </w:r>
      <w:r w:rsidR="001B122E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so more and more efforts need to be put in creating awareness, training in palliative care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2757CD" w:rsidRPr="00FA2D8B" w:rsidRDefault="002757CD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757CD" w:rsidRPr="00FA2D8B" w:rsidRDefault="002757CD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Limitation of the study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A limitation i</w:t>
      </w:r>
      <w:r w:rsidR="0004191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 our study is that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duration and study population was less </w:t>
      </w:r>
      <w:r w:rsidRPr="00FA2D8B">
        <w:rPr>
          <w:rFonts w:ascii="Times New Roman" w:hAnsi="Times New Roman" w:cs="Times New Roman"/>
          <w:sz w:val="20"/>
          <w:szCs w:val="20"/>
        </w:rPr>
        <w:t>so we advocate for further studies with a large number of patients over a larger duration of period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2757CD" w:rsidRPr="00FA2D8B" w:rsidRDefault="002757CD" w:rsidP="002757CD">
      <w:pPr>
        <w:pStyle w:val="ListParagraph"/>
        <w:shd w:val="clear" w:color="auto" w:fill="FFFFFF"/>
        <w:spacing w:before="144" w:after="144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Acknowledgements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We thank our patients who were included in the study and all the faculties and staffs of State Cancer Institute, </w:t>
      </w:r>
      <w:proofErr w:type="spellStart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Guwahati</w:t>
      </w:r>
      <w:proofErr w:type="spellEnd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their support during the study.</w:t>
      </w:r>
    </w:p>
    <w:p w:rsidR="002757CD" w:rsidRPr="00FA2D8B" w:rsidRDefault="002757CD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Conflict of interest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None.</w:t>
      </w:r>
    </w:p>
    <w:p w:rsidR="002757CD" w:rsidRPr="00FA2D8B" w:rsidRDefault="00352834" w:rsidP="002757CD">
      <w:pPr>
        <w:pStyle w:val="ListParagraph"/>
        <w:shd w:val="clear" w:color="auto" w:fill="FFFFFF"/>
        <w:spacing w:before="144" w:after="144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C</w:t>
      </w:r>
      <w:r w:rsidR="002757CD"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ontributions</w:t>
      </w:r>
      <w:r w:rsidRPr="00FA2D8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of authors</w:t>
      </w:r>
      <w:r w:rsidR="002757CD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We declare that the study was done by us and all liabilities pertaining to claims relating to the content of this article will be borne by us. </w:t>
      </w:r>
    </w:p>
    <w:p w:rsidR="002757CD" w:rsidRPr="00FA2D8B" w:rsidRDefault="00FC4685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Conception and design:</w:t>
      </w:r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Dr. </w:t>
      </w:r>
      <w:proofErr w:type="spellStart"/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Shambhu</w:t>
      </w:r>
      <w:proofErr w:type="spellEnd"/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Das, Dr. </w:t>
      </w:r>
      <w:proofErr w:type="spellStart"/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Arun</w:t>
      </w:r>
      <w:proofErr w:type="spellEnd"/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Deka</w:t>
      </w:r>
      <w:proofErr w:type="spellEnd"/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2757CD" w:rsidRPr="00FA2D8B" w:rsidRDefault="00FC4685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Collection of data: Dr.</w:t>
      </w:r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Shambhu</w:t>
      </w:r>
      <w:proofErr w:type="spellEnd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Das, Dr. </w:t>
      </w:r>
      <w:proofErr w:type="spellStart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Dipankar</w:t>
      </w:r>
      <w:proofErr w:type="spellEnd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Daku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</w:t>
      </w:r>
      <w:proofErr w:type="spellEnd"/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Pranami</w:t>
      </w:r>
      <w:proofErr w:type="spellEnd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arma</w:t>
      </w:r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</w:t>
      </w:r>
      <w:proofErr w:type="spellEnd"/>
      <w:r w:rsidR="00D556C3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D556C3" w:rsidRPr="00FA2D8B">
        <w:rPr>
          <w:rFonts w:ascii="Times New Roman" w:hAnsi="Times New Roman" w:cs="Times New Roman"/>
          <w:sz w:val="20"/>
          <w:szCs w:val="20"/>
        </w:rPr>
        <w:t>Soibam</w:t>
      </w:r>
      <w:proofErr w:type="spellEnd"/>
      <w:r w:rsidR="00D556C3" w:rsidRPr="00FA2D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56C3" w:rsidRPr="00FA2D8B">
        <w:rPr>
          <w:rFonts w:ascii="Times New Roman" w:hAnsi="Times New Roman" w:cs="Times New Roman"/>
          <w:sz w:val="20"/>
          <w:szCs w:val="20"/>
        </w:rPr>
        <w:t>Gordhoni</w:t>
      </w:r>
      <w:proofErr w:type="spellEnd"/>
      <w:r w:rsidR="00D556C3" w:rsidRPr="00FA2D8B">
        <w:rPr>
          <w:rFonts w:ascii="Times New Roman" w:hAnsi="Times New Roman" w:cs="Times New Roman"/>
          <w:sz w:val="20"/>
          <w:szCs w:val="20"/>
        </w:rPr>
        <w:t xml:space="preserve"> Devi.</w:t>
      </w:r>
    </w:p>
    <w:p w:rsidR="002757CD" w:rsidRPr="00FA2D8B" w:rsidRDefault="002757CD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Data analysis and interpretation</w:t>
      </w:r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Dr. </w:t>
      </w:r>
      <w:proofErr w:type="spellStart"/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Shambhu</w:t>
      </w:r>
      <w:proofErr w:type="spellEnd"/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Das</w:t>
      </w:r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Dr. Hitesh </w:t>
      </w:r>
      <w:proofErr w:type="spellStart"/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Deka</w:t>
      </w:r>
      <w:proofErr w:type="spellEnd"/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2757CD" w:rsidRPr="00FA2D8B" w:rsidRDefault="002757CD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Manuscript writing and final approval of manuscript: </w:t>
      </w:r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Dr. </w:t>
      </w:r>
      <w:proofErr w:type="spellStart"/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Arun</w:t>
      </w:r>
      <w:proofErr w:type="spellEnd"/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Deka</w:t>
      </w:r>
      <w:proofErr w:type="spellEnd"/>
      <w:r w:rsidR="000A116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Dr. Hitesh </w:t>
      </w:r>
      <w:proofErr w:type="spellStart"/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Deka</w:t>
      </w:r>
      <w:proofErr w:type="spellEnd"/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Dr. </w:t>
      </w:r>
      <w:proofErr w:type="spellStart"/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Shambhu</w:t>
      </w:r>
      <w:proofErr w:type="spellEnd"/>
      <w:r w:rsidR="00FC4685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Das</w:t>
      </w:r>
      <w:r w:rsidR="009F0FAC"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:rsidR="002757CD" w:rsidRPr="00FA2D8B" w:rsidRDefault="002757CD" w:rsidP="002757CD">
      <w:pPr>
        <w:pStyle w:val="ListParagraph"/>
        <w:shd w:val="clear" w:color="auto" w:fill="FFFFFF"/>
        <w:spacing w:before="144" w:after="144" w:line="36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A2D8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Accountable for all aspects of the work: All authors.</w:t>
      </w:r>
    </w:p>
    <w:p w:rsidR="002757CD" w:rsidRPr="001045CE" w:rsidRDefault="002757CD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757CD" w:rsidRPr="001045CE" w:rsidRDefault="002757CD" w:rsidP="002757CD">
      <w:pPr>
        <w:pStyle w:val="ListParagraph"/>
        <w:shd w:val="clear" w:color="auto" w:fill="FFFFFF"/>
        <w:spacing w:before="144" w:after="144" w:line="240" w:lineRule="auto"/>
        <w:ind w:left="0"/>
        <w:contextualSpacing w:val="0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045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REFERENCES</w:t>
      </w:r>
    </w:p>
    <w:p w:rsidR="00BC742D" w:rsidRPr="001045CE" w:rsidRDefault="00BC742D" w:rsidP="008269F2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045CE">
        <w:rPr>
          <w:rFonts w:ascii="Times New Roman" w:hAnsi="Times New Roman" w:cs="Times New Roman"/>
          <w:color w:val="565347"/>
          <w:sz w:val="16"/>
          <w:szCs w:val="16"/>
          <w:shd w:val="clear" w:color="auto" w:fill="E6E6E6"/>
        </w:rPr>
        <w:t> </w:t>
      </w:r>
      <w:hyperlink r:id="rId10" w:history="1"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 xml:space="preserve">World Health Organization. Definition of Palliative </w:t>
        </w:r>
        <w:proofErr w:type="spellStart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>Care</w:t>
        </w:r>
      </w:hyperlink>
      <w:r w:rsidRPr="001045CE">
        <w:rPr>
          <w:rFonts w:ascii="Times New Roman" w:hAnsi="Times New Roman" w:cs="Times New Roman"/>
          <w:sz w:val="16"/>
          <w:szCs w:val="16"/>
          <w:shd w:val="clear" w:color="auto" w:fill="E6E6E6"/>
        </w:rPr>
        <w:t>.</w:t>
      </w:r>
      <w:hyperlink r:id="rId11" w:history="1"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>http</w:t>
        </w:r>
        <w:proofErr w:type="spellEnd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>://</w:t>
        </w:r>
        <w:proofErr w:type="spellStart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>www.who.int</w:t>
        </w:r>
        <w:proofErr w:type="spellEnd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bdr w:val="none" w:sz="0" w:space="0" w:color="auto" w:frame="1"/>
          </w:rPr>
          <w:t>/cancer/palliative/definition/en</w:t>
        </w:r>
      </w:hyperlink>
      <w:r w:rsidRPr="001045CE">
        <w:rPr>
          <w:rFonts w:ascii="Times New Roman" w:hAnsi="Times New Roman" w:cs="Times New Roman"/>
          <w:sz w:val="16"/>
          <w:szCs w:val="16"/>
          <w:shd w:val="clear" w:color="auto" w:fill="E6E6E6"/>
        </w:rPr>
        <w:t>/</w:t>
      </w:r>
      <w:r w:rsidR="008269F2" w:rsidRPr="001045C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C742D" w:rsidRPr="001045CE" w:rsidRDefault="00BC742D" w:rsidP="008269F2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045CE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Gorman RD. Integrating Palliative Care into Primary Care. </w:t>
      </w:r>
      <w:proofErr w:type="spellStart"/>
      <w:r w:rsidRPr="001045CE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>Nurs</w:t>
      </w:r>
      <w:proofErr w:type="spellEnd"/>
      <w:r w:rsidRPr="001045CE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</w:t>
      </w:r>
      <w:proofErr w:type="spellStart"/>
      <w:r w:rsidRPr="001045CE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>Clin</w:t>
      </w:r>
      <w:proofErr w:type="spellEnd"/>
      <w:r w:rsidRPr="001045CE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North Am. 2016 Sep</w:t>
      </w:r>
      <w:proofErr w:type="gramStart"/>
      <w:r w:rsidRPr="001045CE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>;51</w:t>
      </w:r>
      <w:proofErr w:type="gramEnd"/>
      <w:r w:rsidRPr="001045CE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(3):367-79.  </w:t>
      </w:r>
    </w:p>
    <w:p w:rsidR="00BC742D" w:rsidRPr="001045CE" w:rsidRDefault="003F5673" w:rsidP="008269F2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Saunders C. In: </w:t>
      </w:r>
      <w:r w:rsidRPr="001045CE">
        <w:rPr>
          <w:rStyle w:val="ref-journal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The Management of Terminal Malignant Disease.</w:t>
      </w:r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 Saunders C, Sykes N, editors.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Hodder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and Stoughton; London, Great Britain: 1993. pp. 1–14.</w:t>
      </w:r>
    </w:p>
    <w:p w:rsidR="002031F6" w:rsidRPr="001045CE" w:rsidRDefault="002031F6" w:rsidP="008269F2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Hui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D,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Bruera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E. Integrating palliative care into the trajectory of cancer care. </w:t>
      </w:r>
      <w:r w:rsidRPr="001045CE">
        <w:rPr>
          <w:rStyle w:val="ref-journal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Nat Rev </w:t>
      </w:r>
      <w:proofErr w:type="spellStart"/>
      <w:r w:rsidRPr="001045CE">
        <w:rPr>
          <w:rStyle w:val="ref-journal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Clin</w:t>
      </w:r>
      <w:proofErr w:type="spellEnd"/>
      <w:r w:rsidRPr="001045CE">
        <w:rPr>
          <w:rStyle w:val="ref-journal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045CE">
        <w:rPr>
          <w:rStyle w:val="ref-journal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Oncol</w:t>
      </w:r>
      <w:proofErr w:type="spellEnd"/>
      <w:r w:rsidRPr="001045CE">
        <w:rPr>
          <w:rStyle w:val="ref-journal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 </w:t>
      </w:r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2016;</w:t>
      </w:r>
      <w:r w:rsidRPr="001045CE">
        <w:rPr>
          <w:rStyle w:val="ref-vol"/>
          <w:rFonts w:ascii="Times New Roman" w:hAnsi="Times New Roman" w:cs="Times New Roman"/>
          <w:sz w:val="16"/>
          <w:szCs w:val="16"/>
          <w:shd w:val="clear" w:color="auto" w:fill="FFFFFF"/>
        </w:rPr>
        <w:t>13</w:t>
      </w:r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:159–71</w:t>
      </w:r>
    </w:p>
    <w:p w:rsidR="00BC2BF1" w:rsidRPr="001045CE" w:rsidRDefault="002031F6" w:rsidP="00BC2BF1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Style w:val="element-citation"/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spellStart"/>
      <w:r w:rsidRPr="001045CE">
        <w:rPr>
          <w:rStyle w:val="element-citatio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Rajagopal</w:t>
      </w:r>
      <w:proofErr w:type="spellEnd"/>
      <w:r w:rsidRPr="001045CE">
        <w:rPr>
          <w:rStyle w:val="element-citatio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MR, </w:t>
      </w:r>
      <w:proofErr w:type="spellStart"/>
      <w:r w:rsidRPr="001045CE">
        <w:rPr>
          <w:rStyle w:val="element-citatio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Venkateswaran</w:t>
      </w:r>
      <w:proofErr w:type="spellEnd"/>
      <w:r w:rsidRPr="001045CE">
        <w:rPr>
          <w:rStyle w:val="element-citatio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C. Palliative care in India: Successes and limitations. </w:t>
      </w:r>
      <w:r w:rsidRPr="001045CE">
        <w:rPr>
          <w:rStyle w:val="ref-journal"/>
          <w:rFonts w:ascii="Times New Roman" w:hAnsi="Times New Roman" w:cs="Times New Roman"/>
          <w:sz w:val="16"/>
          <w:szCs w:val="16"/>
          <w:shd w:val="clear" w:color="auto" w:fill="FFFFFF"/>
        </w:rPr>
        <w:t xml:space="preserve">J Pain </w:t>
      </w:r>
      <w:proofErr w:type="spellStart"/>
      <w:r w:rsidRPr="001045CE">
        <w:rPr>
          <w:rStyle w:val="ref-journal"/>
          <w:rFonts w:ascii="Times New Roman" w:hAnsi="Times New Roman" w:cs="Times New Roman"/>
          <w:sz w:val="16"/>
          <w:szCs w:val="16"/>
          <w:shd w:val="clear" w:color="auto" w:fill="FFFFFF"/>
        </w:rPr>
        <w:t>Palliat</w:t>
      </w:r>
      <w:proofErr w:type="spellEnd"/>
      <w:r w:rsidRPr="001045CE">
        <w:rPr>
          <w:rStyle w:val="ref-journal"/>
          <w:rFonts w:ascii="Times New Roman" w:hAnsi="Times New Roman" w:cs="Times New Roman"/>
          <w:sz w:val="16"/>
          <w:szCs w:val="16"/>
          <w:shd w:val="clear" w:color="auto" w:fill="FFFFFF"/>
        </w:rPr>
        <w:t xml:space="preserve"> Care </w:t>
      </w:r>
      <w:proofErr w:type="spellStart"/>
      <w:r w:rsidRPr="001045CE">
        <w:rPr>
          <w:rStyle w:val="ref-journal"/>
          <w:rFonts w:ascii="Times New Roman" w:hAnsi="Times New Roman" w:cs="Times New Roman"/>
          <w:sz w:val="16"/>
          <w:szCs w:val="16"/>
          <w:shd w:val="clear" w:color="auto" w:fill="FFFFFF"/>
        </w:rPr>
        <w:t>Pharmacother</w:t>
      </w:r>
      <w:proofErr w:type="spellEnd"/>
      <w:r w:rsidRPr="001045CE">
        <w:rPr>
          <w:rStyle w:val="ref-journal"/>
          <w:rFonts w:ascii="Times New Roman" w:hAnsi="Times New Roman" w:cs="Times New Roman"/>
          <w:sz w:val="16"/>
          <w:szCs w:val="16"/>
          <w:shd w:val="clear" w:color="auto" w:fill="FFFFFF"/>
        </w:rPr>
        <w:t>. </w:t>
      </w:r>
      <w:r w:rsidRPr="001045CE">
        <w:rPr>
          <w:rStyle w:val="element-citatio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2003;</w:t>
      </w:r>
      <w:r w:rsidRPr="001045CE">
        <w:rPr>
          <w:rStyle w:val="ref-vol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17</w:t>
      </w:r>
      <w:r w:rsidRPr="001045CE">
        <w:rPr>
          <w:rStyle w:val="element-citation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:121–8</w:t>
      </w:r>
    </w:p>
    <w:p w:rsidR="00BC2BF1" w:rsidRPr="001045CE" w:rsidRDefault="00BC2BF1" w:rsidP="00BC2BF1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spellStart"/>
      <w:r w:rsidRPr="001045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Oken</w:t>
      </w:r>
      <w:proofErr w:type="spellEnd"/>
      <w:r w:rsidRPr="001045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MM, Creech RH, </w:t>
      </w:r>
      <w:proofErr w:type="spellStart"/>
      <w:r w:rsidRPr="001045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Tormey</w:t>
      </w:r>
      <w:proofErr w:type="spellEnd"/>
      <w:r w:rsidRPr="001045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DC, et al. Toxicity and response criteria of the Eastern Cooperative Oncology Group. </w:t>
      </w:r>
      <w:hyperlink r:id="rId12" w:tooltip="American journal of clinical oncology." w:history="1"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 xml:space="preserve">Am J </w:t>
        </w:r>
        <w:proofErr w:type="spellStart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Clin</w:t>
        </w:r>
        <w:proofErr w:type="spellEnd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proofErr w:type="spellStart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Oncol</w:t>
        </w:r>
        <w:proofErr w:type="spellEnd"/>
        <w:r w:rsidRPr="001045C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.</w:t>
        </w:r>
      </w:hyperlink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1982 Dec;5(6):649-55</w:t>
      </w:r>
    </w:p>
    <w:p w:rsidR="00BC2BF1" w:rsidRPr="001045CE" w:rsidRDefault="00BC2BF1" w:rsidP="008269F2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color w:val="0D0D0D" w:themeColor="text1" w:themeTint="F2"/>
          <w:sz w:val="16"/>
          <w:szCs w:val="16"/>
          <w:shd w:val="clear" w:color="auto" w:fill="FFFFFF"/>
        </w:rPr>
      </w:pPr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 xml:space="preserve">H. </w:t>
      </w:r>
      <w:proofErr w:type="spellStart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Breivik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 xml:space="preserve">, P. C. </w:t>
      </w:r>
      <w:proofErr w:type="spellStart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Borchgrevink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 xml:space="preserve">, S. M. Allen, L. A. </w:t>
      </w:r>
      <w:proofErr w:type="spellStart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Rosseland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 xml:space="preserve">, L. </w:t>
      </w:r>
      <w:proofErr w:type="spellStart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Romundstad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 xml:space="preserve">, E. K. </w:t>
      </w:r>
      <w:proofErr w:type="spellStart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Breivik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 xml:space="preserve"> Hals, G. </w:t>
      </w:r>
      <w:proofErr w:type="spellStart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Kvarstein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 xml:space="preserve">, A. </w:t>
      </w:r>
      <w:proofErr w:type="spellStart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Stubhaug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, Assessment of pain, </w:t>
      </w:r>
      <w:r w:rsidRPr="001045CE">
        <w:rPr>
          <w:rStyle w:val="Emphasis"/>
          <w:rFonts w:ascii="Times New Roman" w:hAnsi="Times New Roman" w:cs="Times New Roman"/>
          <w:color w:val="2A2A2A"/>
          <w:sz w:val="16"/>
          <w:szCs w:val="16"/>
          <w:bdr w:val="none" w:sz="0" w:space="0" w:color="auto" w:frame="1"/>
          <w:shd w:val="clear" w:color="auto" w:fill="FFFFFF"/>
        </w:rPr>
        <w:t xml:space="preserve">BJA: British Journal of </w:t>
      </w:r>
      <w:proofErr w:type="spellStart"/>
      <w:r w:rsidRPr="001045CE">
        <w:rPr>
          <w:rStyle w:val="Emphasis"/>
          <w:rFonts w:ascii="Times New Roman" w:hAnsi="Times New Roman" w:cs="Times New Roman"/>
          <w:color w:val="2A2A2A"/>
          <w:sz w:val="16"/>
          <w:szCs w:val="16"/>
          <w:bdr w:val="none" w:sz="0" w:space="0" w:color="auto" w:frame="1"/>
          <w:shd w:val="clear" w:color="auto" w:fill="FFFFFF"/>
        </w:rPr>
        <w:t>Anaesthesia</w:t>
      </w:r>
      <w:proofErr w:type="spellEnd"/>
      <w:r w:rsidRPr="001045CE">
        <w:rPr>
          <w:rFonts w:ascii="Times New Roman" w:hAnsi="Times New Roman" w:cs="Times New Roman"/>
          <w:color w:val="2A2A2A"/>
          <w:sz w:val="16"/>
          <w:szCs w:val="16"/>
          <w:shd w:val="clear" w:color="auto" w:fill="FFFFFF"/>
        </w:rPr>
        <w:t>, Volume 101, Issue 1, July 2008, Pages 17–24</w:t>
      </w:r>
    </w:p>
    <w:p w:rsidR="00BC2BF1" w:rsidRPr="001045CE" w:rsidRDefault="00BC2BF1" w:rsidP="00BC2BF1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color w:val="0D0D0D" w:themeColor="text1" w:themeTint="F2"/>
          <w:sz w:val="16"/>
          <w:szCs w:val="16"/>
          <w:shd w:val="clear" w:color="auto" w:fill="FFFFFF"/>
        </w:rPr>
      </w:pPr>
      <w:proofErr w:type="spellStart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Jivarajani</w:t>
      </w:r>
      <w:proofErr w:type="spellEnd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 xml:space="preserve"> PJ, Patel HV, </w:t>
      </w:r>
      <w:proofErr w:type="spellStart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Mecwan</w:t>
      </w:r>
      <w:proofErr w:type="spellEnd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 xml:space="preserve"> RR, </w:t>
      </w:r>
      <w:proofErr w:type="spellStart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Solanki</w:t>
      </w:r>
      <w:proofErr w:type="spellEnd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 xml:space="preserve"> JB, </w:t>
      </w:r>
      <w:proofErr w:type="spellStart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Pandya</w:t>
      </w:r>
      <w:proofErr w:type="spellEnd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 xml:space="preserve"> VB. Major sites of cancer occurrence among men and women in </w:t>
      </w:r>
      <w:proofErr w:type="spellStart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gandhinagar</w:t>
      </w:r>
      <w:proofErr w:type="spellEnd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 xml:space="preserve"> district, India. </w:t>
      </w:r>
      <w:r w:rsidRPr="001045CE">
        <w:rPr>
          <w:rFonts w:ascii="Times New Roman" w:hAnsi="Times New Roman" w:cs="Times New Roman"/>
          <w:iCs/>
          <w:color w:val="303030"/>
          <w:sz w:val="16"/>
          <w:szCs w:val="16"/>
          <w:shd w:val="clear" w:color="auto" w:fill="FFFFFF"/>
        </w:rPr>
        <w:t>Indian J Community Med</w:t>
      </w:r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. 2015</w:t>
      </w:r>
      <w:proofErr w:type="gramStart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;40</w:t>
      </w:r>
      <w:proofErr w:type="gramEnd"/>
      <w:r w:rsidRPr="001045CE">
        <w:rPr>
          <w:rFonts w:ascii="Times New Roman" w:hAnsi="Times New Roman" w:cs="Times New Roman"/>
          <w:color w:val="303030"/>
          <w:sz w:val="16"/>
          <w:szCs w:val="16"/>
          <w:shd w:val="clear" w:color="auto" w:fill="FFFFFF"/>
        </w:rPr>
        <w:t>(1):56-61.</w:t>
      </w:r>
    </w:p>
    <w:p w:rsidR="00BC2BF1" w:rsidRPr="001045CE" w:rsidRDefault="00BC2BF1" w:rsidP="00BC2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1F3F"/>
          <w:sz w:val="16"/>
          <w:szCs w:val="16"/>
        </w:rPr>
      </w:pP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lastRenderedPageBreak/>
        <w:t>Naveh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P,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Leshem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R,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Dror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YF, Musgrave CF. Pain severity, satisfaction with pain management, and patient-related barriers to pain management in patients with cancer in Israel.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Oncol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Nurs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Forum 2011</w:t>
      </w:r>
      <w:proofErr w:type="gramStart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;38:E305</w:t>
      </w:r>
      <w:proofErr w:type="gramEnd"/>
      <w:r w:rsidRPr="001045CE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-13.</w:t>
      </w:r>
    </w:p>
    <w:p w:rsidR="00BC2BF1" w:rsidRPr="001045CE" w:rsidRDefault="00BC2BF1" w:rsidP="00BC2BF1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color w:val="0D0D0D" w:themeColor="text1" w:themeTint="F2"/>
          <w:sz w:val="16"/>
          <w:szCs w:val="16"/>
          <w:shd w:val="clear" w:color="auto" w:fill="FFFFFF"/>
        </w:rPr>
      </w:pP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Iyer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S, Taylor-Stokes G,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Roughley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A. Symptom burden and quality of life in advanced non-small cell lung cancer patients in France and Germany. Lung Cancer 2013</w:t>
      </w:r>
      <w:proofErr w:type="gram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;81:288</w:t>
      </w:r>
      <w:proofErr w:type="gramEnd"/>
      <w:r w:rsidRPr="001045CE">
        <w:rPr>
          <w:rFonts w:ascii="Times New Roman" w:hAnsi="Times New Roman" w:cs="Times New Roman"/>
          <w:color w:val="000000"/>
          <w:sz w:val="16"/>
          <w:szCs w:val="16"/>
        </w:rPr>
        <w:t>-93.  </w:t>
      </w:r>
    </w:p>
    <w:p w:rsidR="00BC2BF1" w:rsidRPr="001045CE" w:rsidRDefault="00BC2BF1" w:rsidP="008269F2">
      <w:pPr>
        <w:pStyle w:val="ListParagraph"/>
        <w:numPr>
          <w:ilvl w:val="0"/>
          <w:numId w:val="1"/>
        </w:numPr>
        <w:shd w:val="clear" w:color="auto" w:fill="FFFFFF"/>
        <w:spacing w:before="144" w:after="144" w:line="240" w:lineRule="auto"/>
        <w:contextualSpacing w:val="0"/>
        <w:jc w:val="both"/>
        <w:outlineLvl w:val="4"/>
        <w:rPr>
          <w:rFonts w:ascii="Times New Roman" w:hAnsi="Times New Roman" w:cs="Times New Roman"/>
          <w:color w:val="0D0D0D" w:themeColor="text1" w:themeTint="F2"/>
          <w:sz w:val="16"/>
          <w:szCs w:val="16"/>
          <w:shd w:val="clear" w:color="auto" w:fill="FFFFFF"/>
        </w:rPr>
      </w:pP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Nilmanat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K,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Promnoi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C,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Phungrassami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T,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Chailungka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P,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Tulathamkit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K,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Noo-Urai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P. Symptom management and its barriers among patients with terminal advanced cancer in Thailand. BMJ Support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Palliat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Care 2012;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Suppl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1: A49      </w:t>
      </w:r>
    </w:p>
    <w:p w:rsidR="008269F2" w:rsidRPr="001045CE" w:rsidRDefault="00BC2BF1" w:rsidP="00EC0EE4">
      <w:pPr>
        <w:pStyle w:val="ListParagraph"/>
        <w:numPr>
          <w:ilvl w:val="0"/>
          <w:numId w:val="1"/>
        </w:numPr>
        <w:spacing w:line="175" w:lineRule="atLeast"/>
        <w:rPr>
          <w:rFonts w:ascii="Times New Roman" w:hAnsi="Times New Roman" w:cs="Times New Roman"/>
          <w:color w:val="000000"/>
          <w:sz w:val="16"/>
          <w:szCs w:val="16"/>
        </w:rPr>
      </w:pPr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Harding R, Selman L,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Agupio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G,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Dinat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N, Downing J,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Gwyther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L, </w:t>
      </w:r>
      <w:r w:rsidRPr="001045CE">
        <w:rPr>
          <w:rFonts w:ascii="Times New Roman" w:hAnsi="Times New Roman" w:cs="Times New Roman"/>
          <w:i/>
          <w:iCs/>
          <w:color w:val="000000"/>
          <w:sz w:val="16"/>
          <w:szCs w:val="16"/>
        </w:rPr>
        <w:t>et al.</w:t>
      </w:r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 The prevalence and burden of symptoms amongst cancer patients attending palliative care in two African countries. </w:t>
      </w:r>
      <w:proofErr w:type="spell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Eur</w:t>
      </w:r>
      <w:proofErr w:type="spellEnd"/>
      <w:r w:rsidRPr="001045CE">
        <w:rPr>
          <w:rFonts w:ascii="Times New Roman" w:hAnsi="Times New Roman" w:cs="Times New Roman"/>
          <w:color w:val="000000"/>
          <w:sz w:val="16"/>
          <w:szCs w:val="16"/>
        </w:rPr>
        <w:t xml:space="preserve"> J Cancer 2011</w:t>
      </w:r>
      <w:proofErr w:type="gramStart"/>
      <w:r w:rsidRPr="001045CE">
        <w:rPr>
          <w:rFonts w:ascii="Times New Roman" w:hAnsi="Times New Roman" w:cs="Times New Roman"/>
          <w:color w:val="000000"/>
          <w:sz w:val="16"/>
          <w:szCs w:val="16"/>
        </w:rPr>
        <w:t>;47:51</w:t>
      </w:r>
      <w:proofErr w:type="gramEnd"/>
      <w:r w:rsidRPr="001045CE">
        <w:rPr>
          <w:rFonts w:ascii="Times New Roman" w:hAnsi="Times New Roman" w:cs="Times New Roman"/>
          <w:color w:val="000000"/>
          <w:sz w:val="16"/>
          <w:szCs w:val="16"/>
        </w:rPr>
        <w:t>-6. </w:t>
      </w:r>
      <w:r w:rsidR="008269F2" w:rsidRPr="001045CE">
        <w:rPr>
          <w:rFonts w:ascii="Times New Roman" w:hAnsi="Times New Roman" w:cs="Times New Roman"/>
          <w:color w:val="CC6601"/>
          <w:sz w:val="18"/>
          <w:szCs w:val="18"/>
        </w:rPr>
        <w:t xml:space="preserve">  </w:t>
      </w:r>
      <w:r w:rsidR="008269F2" w:rsidRPr="001045CE">
        <w:rPr>
          <w:rFonts w:ascii="Times New Roman" w:hAnsi="Times New Roman" w:cs="Times New Roman"/>
          <w:color w:val="000000"/>
          <w:sz w:val="12"/>
          <w:szCs w:val="12"/>
        </w:rPr>
        <w:br/>
      </w:r>
      <w:r w:rsidR="008269F2" w:rsidRPr="001045CE">
        <w:rPr>
          <w:rFonts w:ascii="Times New Roman" w:hAnsi="Times New Roman" w:cs="Times New Roman"/>
          <w:color w:val="000000"/>
          <w:sz w:val="12"/>
          <w:szCs w:val="12"/>
        </w:rPr>
        <w:br/>
      </w:r>
    </w:p>
    <w:p w:rsidR="008269F2" w:rsidRPr="001045CE" w:rsidRDefault="008269F2" w:rsidP="002757CD">
      <w:pPr>
        <w:pStyle w:val="ListParagraph"/>
        <w:shd w:val="clear" w:color="auto" w:fill="FFFFFF"/>
        <w:spacing w:before="144" w:after="144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757CD" w:rsidRPr="001045CE" w:rsidRDefault="002757CD" w:rsidP="002757CD">
      <w:pPr>
        <w:pStyle w:val="ListParagraph"/>
        <w:widowControl w:val="0"/>
        <w:tabs>
          <w:tab w:val="left" w:pos="7675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E3362" w:rsidRPr="001045CE" w:rsidRDefault="008E3362">
      <w:pPr>
        <w:rPr>
          <w:rFonts w:ascii="Times New Roman" w:hAnsi="Times New Roman" w:cs="Times New Roman"/>
          <w:b/>
        </w:rPr>
      </w:pPr>
    </w:p>
    <w:sectPr w:rsidR="008E3362" w:rsidRPr="001045CE" w:rsidSect="00EA614B">
      <w:pgSz w:w="11907" w:h="16839" w:code="9"/>
      <w:pgMar w:top="2430" w:right="2430" w:bottom="2430" w:left="24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37A7"/>
    <w:multiLevelType w:val="hybridMultilevel"/>
    <w:tmpl w:val="0288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850D0"/>
    <w:multiLevelType w:val="hybridMultilevel"/>
    <w:tmpl w:val="D2489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92FD4"/>
    <w:multiLevelType w:val="hybridMultilevel"/>
    <w:tmpl w:val="4BF8E5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3362"/>
    <w:rsid w:val="0004191D"/>
    <w:rsid w:val="00052EA8"/>
    <w:rsid w:val="00077285"/>
    <w:rsid w:val="00094618"/>
    <w:rsid w:val="00096C9D"/>
    <w:rsid w:val="000979CB"/>
    <w:rsid w:val="000A1165"/>
    <w:rsid w:val="000B4668"/>
    <w:rsid w:val="000B691F"/>
    <w:rsid w:val="000D799A"/>
    <w:rsid w:val="000E3B77"/>
    <w:rsid w:val="001045CE"/>
    <w:rsid w:val="00104A9F"/>
    <w:rsid w:val="00122F8A"/>
    <w:rsid w:val="001346F5"/>
    <w:rsid w:val="00186738"/>
    <w:rsid w:val="001A66FF"/>
    <w:rsid w:val="001B122E"/>
    <w:rsid w:val="001B223E"/>
    <w:rsid w:val="001C38ED"/>
    <w:rsid w:val="002031F6"/>
    <w:rsid w:val="00220964"/>
    <w:rsid w:val="002757CD"/>
    <w:rsid w:val="00280FF1"/>
    <w:rsid w:val="002A2AC0"/>
    <w:rsid w:val="00313D22"/>
    <w:rsid w:val="00352834"/>
    <w:rsid w:val="003A690E"/>
    <w:rsid w:val="003D2A97"/>
    <w:rsid w:val="003F5673"/>
    <w:rsid w:val="00422A61"/>
    <w:rsid w:val="0044389B"/>
    <w:rsid w:val="00485C78"/>
    <w:rsid w:val="00490E0C"/>
    <w:rsid w:val="00491B6B"/>
    <w:rsid w:val="004C171C"/>
    <w:rsid w:val="004D5E13"/>
    <w:rsid w:val="00503491"/>
    <w:rsid w:val="00510FC2"/>
    <w:rsid w:val="005400BC"/>
    <w:rsid w:val="005402B2"/>
    <w:rsid w:val="006340DC"/>
    <w:rsid w:val="00685D62"/>
    <w:rsid w:val="00707F1E"/>
    <w:rsid w:val="0072661E"/>
    <w:rsid w:val="0076214C"/>
    <w:rsid w:val="007861C2"/>
    <w:rsid w:val="0079077B"/>
    <w:rsid w:val="007B2505"/>
    <w:rsid w:val="007C1586"/>
    <w:rsid w:val="00825401"/>
    <w:rsid w:val="008269F2"/>
    <w:rsid w:val="00877FDA"/>
    <w:rsid w:val="00882420"/>
    <w:rsid w:val="00892579"/>
    <w:rsid w:val="00895D66"/>
    <w:rsid w:val="008D2CF6"/>
    <w:rsid w:val="008E3362"/>
    <w:rsid w:val="008F1F62"/>
    <w:rsid w:val="008F2283"/>
    <w:rsid w:val="0091163C"/>
    <w:rsid w:val="00977738"/>
    <w:rsid w:val="009B591C"/>
    <w:rsid w:val="009E78F1"/>
    <w:rsid w:val="009F0FAC"/>
    <w:rsid w:val="00A05A07"/>
    <w:rsid w:val="00A12B62"/>
    <w:rsid w:val="00A61746"/>
    <w:rsid w:val="00A7034F"/>
    <w:rsid w:val="00A96302"/>
    <w:rsid w:val="00AF76F3"/>
    <w:rsid w:val="00B011E5"/>
    <w:rsid w:val="00B067BA"/>
    <w:rsid w:val="00B20392"/>
    <w:rsid w:val="00B22504"/>
    <w:rsid w:val="00BB05AF"/>
    <w:rsid w:val="00BB0FE3"/>
    <w:rsid w:val="00BC2BF1"/>
    <w:rsid w:val="00BC742D"/>
    <w:rsid w:val="00C32871"/>
    <w:rsid w:val="00C400CA"/>
    <w:rsid w:val="00C450A6"/>
    <w:rsid w:val="00C655D3"/>
    <w:rsid w:val="00C9097D"/>
    <w:rsid w:val="00C92EEB"/>
    <w:rsid w:val="00CA4DC7"/>
    <w:rsid w:val="00CA5429"/>
    <w:rsid w:val="00CB22A3"/>
    <w:rsid w:val="00CC103A"/>
    <w:rsid w:val="00CD1A4C"/>
    <w:rsid w:val="00D02C1C"/>
    <w:rsid w:val="00D045AF"/>
    <w:rsid w:val="00D5145E"/>
    <w:rsid w:val="00D556C3"/>
    <w:rsid w:val="00D66688"/>
    <w:rsid w:val="00D700A1"/>
    <w:rsid w:val="00D85AF0"/>
    <w:rsid w:val="00D9146B"/>
    <w:rsid w:val="00E256D0"/>
    <w:rsid w:val="00E34DCC"/>
    <w:rsid w:val="00E36ED0"/>
    <w:rsid w:val="00E64D9F"/>
    <w:rsid w:val="00E72B07"/>
    <w:rsid w:val="00E73CA1"/>
    <w:rsid w:val="00E746A0"/>
    <w:rsid w:val="00EA614B"/>
    <w:rsid w:val="00EC0EE4"/>
    <w:rsid w:val="00EC4FD2"/>
    <w:rsid w:val="00F324FB"/>
    <w:rsid w:val="00F3391B"/>
    <w:rsid w:val="00F56D4D"/>
    <w:rsid w:val="00F83421"/>
    <w:rsid w:val="00F84181"/>
    <w:rsid w:val="00F96043"/>
    <w:rsid w:val="00FA2D8B"/>
    <w:rsid w:val="00FB028D"/>
    <w:rsid w:val="00FC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05"/>
  </w:style>
  <w:style w:type="paragraph" w:styleId="Heading1">
    <w:name w:val="heading 1"/>
    <w:basedOn w:val="Normal"/>
    <w:next w:val="Normal"/>
    <w:link w:val="Heading1Char"/>
    <w:uiPriority w:val="9"/>
    <w:qFormat/>
    <w:rsid w:val="00275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2">
    <w:name w:val="A2"/>
    <w:uiPriority w:val="99"/>
    <w:rsid w:val="002757CD"/>
    <w:rPr>
      <w:rFonts w:cs="Minion Pro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757CD"/>
    <w:pPr>
      <w:ind w:left="720"/>
      <w:contextualSpacing/>
    </w:pPr>
  </w:style>
  <w:style w:type="table" w:styleId="TableGrid">
    <w:name w:val="Table Grid"/>
    <w:basedOn w:val="TableNormal"/>
    <w:uiPriority w:val="59"/>
    <w:rsid w:val="00275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57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CD"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rsid w:val="0068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journal">
    <w:name w:val="ref-journal"/>
    <w:basedOn w:val="DefaultParagraphFont"/>
    <w:rsid w:val="003F5673"/>
  </w:style>
  <w:style w:type="character" w:customStyle="1" w:styleId="ref-vol">
    <w:name w:val="ref-vol"/>
    <w:basedOn w:val="DefaultParagraphFont"/>
    <w:rsid w:val="002031F6"/>
  </w:style>
  <w:style w:type="character" w:customStyle="1" w:styleId="element-citation">
    <w:name w:val="element-citation"/>
    <w:basedOn w:val="DefaultParagraphFont"/>
    <w:rsid w:val="002031F6"/>
  </w:style>
  <w:style w:type="character" w:styleId="Emphasis">
    <w:name w:val="Emphasis"/>
    <w:basedOn w:val="DefaultParagraphFont"/>
    <w:uiPriority w:val="20"/>
    <w:qFormat/>
    <w:rsid w:val="00BC2B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ncbi.nlm.nih.gov/pubmed/7165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who.int/cancer/palliative/definition/en/" TargetMode="External"/><Relationship Id="rId5" Type="http://schemas.openxmlformats.org/officeDocument/2006/relationships/hyperlink" Target="https://www.ncbi.nlm.nih.gov/pmc/articles/PMC5661350/" TargetMode="External"/><Relationship Id="rId10" Type="http://schemas.openxmlformats.org/officeDocument/2006/relationships/hyperlink" Target="http://www.who.int/cancer/palliative/definition/en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 2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Lbl>
              <c:idx val="8"/>
              <c:showVal val="1"/>
            </c:dLbl>
            <c:dLbl>
              <c:idx val="9"/>
              <c:showVal val="1"/>
            </c:dLbl>
            <c:dLbl>
              <c:idx val="10"/>
              <c:showVal val="1"/>
            </c:dLbl>
            <c:delete val="1"/>
          </c:dLbls>
          <c:cat>
            <c:strRef>
              <c:f>Sheet1!$A$2:$A$12</c:f>
              <c:strCache>
                <c:ptCount val="11"/>
                <c:pt idx="0">
                  <c:v>Pain</c:v>
                </c:pt>
                <c:pt idx="1">
                  <c:v>Anorexia</c:v>
                </c:pt>
                <c:pt idx="2">
                  <c:v>Generalized weakness</c:v>
                </c:pt>
                <c:pt idx="3">
                  <c:v>Weight loss</c:v>
                </c:pt>
                <c:pt idx="4">
                  <c:v>Dysphagia</c:v>
                </c:pt>
                <c:pt idx="5">
                  <c:v>Nausea/Vominting</c:v>
                </c:pt>
                <c:pt idx="6">
                  <c:v>Disturbed sleeep</c:v>
                </c:pt>
                <c:pt idx="7">
                  <c:v>Breathlessness</c:v>
                </c:pt>
                <c:pt idx="8">
                  <c:v>Ascites</c:v>
                </c:pt>
                <c:pt idx="9">
                  <c:v>Bleeding</c:v>
                </c:pt>
                <c:pt idx="10">
                  <c:v>Cough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823</c:v>
                </c:pt>
                <c:pt idx="1">
                  <c:v>734</c:v>
                </c:pt>
                <c:pt idx="2">
                  <c:v>668</c:v>
                </c:pt>
                <c:pt idx="3">
                  <c:v>567</c:v>
                </c:pt>
                <c:pt idx="4">
                  <c:v>432</c:v>
                </c:pt>
                <c:pt idx="5">
                  <c:v>402</c:v>
                </c:pt>
                <c:pt idx="6">
                  <c:v>392</c:v>
                </c:pt>
                <c:pt idx="7">
                  <c:v>324</c:v>
                </c:pt>
                <c:pt idx="8">
                  <c:v>278</c:v>
                </c:pt>
                <c:pt idx="9">
                  <c:v>135</c:v>
                </c:pt>
                <c:pt idx="10">
                  <c:v>178</c:v>
                </c:pt>
              </c:numCache>
            </c:numRef>
          </c:val>
        </c:ser>
        <c:shape val="cylinder"/>
        <c:axId val="123797888"/>
        <c:axId val="123813888"/>
        <c:axId val="0"/>
      </c:bar3DChart>
      <c:catAx>
        <c:axId val="123797888"/>
        <c:scaling>
          <c:orientation val="minMax"/>
        </c:scaling>
        <c:axPos val="b"/>
        <c:tickLblPos val="nextTo"/>
        <c:crossAx val="123813888"/>
        <c:crosses val="autoZero"/>
        <c:auto val="1"/>
        <c:lblAlgn val="ctr"/>
        <c:lblOffset val="100"/>
      </c:catAx>
      <c:valAx>
        <c:axId val="123813888"/>
        <c:scaling>
          <c:orientation val="minMax"/>
        </c:scaling>
        <c:axPos val="l"/>
        <c:majorGridlines/>
        <c:numFmt formatCode="General" sourceLinked="1"/>
        <c:tickLblPos val="nextTo"/>
        <c:crossAx val="123797888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Sheet1!$A$2:$A$5</c:f>
              <c:strCache>
                <c:ptCount val="4"/>
                <c:pt idx="0">
                  <c:v>Satge I</c:v>
                </c:pt>
                <c:pt idx="1">
                  <c:v>Stage II</c:v>
                </c:pt>
                <c:pt idx="2">
                  <c:v>Stage III</c:v>
                </c:pt>
                <c:pt idx="3">
                  <c:v>Stage IV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1.8900000000000045E-2</c:v>
                </c:pt>
                <c:pt idx="1">
                  <c:v>0.10580000000000002</c:v>
                </c:pt>
                <c:pt idx="2">
                  <c:v>0.28500000000000031</c:v>
                </c:pt>
                <c:pt idx="3">
                  <c:v>0.59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 b="0"/>
              <a:t>Site</a:t>
            </a:r>
            <a:r>
              <a:rPr lang="en-US" sz="1400" b="0" baseline="0"/>
              <a:t> of metastasis</a:t>
            </a:r>
            <a:endParaRPr lang="en-US" sz="1400" b="0"/>
          </a:p>
        </c:rich>
      </c:tx>
    </c:title>
    <c:plotArea>
      <c:layout/>
      <c:barChart>
        <c:barDir val="bar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showVal val="1"/>
          </c:dLbls>
          <c:cat>
            <c:strRef>
              <c:f>Sheet1!$A$2:$A$6</c:f>
              <c:strCache>
                <c:ptCount val="5"/>
                <c:pt idx="0">
                  <c:v>Skeleton </c:v>
                </c:pt>
                <c:pt idx="1">
                  <c:v>Lung</c:v>
                </c:pt>
                <c:pt idx="2">
                  <c:v>Liver </c:v>
                </c:pt>
                <c:pt idx="3">
                  <c:v>Brain</c:v>
                </c:pt>
                <c:pt idx="4">
                  <c:v>Peritoneal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498</c:v>
                </c:pt>
                <c:pt idx="1">
                  <c:v>241</c:v>
                </c:pt>
                <c:pt idx="2">
                  <c:v>172</c:v>
                </c:pt>
                <c:pt idx="3">
                  <c:v>57</c:v>
                </c:pt>
                <c:pt idx="4">
                  <c:v>83</c:v>
                </c:pt>
              </c:numCache>
            </c:numRef>
          </c:val>
        </c:ser>
        <c:overlap val="100"/>
        <c:axId val="136032640"/>
        <c:axId val="136035328"/>
      </c:barChart>
      <c:catAx>
        <c:axId val="136032640"/>
        <c:scaling>
          <c:orientation val="minMax"/>
        </c:scaling>
        <c:axPos val="l"/>
        <c:tickLblPos val="nextTo"/>
        <c:crossAx val="136035328"/>
        <c:crosses val="autoZero"/>
        <c:auto val="1"/>
        <c:lblAlgn val="ctr"/>
        <c:lblOffset val="100"/>
      </c:catAx>
      <c:valAx>
        <c:axId val="136035328"/>
        <c:scaling>
          <c:orientation val="minMax"/>
        </c:scaling>
        <c:axPos val="b"/>
        <c:majorGridlines/>
        <c:numFmt formatCode="General" sourceLinked="1"/>
        <c:tickLblPos val="nextTo"/>
        <c:crossAx val="1360326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8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dcterms:created xsi:type="dcterms:W3CDTF">2021-01-02T11:38:00Z</dcterms:created>
  <dcterms:modified xsi:type="dcterms:W3CDTF">2021-02-23T17:25:00Z</dcterms:modified>
</cp:coreProperties>
</file>