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CE" w:rsidRDefault="003C53CE" w:rsidP="003C53CE">
      <w:pPr>
        <w:spacing w:before="240"/>
        <w:jc w:val="both"/>
        <w:rPr>
          <w:rFonts w:asciiTheme="majorBidi" w:eastAsia="Arial Unicode MS" w:hAnsiTheme="majorBidi" w:cstheme="majorBidi"/>
          <w:bCs/>
          <w:sz w:val="44"/>
          <w:szCs w:val="44"/>
        </w:rPr>
      </w:pPr>
      <w:r w:rsidRPr="003C53CE">
        <w:rPr>
          <w:rFonts w:asciiTheme="majorBidi" w:eastAsia="Arial Unicode MS" w:hAnsiTheme="majorBidi" w:cstheme="majorBidi"/>
          <w:bCs/>
          <w:sz w:val="44"/>
          <w:szCs w:val="44"/>
        </w:rPr>
        <w:t>ORIGINAL RESEARCH PAPER</w:t>
      </w:r>
    </w:p>
    <w:p w:rsidR="003C53CE" w:rsidRDefault="003C53CE" w:rsidP="003C53CE">
      <w:pPr>
        <w:spacing w:before="240"/>
        <w:jc w:val="both"/>
        <w:rPr>
          <w:rFonts w:asciiTheme="majorBidi" w:eastAsia="Arial Unicode MS" w:hAnsiTheme="majorBidi" w:cstheme="majorBidi"/>
          <w:bCs/>
          <w:sz w:val="72"/>
          <w:szCs w:val="72"/>
        </w:rPr>
      </w:pPr>
      <w:r w:rsidRPr="003C53CE">
        <w:rPr>
          <w:rFonts w:asciiTheme="majorBidi" w:eastAsia="Arial Unicode MS" w:hAnsiTheme="majorBidi" w:cstheme="majorBidi"/>
          <w:b/>
          <w:sz w:val="44"/>
          <w:szCs w:val="44"/>
        </w:rPr>
        <w:t xml:space="preserve">Prevalence of </w:t>
      </w:r>
      <w:proofErr w:type="spellStart"/>
      <w:r w:rsidRPr="003C53CE">
        <w:rPr>
          <w:rFonts w:asciiTheme="majorBidi" w:eastAsia="Arial Unicode MS" w:hAnsiTheme="majorBidi" w:cstheme="majorBidi"/>
          <w:b/>
          <w:sz w:val="44"/>
          <w:szCs w:val="44"/>
        </w:rPr>
        <w:t>hyponatremia</w:t>
      </w:r>
      <w:proofErr w:type="spellEnd"/>
      <w:r w:rsidRPr="003C53CE">
        <w:rPr>
          <w:rFonts w:asciiTheme="majorBidi" w:eastAsia="Arial Unicode MS" w:hAnsiTheme="majorBidi" w:cstheme="majorBidi"/>
          <w:b/>
          <w:sz w:val="44"/>
          <w:szCs w:val="44"/>
        </w:rPr>
        <w:t xml:space="preserve"> in cirrhosis and its correlation with severity of the disease</w:t>
      </w:r>
    </w:p>
    <w:p w:rsidR="003C53CE" w:rsidRDefault="003C53CE" w:rsidP="003C53CE">
      <w:pPr>
        <w:spacing w:before="240"/>
        <w:jc w:val="both"/>
        <w:rPr>
          <w:rFonts w:asciiTheme="majorBidi" w:eastAsia="Arial Unicode MS" w:hAnsiTheme="majorBidi" w:cstheme="majorBidi"/>
          <w:bCs/>
          <w:sz w:val="72"/>
          <w:szCs w:val="72"/>
        </w:rPr>
      </w:pPr>
      <w:r w:rsidRPr="003C53CE">
        <w:rPr>
          <w:rFonts w:asciiTheme="majorBidi" w:eastAsia="Arial Unicode MS" w:hAnsiTheme="majorBidi" w:cstheme="majorBidi"/>
          <w:b/>
        </w:rPr>
        <w:t>Abstract</w:t>
      </w:r>
    </w:p>
    <w:p w:rsidR="003C53CE" w:rsidRPr="003C53CE" w:rsidRDefault="003C53CE" w:rsidP="003C53CE">
      <w:pPr>
        <w:spacing w:before="240"/>
        <w:jc w:val="both"/>
        <w:rPr>
          <w:rFonts w:asciiTheme="majorBidi" w:eastAsia="Arial Unicode MS" w:hAnsiTheme="majorBidi" w:cstheme="majorBidi"/>
          <w:i/>
          <w:iCs/>
          <w:sz w:val="24"/>
          <w:szCs w:val="24"/>
        </w:rPr>
      </w:pPr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Clinical manifestations of cirrhosis  result from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pathophysiological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changes and also reflect the severity of the disease regardless the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etiology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. Electrolytes imbalance like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hyponatremia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and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hypokalemia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 are frequent manifestations of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decompensated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cirrhosis.In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hospitalized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patients,hyponatremia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is very common manifestation ,occurs upto 22% in cirrhosis of liver. </w:t>
      </w:r>
      <w:r w:rsidRPr="003C53CE">
        <w:rPr>
          <w:rFonts w:asciiTheme="majorBidi" w:eastAsia="Arial Unicode MS" w:hAnsiTheme="majorBidi" w:cstheme="majorBidi"/>
          <w:b/>
          <w:i/>
          <w:iCs/>
          <w:sz w:val="24"/>
          <w:szCs w:val="24"/>
        </w:rPr>
        <w:t>Material and method:</w:t>
      </w:r>
      <w:r w:rsidR="00A614E1">
        <w:rPr>
          <w:rFonts w:asciiTheme="majorBidi" w:eastAsia="Arial Unicode MS" w:hAnsiTheme="majorBidi" w:cstheme="majorBidi"/>
          <w:b/>
          <w:i/>
          <w:iCs/>
          <w:sz w:val="24"/>
          <w:szCs w:val="24"/>
        </w:rPr>
        <w:t xml:space="preserve"> </w:t>
      </w:r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According to the study criteria,232  randomly selected cirrhotic  patients were included in this study from November 2017 to December 2018. </w:t>
      </w:r>
      <w:r w:rsidRPr="003C53CE">
        <w:rPr>
          <w:rFonts w:asciiTheme="majorBidi" w:eastAsia="Arial Unicode MS" w:hAnsiTheme="majorBidi" w:cstheme="majorBidi"/>
          <w:b/>
          <w:i/>
          <w:iCs/>
          <w:sz w:val="24"/>
          <w:szCs w:val="24"/>
          <w:lang w:val="en-US"/>
        </w:rPr>
        <w:t xml:space="preserve">Results and observation: </w:t>
      </w:r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Out of 232 patients ,19% (n=46), 15.52%, (n=36),  31.62%(n=72)  patients had 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severe,moderate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and mild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hyponatremia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 respectively and 33.62%(n=78) normal sodium level. It was observed that sodium level</w:t>
      </w:r>
      <w:r w:rsidRPr="003C53CE">
        <w:rPr>
          <w:rFonts w:asciiTheme="majorBidi" w:eastAsia="Arial Unicode MS" w:hAnsiTheme="majorBidi" w:cstheme="majorBidi"/>
          <w:i/>
          <w:iCs/>
          <w:color w:val="000000"/>
          <w:sz w:val="24"/>
          <w:szCs w:val="24"/>
          <w:lang w:eastAsia="en-IN"/>
        </w:rPr>
        <w:t xml:space="preserve"> (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color w:val="000000"/>
          <w:sz w:val="24"/>
          <w:szCs w:val="24"/>
          <w:lang w:eastAsia="en-IN"/>
        </w:rPr>
        <w:t>meq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color w:val="000000"/>
          <w:sz w:val="24"/>
          <w:szCs w:val="24"/>
          <w:lang w:eastAsia="en-IN"/>
        </w:rPr>
        <w:t>/L)</w:t>
      </w:r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was negatively correlated with </w:t>
      </w:r>
      <w:r w:rsidRPr="003C53CE">
        <w:rPr>
          <w:rFonts w:asciiTheme="majorBidi" w:eastAsia="Arial Unicode MS" w:hAnsiTheme="majorBidi" w:cstheme="majorBidi"/>
          <w:i/>
          <w:iCs/>
          <w:color w:val="000000"/>
          <w:sz w:val="24"/>
          <w:szCs w:val="24"/>
          <w:lang w:eastAsia="en-IN"/>
        </w:rPr>
        <w:t xml:space="preserve">MELD score since </w:t>
      </w:r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p &lt;0.05 and r= -0.254. The degree of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hyponatremia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was correlated with severity of  the disease in terms of CPS. In every range of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hyponatremia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, majority of the patients had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hyponatremia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in class C  followed by Class B CPS  and class A score. This scores clearly indicate that as  liver function declined more ,the severity of the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hyponatremia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increased.  declined. </w:t>
      </w:r>
      <w:r w:rsidRPr="003C53CE">
        <w:rPr>
          <w:rFonts w:asciiTheme="majorBidi" w:eastAsia="Arial Unicode MS" w:hAnsiTheme="majorBidi" w:cstheme="majorBidi"/>
          <w:b/>
          <w:i/>
          <w:iCs/>
          <w:sz w:val="24"/>
          <w:szCs w:val="24"/>
        </w:rPr>
        <w:t xml:space="preserve">Conclusion: </w:t>
      </w:r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This observational study shows that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hyponatremia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is a very common finding in cirrhosis of liver especially in advanced stage. Severity of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hyponatremia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>correlats</w:t>
      </w:r>
      <w:proofErr w:type="spellEnd"/>
      <w:r w:rsidRPr="003C53CE">
        <w:rPr>
          <w:rFonts w:asciiTheme="majorBidi" w:eastAsia="Arial Unicode MS" w:hAnsiTheme="majorBidi" w:cstheme="majorBidi"/>
          <w:i/>
          <w:iCs/>
          <w:sz w:val="24"/>
          <w:szCs w:val="24"/>
        </w:rPr>
        <w:t xml:space="preserve"> with severity of liver disease and complications in majority of the cases.</w:t>
      </w:r>
    </w:p>
    <w:p w:rsidR="003C53CE" w:rsidRPr="003C53CE" w:rsidRDefault="00167FE2" w:rsidP="003C53C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3C53CE">
        <w:rPr>
          <w:rFonts w:asciiTheme="majorBidi" w:hAnsiTheme="majorBidi" w:cstheme="majorBidi"/>
          <w:b/>
          <w:bCs/>
          <w:lang w:val="en-US"/>
        </w:rPr>
        <w:t>Statistical analysis</w:t>
      </w:r>
    </w:p>
    <w:p w:rsidR="00167FE2" w:rsidRPr="003C53CE" w:rsidRDefault="00167FE2" w:rsidP="003C53C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b/>
        </w:rPr>
      </w:pPr>
      <w:r w:rsidRPr="003C53CE">
        <w:rPr>
          <w:rFonts w:asciiTheme="majorBidi" w:hAnsiTheme="majorBidi" w:cstheme="majorBidi"/>
          <w:bCs/>
        </w:rPr>
        <w:t>Pearson's chi-square test is used to see if there is any association between categorical variables</w:t>
      </w:r>
      <w:r w:rsidRPr="003C53CE">
        <w:rPr>
          <w:rFonts w:asciiTheme="majorBidi" w:hAnsiTheme="majorBidi" w:cstheme="majorBidi"/>
          <w:b/>
          <w:bCs/>
        </w:rPr>
        <w:t>.</w:t>
      </w:r>
      <w:r w:rsidRPr="003C53CE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3C53CE">
        <w:rPr>
          <w:rFonts w:asciiTheme="majorBidi" w:hAnsiTheme="majorBidi" w:cstheme="majorBidi"/>
          <w:bCs/>
        </w:rPr>
        <w:t>To assess the correlation between variables Pearson correlation coefficient was used</w:t>
      </w:r>
      <w:r w:rsidRPr="003C53CE">
        <w:rPr>
          <w:rFonts w:asciiTheme="majorBidi" w:hAnsiTheme="majorBidi" w:cstheme="majorBidi"/>
          <w:bCs/>
          <w:lang w:val="en-US"/>
        </w:rPr>
        <w:t>.</w:t>
      </w:r>
      <w:r w:rsidRPr="003C53CE">
        <w:rPr>
          <w:rFonts w:asciiTheme="majorBidi" w:hAnsiTheme="majorBidi" w:cstheme="majorBidi"/>
          <w:bCs/>
          <w:color w:val="FF0000"/>
          <w:lang w:val="en-US"/>
        </w:rPr>
        <w:t xml:space="preserve"> </w:t>
      </w:r>
      <w:r w:rsidRPr="003C53CE">
        <w:rPr>
          <w:rFonts w:asciiTheme="majorBidi" w:hAnsiTheme="majorBidi" w:cstheme="majorBidi"/>
          <w:bCs/>
          <w:lang w:val="en-US"/>
        </w:rPr>
        <w:t>Statistical analysis was performed with IBM SPSS Statistics version 21 Software.  p</w:t>
      </w:r>
      <w:r w:rsidRPr="003C53CE">
        <w:rPr>
          <w:rFonts w:asciiTheme="majorBidi" w:hAnsiTheme="majorBidi" w:cstheme="majorBidi"/>
          <w:lang w:val="en-US"/>
        </w:rPr>
        <w:t xml:space="preserve">-value less than or equal to 0.05 was considered as significance. </w:t>
      </w:r>
    </w:p>
    <w:p w:rsidR="00A00C71" w:rsidRPr="003C53CE" w:rsidRDefault="00A00C71" w:rsidP="003C53CE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3C53CE">
        <w:rPr>
          <w:rFonts w:asciiTheme="majorBidi" w:hAnsiTheme="majorBidi" w:cstheme="majorBidi"/>
          <w:b/>
        </w:rPr>
        <w:t xml:space="preserve">Table 1 </w:t>
      </w:r>
      <w:r w:rsidRPr="003C53CE">
        <w:rPr>
          <w:rFonts w:asciiTheme="majorBidi" w:hAnsiTheme="majorBidi" w:cstheme="majorBidi"/>
          <w:bCs/>
        </w:rPr>
        <w:t>Aetiology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2"/>
        <w:gridCol w:w="3081"/>
        <w:gridCol w:w="3079"/>
      </w:tblGrid>
      <w:tr w:rsidR="00A00C71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Aetiology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Number (n)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Percentage (%)</w:t>
            </w:r>
          </w:p>
        </w:tc>
      </w:tr>
      <w:tr w:rsidR="00A00C71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A00C71" w:rsidRPr="003C53CE" w:rsidRDefault="00A00C71" w:rsidP="003C53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Alcohol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216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93.10</w:t>
            </w:r>
          </w:p>
        </w:tc>
      </w:tr>
      <w:tr w:rsidR="00A00C71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A00C71" w:rsidRPr="003C53CE" w:rsidRDefault="00A00C71" w:rsidP="003C53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HBV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10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4.31</w:t>
            </w:r>
          </w:p>
        </w:tc>
      </w:tr>
      <w:tr w:rsidR="00A00C71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A00C71" w:rsidRPr="003C53CE" w:rsidRDefault="00A00C71" w:rsidP="003C53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ALC/HBV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4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1.72</w:t>
            </w:r>
          </w:p>
        </w:tc>
      </w:tr>
      <w:tr w:rsidR="00A00C71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A00C71" w:rsidRPr="003C53CE" w:rsidRDefault="00A00C71" w:rsidP="003C53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NASH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0.86</w:t>
            </w:r>
          </w:p>
        </w:tc>
      </w:tr>
      <w:tr w:rsidR="00A00C71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TOTAL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232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A00C71" w:rsidRPr="003C53CE" w:rsidRDefault="00A00C7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100.00</w:t>
            </w:r>
          </w:p>
        </w:tc>
      </w:tr>
    </w:tbl>
    <w:p w:rsidR="00A00C71" w:rsidRPr="003C53CE" w:rsidRDefault="00A00C71" w:rsidP="003C53CE">
      <w:pPr>
        <w:spacing w:after="0" w:line="240" w:lineRule="auto"/>
        <w:rPr>
          <w:rFonts w:asciiTheme="majorBidi" w:hAnsiTheme="majorBidi" w:cstheme="majorBidi"/>
          <w:b/>
        </w:rPr>
      </w:pPr>
    </w:p>
    <w:p w:rsidR="00180E0A" w:rsidRPr="003C53CE" w:rsidRDefault="00180E0A" w:rsidP="003C53CE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3C53CE">
        <w:rPr>
          <w:rFonts w:asciiTheme="majorBidi" w:hAnsiTheme="majorBidi" w:cstheme="majorBidi"/>
          <w:b/>
        </w:rPr>
        <w:t xml:space="preserve">Table </w:t>
      </w:r>
      <w:r w:rsidR="00A00C71" w:rsidRPr="003C53CE">
        <w:rPr>
          <w:rFonts w:asciiTheme="majorBidi" w:hAnsiTheme="majorBidi" w:cstheme="majorBidi"/>
          <w:b/>
        </w:rPr>
        <w:t>2</w:t>
      </w:r>
      <w:r w:rsidRPr="003C53CE">
        <w:rPr>
          <w:rFonts w:asciiTheme="majorBidi" w:hAnsiTheme="majorBidi" w:cstheme="majorBidi"/>
          <w:b/>
        </w:rPr>
        <w:t xml:space="preserve"> </w:t>
      </w:r>
      <w:r w:rsidRPr="003C53CE">
        <w:rPr>
          <w:rFonts w:asciiTheme="majorBidi" w:hAnsiTheme="majorBidi" w:cstheme="majorBidi"/>
          <w:bCs/>
        </w:rPr>
        <w:t>Basic Characteristics of Cirrhotic patients (n = 232)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2259"/>
        <w:gridCol w:w="2259"/>
      </w:tblGrid>
      <w:tr w:rsidR="00180E0A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bCs/>
                <w:color w:val="000000"/>
                <w:lang w:eastAsia="en-IN"/>
              </w:rPr>
              <w:t>Characteristics</w:t>
            </w:r>
          </w:p>
        </w:tc>
        <w:tc>
          <w:tcPr>
            <w:tcW w:w="1222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en-IN"/>
              </w:rPr>
            </w:pPr>
          </w:p>
        </w:tc>
        <w:tc>
          <w:tcPr>
            <w:tcW w:w="1222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en-IN"/>
              </w:rPr>
            </w:pPr>
          </w:p>
        </w:tc>
      </w:tr>
      <w:tr w:rsidR="00180E0A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1222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Mean ± S.D</w:t>
            </w:r>
          </w:p>
        </w:tc>
        <w:tc>
          <w:tcPr>
            <w:tcW w:w="1222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Range</w:t>
            </w:r>
          </w:p>
        </w:tc>
      </w:tr>
      <w:tr w:rsidR="00180E0A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Age (in years)</w:t>
            </w:r>
          </w:p>
        </w:tc>
        <w:tc>
          <w:tcPr>
            <w:tcW w:w="1222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47.34 ± 10.26</w:t>
            </w:r>
          </w:p>
        </w:tc>
        <w:tc>
          <w:tcPr>
            <w:tcW w:w="1222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28–78</w:t>
            </w:r>
          </w:p>
        </w:tc>
      </w:tr>
      <w:tr w:rsidR="00180E0A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Sex:</w:t>
            </w:r>
          </w:p>
        </w:tc>
        <w:tc>
          <w:tcPr>
            <w:tcW w:w="1222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Number (n)</w:t>
            </w:r>
          </w:p>
        </w:tc>
        <w:tc>
          <w:tcPr>
            <w:tcW w:w="1222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Percentage (%)</w:t>
            </w:r>
          </w:p>
        </w:tc>
      </w:tr>
      <w:tr w:rsidR="00673984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center"/>
          </w:tcPr>
          <w:p w:rsidR="00673984" w:rsidRPr="003C53CE" w:rsidRDefault="00673984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Male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209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90.09</w:t>
            </w:r>
          </w:p>
        </w:tc>
      </w:tr>
      <w:tr w:rsidR="00673984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center"/>
          </w:tcPr>
          <w:p w:rsidR="00673984" w:rsidRPr="003C53CE" w:rsidRDefault="00673984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Female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23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9.91</w:t>
            </w:r>
          </w:p>
        </w:tc>
      </w:tr>
      <w:tr w:rsidR="00180E0A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center"/>
            <w:hideMark/>
          </w:tcPr>
          <w:p w:rsidR="00180E0A" w:rsidRPr="003C53CE" w:rsidRDefault="00180E0A" w:rsidP="003C53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lastRenderedPageBreak/>
              <w:t>Presenting Features: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Number (n)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Percentage (%)</w:t>
            </w:r>
          </w:p>
        </w:tc>
      </w:tr>
      <w:tr w:rsidR="00673984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center"/>
            <w:hideMark/>
          </w:tcPr>
          <w:p w:rsidR="00673984" w:rsidRPr="003C53CE" w:rsidRDefault="00673984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Ascites/ Distension of Abdomen</w:t>
            </w:r>
          </w:p>
        </w:tc>
        <w:tc>
          <w:tcPr>
            <w:tcW w:w="1222" w:type="pct"/>
            <w:shd w:val="clear" w:color="auto" w:fill="auto"/>
            <w:noWrap/>
            <w:vAlign w:val="bottom"/>
            <w:hideMark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182</w:t>
            </w:r>
          </w:p>
        </w:tc>
        <w:tc>
          <w:tcPr>
            <w:tcW w:w="1222" w:type="pct"/>
            <w:shd w:val="clear" w:color="auto" w:fill="auto"/>
            <w:noWrap/>
            <w:vAlign w:val="bottom"/>
            <w:hideMark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78.45</w:t>
            </w:r>
          </w:p>
        </w:tc>
      </w:tr>
      <w:tr w:rsidR="00673984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center"/>
            <w:hideMark/>
          </w:tcPr>
          <w:p w:rsidR="00673984" w:rsidRPr="003C53CE" w:rsidRDefault="00673984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Jaundice</w:t>
            </w:r>
          </w:p>
        </w:tc>
        <w:tc>
          <w:tcPr>
            <w:tcW w:w="1222" w:type="pct"/>
            <w:shd w:val="clear" w:color="auto" w:fill="auto"/>
            <w:noWrap/>
            <w:vAlign w:val="bottom"/>
            <w:hideMark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118</w:t>
            </w:r>
          </w:p>
        </w:tc>
        <w:tc>
          <w:tcPr>
            <w:tcW w:w="1222" w:type="pct"/>
            <w:shd w:val="clear" w:color="auto" w:fill="auto"/>
            <w:noWrap/>
            <w:vAlign w:val="bottom"/>
            <w:hideMark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50.86</w:t>
            </w:r>
          </w:p>
        </w:tc>
      </w:tr>
      <w:tr w:rsidR="00673984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center"/>
            <w:hideMark/>
          </w:tcPr>
          <w:p w:rsidR="00673984" w:rsidRPr="003C53CE" w:rsidRDefault="00673984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Pain Abdomen</w:t>
            </w:r>
          </w:p>
        </w:tc>
        <w:tc>
          <w:tcPr>
            <w:tcW w:w="1222" w:type="pct"/>
            <w:shd w:val="clear" w:color="auto" w:fill="auto"/>
            <w:noWrap/>
            <w:vAlign w:val="bottom"/>
            <w:hideMark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102</w:t>
            </w:r>
          </w:p>
        </w:tc>
        <w:tc>
          <w:tcPr>
            <w:tcW w:w="1222" w:type="pct"/>
            <w:shd w:val="clear" w:color="auto" w:fill="auto"/>
            <w:noWrap/>
            <w:vAlign w:val="bottom"/>
            <w:hideMark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43.97</w:t>
            </w:r>
          </w:p>
        </w:tc>
      </w:tr>
      <w:tr w:rsidR="00673984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center"/>
          </w:tcPr>
          <w:p w:rsidR="00673984" w:rsidRPr="003C53CE" w:rsidRDefault="00673984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Bacterial Infection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84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36.21</w:t>
            </w:r>
          </w:p>
        </w:tc>
      </w:tr>
      <w:tr w:rsidR="00673984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center"/>
            <w:hideMark/>
          </w:tcPr>
          <w:p w:rsidR="00673984" w:rsidRPr="003C53CE" w:rsidRDefault="00673984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Fever</w:t>
            </w:r>
          </w:p>
        </w:tc>
        <w:tc>
          <w:tcPr>
            <w:tcW w:w="1222" w:type="pct"/>
            <w:shd w:val="clear" w:color="auto" w:fill="auto"/>
            <w:noWrap/>
            <w:vAlign w:val="bottom"/>
            <w:hideMark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80</w:t>
            </w:r>
          </w:p>
        </w:tc>
        <w:tc>
          <w:tcPr>
            <w:tcW w:w="1222" w:type="pct"/>
            <w:shd w:val="clear" w:color="auto" w:fill="auto"/>
            <w:noWrap/>
            <w:vAlign w:val="bottom"/>
            <w:hideMark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34.48</w:t>
            </w:r>
          </w:p>
        </w:tc>
      </w:tr>
      <w:tr w:rsidR="00673984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Hepatic Encephalopathy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56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24.14</w:t>
            </w:r>
          </w:p>
        </w:tc>
      </w:tr>
      <w:tr w:rsidR="00673984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bottom"/>
            <w:hideMark/>
          </w:tcPr>
          <w:p w:rsidR="00673984" w:rsidRPr="003C53CE" w:rsidRDefault="00673984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Hepatic Encephalopathy</w:t>
            </w:r>
          </w:p>
        </w:tc>
        <w:tc>
          <w:tcPr>
            <w:tcW w:w="1222" w:type="pct"/>
            <w:shd w:val="clear" w:color="auto" w:fill="auto"/>
            <w:noWrap/>
            <w:vAlign w:val="bottom"/>
            <w:hideMark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56</w:t>
            </w:r>
          </w:p>
        </w:tc>
        <w:tc>
          <w:tcPr>
            <w:tcW w:w="1222" w:type="pct"/>
            <w:shd w:val="clear" w:color="auto" w:fill="auto"/>
            <w:noWrap/>
            <w:vAlign w:val="bottom"/>
            <w:hideMark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24.14</w:t>
            </w:r>
          </w:p>
        </w:tc>
      </w:tr>
      <w:tr w:rsidR="00673984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center"/>
            <w:hideMark/>
          </w:tcPr>
          <w:p w:rsidR="00673984" w:rsidRPr="003C53CE" w:rsidRDefault="00673984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UGI Bleeding</w:t>
            </w:r>
          </w:p>
        </w:tc>
        <w:tc>
          <w:tcPr>
            <w:tcW w:w="1222" w:type="pct"/>
            <w:shd w:val="clear" w:color="auto" w:fill="auto"/>
            <w:noWrap/>
            <w:vAlign w:val="bottom"/>
            <w:hideMark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48</w:t>
            </w:r>
          </w:p>
        </w:tc>
        <w:tc>
          <w:tcPr>
            <w:tcW w:w="1222" w:type="pct"/>
            <w:shd w:val="clear" w:color="auto" w:fill="auto"/>
            <w:noWrap/>
            <w:vAlign w:val="bottom"/>
            <w:hideMark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20.69</w:t>
            </w:r>
          </w:p>
        </w:tc>
      </w:tr>
      <w:tr w:rsidR="00673984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Tense Ascites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42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18.10</w:t>
            </w:r>
          </w:p>
        </w:tc>
      </w:tr>
      <w:tr w:rsidR="00673984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SBP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39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16.81</w:t>
            </w:r>
          </w:p>
        </w:tc>
      </w:tr>
      <w:tr w:rsidR="00673984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Hepatorenal Syndrome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24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673984" w:rsidRPr="003C53CE" w:rsidRDefault="0067398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10.34</w:t>
            </w:r>
          </w:p>
        </w:tc>
      </w:tr>
      <w:tr w:rsidR="00180E0A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Child-Pugh Score:</w:t>
            </w:r>
          </w:p>
        </w:tc>
        <w:tc>
          <w:tcPr>
            <w:tcW w:w="1222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Number (n)</w:t>
            </w:r>
          </w:p>
        </w:tc>
        <w:tc>
          <w:tcPr>
            <w:tcW w:w="1222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Percentage (%)</w:t>
            </w:r>
          </w:p>
        </w:tc>
      </w:tr>
      <w:tr w:rsidR="00180E0A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A (5–6)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16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6.90</w:t>
            </w:r>
          </w:p>
        </w:tc>
      </w:tr>
      <w:tr w:rsidR="00180E0A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B (7–9)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76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32.76</w:t>
            </w:r>
          </w:p>
        </w:tc>
      </w:tr>
      <w:tr w:rsidR="00180E0A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C (10–15)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140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60.34</w:t>
            </w:r>
          </w:p>
        </w:tc>
      </w:tr>
      <w:tr w:rsidR="00180E0A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1222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Mean ± S.D</w:t>
            </w:r>
          </w:p>
        </w:tc>
        <w:tc>
          <w:tcPr>
            <w:tcW w:w="1222" w:type="pct"/>
            <w:shd w:val="clear" w:color="auto" w:fill="auto"/>
            <w:noWrap/>
            <w:vAlign w:val="center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Range</w:t>
            </w:r>
          </w:p>
        </w:tc>
      </w:tr>
      <w:tr w:rsidR="00180E0A" w:rsidRPr="003C53CE" w:rsidTr="003C53CE">
        <w:trPr>
          <w:trHeight w:val="255"/>
        </w:trPr>
        <w:tc>
          <w:tcPr>
            <w:tcW w:w="2556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MELD Score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24.</w:t>
            </w:r>
            <w:r w:rsidR="00673984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16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± </w:t>
            </w:r>
            <w:r w:rsidR="00673984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7.78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6–4</w:t>
            </w:r>
            <w:r w:rsidR="00673984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</w:t>
            </w:r>
          </w:p>
        </w:tc>
      </w:tr>
    </w:tbl>
    <w:p w:rsidR="00637440" w:rsidRPr="003C53CE" w:rsidRDefault="00637440" w:rsidP="003C53CE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lang w:eastAsia="en-IN"/>
        </w:rPr>
      </w:pPr>
    </w:p>
    <w:p w:rsidR="00637440" w:rsidRPr="003C53CE" w:rsidRDefault="00180E0A" w:rsidP="003C53CE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3C53CE">
        <w:rPr>
          <w:rFonts w:asciiTheme="majorBidi" w:hAnsiTheme="majorBidi" w:cstheme="majorBidi"/>
          <w:b/>
        </w:rPr>
        <w:t xml:space="preserve">Table </w:t>
      </w:r>
      <w:r w:rsidR="00A00C71" w:rsidRPr="003C53CE">
        <w:rPr>
          <w:rFonts w:asciiTheme="majorBidi" w:hAnsiTheme="majorBidi" w:cstheme="majorBidi"/>
          <w:b/>
        </w:rPr>
        <w:t>3</w:t>
      </w:r>
      <w:r w:rsidRPr="003C53CE">
        <w:rPr>
          <w:rFonts w:asciiTheme="majorBidi" w:hAnsiTheme="majorBidi" w:cstheme="majorBidi"/>
          <w:b/>
        </w:rPr>
        <w:t xml:space="preserve"> </w:t>
      </w:r>
      <w:proofErr w:type="spellStart"/>
      <w:r w:rsidRPr="003C53CE">
        <w:rPr>
          <w:rFonts w:asciiTheme="majorBidi" w:hAnsiTheme="majorBidi" w:cstheme="majorBidi"/>
          <w:bCs/>
        </w:rPr>
        <w:t>Hyponatremia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2"/>
        <w:gridCol w:w="3081"/>
        <w:gridCol w:w="3079"/>
      </w:tblGrid>
      <w:tr w:rsidR="00180E0A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Sodium</w:t>
            </w:r>
            <w:r w:rsidR="00116B80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proofErr w:type="spellStart"/>
            <w:r w:rsidR="00116B80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meq</w:t>
            </w:r>
            <w:proofErr w:type="spellEnd"/>
            <w:r w:rsidR="00116B80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/L)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Number (n)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Percentage (%)</w:t>
            </w:r>
          </w:p>
        </w:tc>
      </w:tr>
      <w:tr w:rsidR="00180E0A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&gt;/=136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78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33.62</w:t>
            </w:r>
          </w:p>
        </w:tc>
      </w:tr>
      <w:tr w:rsidR="00180E0A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131–135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72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31.03</w:t>
            </w:r>
          </w:p>
        </w:tc>
      </w:tr>
      <w:tr w:rsidR="00180E0A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126–130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36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15.52</w:t>
            </w:r>
          </w:p>
        </w:tc>
      </w:tr>
      <w:tr w:rsidR="00180E0A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&lt;/=125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46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19.83</w:t>
            </w:r>
          </w:p>
        </w:tc>
      </w:tr>
      <w:tr w:rsidR="00180E0A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TOTAL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232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180E0A" w:rsidRPr="003C53CE" w:rsidRDefault="00180E0A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100.00</w:t>
            </w:r>
          </w:p>
        </w:tc>
      </w:tr>
    </w:tbl>
    <w:p w:rsidR="00637440" w:rsidRPr="003C53CE" w:rsidRDefault="00637440" w:rsidP="003C53CE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2"/>
        <w:gridCol w:w="3081"/>
        <w:gridCol w:w="3079"/>
      </w:tblGrid>
      <w:tr w:rsidR="00517D82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Sodium (</w:t>
            </w:r>
            <w:proofErr w:type="spellStart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meq</w:t>
            </w:r>
            <w:proofErr w:type="spellEnd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/L)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Number (n)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Percentage (%)</w:t>
            </w:r>
          </w:p>
        </w:tc>
      </w:tr>
      <w:tr w:rsidR="00517D82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&gt;/=136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78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33.62</w:t>
            </w:r>
          </w:p>
        </w:tc>
      </w:tr>
      <w:tr w:rsidR="00517D82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&lt;/=135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154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66.38</w:t>
            </w:r>
          </w:p>
        </w:tc>
      </w:tr>
      <w:tr w:rsidR="00517D82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&lt;/=130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82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35.34</w:t>
            </w:r>
          </w:p>
        </w:tc>
      </w:tr>
      <w:tr w:rsidR="00517D82" w:rsidRPr="003C53CE" w:rsidTr="003C53CE">
        <w:trPr>
          <w:trHeight w:val="255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&lt;/=125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46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517D82" w:rsidRPr="003C53CE" w:rsidRDefault="00517D82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19.83</w:t>
            </w:r>
          </w:p>
        </w:tc>
      </w:tr>
    </w:tbl>
    <w:p w:rsidR="0041639A" w:rsidRPr="003C53CE" w:rsidRDefault="0041639A" w:rsidP="003C53CE">
      <w:pPr>
        <w:spacing w:line="240" w:lineRule="auto"/>
        <w:rPr>
          <w:rFonts w:asciiTheme="majorBidi" w:hAnsiTheme="majorBidi" w:cstheme="majorBidi"/>
          <w:b/>
        </w:rPr>
      </w:pPr>
    </w:p>
    <w:p w:rsidR="00116B80" w:rsidRPr="003C53CE" w:rsidRDefault="00116B80" w:rsidP="003C53CE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3C53CE">
        <w:rPr>
          <w:rFonts w:asciiTheme="majorBidi" w:hAnsiTheme="majorBidi" w:cstheme="majorBidi"/>
          <w:b/>
        </w:rPr>
        <w:t xml:space="preserve">Table </w:t>
      </w:r>
      <w:r w:rsidR="00A00C71" w:rsidRPr="003C53CE">
        <w:rPr>
          <w:rFonts w:asciiTheme="majorBidi" w:hAnsiTheme="majorBidi" w:cstheme="majorBidi"/>
          <w:b/>
        </w:rPr>
        <w:t>4</w:t>
      </w:r>
      <w:r w:rsidRPr="003C53CE">
        <w:rPr>
          <w:rFonts w:asciiTheme="majorBidi" w:hAnsiTheme="majorBidi" w:cstheme="majorBidi"/>
          <w:b/>
        </w:rPr>
        <w:t xml:space="preserve"> Correlation between MELD score and the sodium levels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116B80" w:rsidRPr="003C53CE" w:rsidTr="003C53CE">
        <w:trPr>
          <w:trHeight w:val="255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Sodium 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br/>
              <w:t>(</w:t>
            </w:r>
            <w:proofErr w:type="spellStart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meq</w:t>
            </w:r>
            <w:proofErr w:type="spellEnd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/L)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MELD Score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br/>
              <w:t>(Mean ± S.D)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i/>
                <w:color w:val="000000"/>
                <w:lang w:eastAsia="en-IN"/>
              </w:rPr>
              <w:t>r value</w:t>
            </w:r>
          </w:p>
        </w:tc>
        <w:tc>
          <w:tcPr>
            <w:tcW w:w="1250" w:type="pct"/>
            <w:vAlign w:val="center"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i/>
                <w:color w:val="000000"/>
                <w:lang w:eastAsia="en-IN"/>
              </w:rPr>
              <w:t>p value</w:t>
            </w:r>
          </w:p>
        </w:tc>
      </w:tr>
      <w:tr w:rsidR="00116B80" w:rsidRPr="003C53CE" w:rsidTr="003C53CE">
        <w:trPr>
          <w:trHeight w:val="255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5D7F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≥</w:t>
            </w:r>
            <w:r w:rsidR="00116B80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136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21.59 ± 8.15</w:t>
            </w:r>
          </w:p>
        </w:tc>
        <w:tc>
          <w:tcPr>
            <w:tcW w:w="1250" w:type="pct"/>
            <w:vMerge w:val="restart"/>
            <w:shd w:val="clear" w:color="auto" w:fill="auto"/>
            <w:noWrap/>
            <w:vAlign w:val="center"/>
            <w:hideMark/>
          </w:tcPr>
          <w:p w:rsidR="00116B80" w:rsidRPr="003C53CE" w:rsidRDefault="00975BB7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-.254</w:t>
            </w:r>
          </w:p>
        </w:tc>
        <w:tc>
          <w:tcPr>
            <w:tcW w:w="1250" w:type="pct"/>
            <w:vMerge w:val="restart"/>
            <w:vAlign w:val="center"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&lt;0.001</w:t>
            </w:r>
          </w:p>
        </w:tc>
      </w:tr>
      <w:tr w:rsidR="00116B80" w:rsidRPr="003C53CE" w:rsidTr="003C53CE">
        <w:trPr>
          <w:trHeight w:val="255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131–135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23.31 ± 6.51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1250" w:type="pct"/>
            <w:vMerge/>
            <w:vAlign w:val="center"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</w:tr>
      <w:tr w:rsidR="00116B80" w:rsidRPr="003C53CE" w:rsidTr="003C53CE">
        <w:trPr>
          <w:trHeight w:val="255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126–130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24.33 ± 7.29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1250" w:type="pct"/>
            <w:vMerge/>
            <w:vAlign w:val="center"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</w:tr>
      <w:tr w:rsidR="00116B80" w:rsidRPr="003C53CE" w:rsidTr="003C53CE">
        <w:trPr>
          <w:trHeight w:val="255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5D7F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≤</w:t>
            </w:r>
            <w:r w:rsidR="00116B80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29.70 ± 6.70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1250" w:type="pct"/>
            <w:vMerge/>
            <w:vAlign w:val="center"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</w:tr>
      <w:tr w:rsidR="00116B80" w:rsidRPr="003C53CE" w:rsidTr="003C53CE">
        <w:trPr>
          <w:trHeight w:val="255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Overall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24.16 ± 7.78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1250" w:type="pct"/>
            <w:vAlign w:val="center"/>
          </w:tcPr>
          <w:p w:rsidR="00116B80" w:rsidRPr="003C53CE" w:rsidRDefault="00116B8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</w:tr>
    </w:tbl>
    <w:p w:rsidR="00116B80" w:rsidRPr="003C53CE" w:rsidRDefault="00975BB7" w:rsidP="003C53CE">
      <w:pPr>
        <w:spacing w:before="240" w:after="0" w:line="240" w:lineRule="auto"/>
        <w:rPr>
          <w:rFonts w:asciiTheme="majorBidi" w:hAnsiTheme="majorBidi" w:cstheme="majorBidi"/>
        </w:rPr>
      </w:pPr>
      <w:r w:rsidRPr="003C53CE">
        <w:rPr>
          <w:rFonts w:asciiTheme="majorBidi" w:hAnsiTheme="majorBidi" w:cstheme="majorBidi"/>
        </w:rPr>
        <w:t>It was observed that sodium level</w:t>
      </w:r>
      <w:r w:rsidRPr="003C53CE">
        <w:rPr>
          <w:rFonts w:asciiTheme="majorBidi" w:eastAsia="Times New Roman" w:hAnsiTheme="majorBidi" w:cstheme="majorBidi"/>
          <w:color w:val="000000"/>
          <w:lang w:eastAsia="en-IN"/>
        </w:rPr>
        <w:t xml:space="preserve"> (me</w:t>
      </w:r>
      <w:r w:rsidR="00F8792D" w:rsidRPr="003C53CE">
        <w:rPr>
          <w:rFonts w:asciiTheme="majorBidi" w:eastAsia="Times New Roman" w:hAnsiTheme="majorBidi" w:cstheme="majorBidi"/>
          <w:color w:val="000000"/>
          <w:lang w:eastAsia="en-IN"/>
        </w:rPr>
        <w:t>q</w:t>
      </w:r>
      <w:r w:rsidRPr="003C53CE">
        <w:rPr>
          <w:rFonts w:asciiTheme="majorBidi" w:eastAsia="Times New Roman" w:hAnsiTheme="majorBidi" w:cstheme="majorBidi"/>
          <w:color w:val="000000"/>
          <w:lang w:eastAsia="en-IN"/>
        </w:rPr>
        <w:t>/</w:t>
      </w:r>
      <w:r w:rsidR="007A5DB8" w:rsidRPr="003C53CE">
        <w:rPr>
          <w:rFonts w:asciiTheme="majorBidi" w:eastAsia="Times New Roman" w:hAnsiTheme="majorBidi" w:cstheme="majorBidi"/>
          <w:color w:val="000000"/>
          <w:lang w:eastAsia="en-IN"/>
        </w:rPr>
        <w:t>L</w:t>
      </w:r>
      <w:r w:rsidRPr="003C53CE">
        <w:rPr>
          <w:rFonts w:asciiTheme="majorBidi" w:eastAsia="Times New Roman" w:hAnsiTheme="majorBidi" w:cstheme="majorBidi"/>
          <w:color w:val="000000"/>
          <w:lang w:eastAsia="en-IN"/>
        </w:rPr>
        <w:t>)</w:t>
      </w:r>
      <w:r w:rsidRPr="003C53CE">
        <w:rPr>
          <w:rFonts w:asciiTheme="majorBidi" w:hAnsiTheme="majorBidi" w:cstheme="majorBidi"/>
        </w:rPr>
        <w:t xml:space="preserve"> was </w:t>
      </w:r>
      <w:r w:rsidRPr="003C53CE">
        <w:rPr>
          <w:rFonts w:asciiTheme="majorBidi" w:hAnsiTheme="majorBidi" w:cstheme="majorBidi"/>
          <w:i/>
        </w:rPr>
        <w:t>negati</w:t>
      </w:r>
      <w:r w:rsidRPr="003C53CE">
        <w:rPr>
          <w:rFonts w:asciiTheme="majorBidi" w:hAnsiTheme="majorBidi" w:cstheme="majorBidi"/>
          <w:i/>
          <w:iCs/>
        </w:rPr>
        <w:t>vely</w:t>
      </w:r>
      <w:r w:rsidRPr="003C53CE">
        <w:rPr>
          <w:rFonts w:asciiTheme="majorBidi" w:hAnsiTheme="majorBidi" w:cstheme="majorBidi"/>
        </w:rPr>
        <w:t xml:space="preserve"> correlated with </w:t>
      </w:r>
      <w:r w:rsidRPr="003C53CE">
        <w:rPr>
          <w:rFonts w:asciiTheme="majorBidi" w:eastAsia="Times New Roman" w:hAnsiTheme="majorBidi" w:cstheme="majorBidi"/>
          <w:color w:val="000000"/>
          <w:lang w:eastAsia="en-IN"/>
        </w:rPr>
        <w:t xml:space="preserve">MELD score since </w:t>
      </w:r>
      <w:r w:rsidRPr="003C53CE">
        <w:rPr>
          <w:rFonts w:asciiTheme="majorBidi" w:hAnsiTheme="majorBidi" w:cstheme="majorBidi"/>
        </w:rPr>
        <w:t>p &lt;0.05 and r= -0.254.</w:t>
      </w:r>
    </w:p>
    <w:p w:rsidR="00180E0A" w:rsidRPr="003C53CE" w:rsidRDefault="00180E0A" w:rsidP="003C53CE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3C53CE">
        <w:rPr>
          <w:rFonts w:asciiTheme="majorBidi" w:hAnsiTheme="majorBidi" w:cstheme="majorBidi"/>
          <w:b/>
        </w:rPr>
        <w:t xml:space="preserve">Table </w:t>
      </w:r>
      <w:r w:rsidR="00517D82" w:rsidRPr="003C53CE">
        <w:rPr>
          <w:rFonts w:asciiTheme="majorBidi" w:hAnsiTheme="majorBidi" w:cstheme="majorBidi"/>
          <w:b/>
        </w:rPr>
        <w:t>5</w:t>
      </w:r>
      <w:r w:rsidRPr="003C53CE">
        <w:rPr>
          <w:rFonts w:asciiTheme="majorBidi" w:hAnsiTheme="majorBidi" w:cstheme="majorBidi"/>
          <w:b/>
        </w:rPr>
        <w:t xml:space="preserve"> Child-Pugh Score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7"/>
        <w:gridCol w:w="1318"/>
        <w:gridCol w:w="1322"/>
        <w:gridCol w:w="1322"/>
        <w:gridCol w:w="1325"/>
        <w:gridCol w:w="1322"/>
        <w:gridCol w:w="1316"/>
      </w:tblGrid>
      <w:tr w:rsidR="00440396" w:rsidRPr="003C53CE" w:rsidTr="003C53CE">
        <w:trPr>
          <w:trHeight w:val="273"/>
        </w:trPr>
        <w:tc>
          <w:tcPr>
            <w:tcW w:w="713" w:type="pct"/>
            <w:vMerge w:val="restart"/>
            <w:shd w:val="clear" w:color="auto" w:fill="auto"/>
            <w:noWrap/>
            <w:vAlign w:val="center"/>
          </w:tcPr>
          <w:p w:rsidR="00440396" w:rsidRPr="003C53CE" w:rsidRDefault="00440396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Child–Pugh</w:t>
            </w:r>
          </w:p>
        </w:tc>
        <w:tc>
          <w:tcPr>
            <w:tcW w:w="2860" w:type="pct"/>
            <w:gridSpan w:val="4"/>
            <w:shd w:val="clear" w:color="auto" w:fill="auto"/>
            <w:noWrap/>
            <w:vAlign w:val="center"/>
          </w:tcPr>
          <w:p w:rsidR="00440396" w:rsidRPr="003C53CE" w:rsidRDefault="00440396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Sodium (</w:t>
            </w:r>
            <w:proofErr w:type="spellStart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meq</w:t>
            </w:r>
            <w:proofErr w:type="spellEnd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/L)</w:t>
            </w:r>
          </w:p>
        </w:tc>
        <w:tc>
          <w:tcPr>
            <w:tcW w:w="715" w:type="pct"/>
            <w:vMerge w:val="restart"/>
            <w:vAlign w:val="center"/>
          </w:tcPr>
          <w:p w:rsidR="00440396" w:rsidRPr="003C53CE" w:rsidRDefault="00440396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Total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br/>
              <w:t>(n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= 232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)</w:t>
            </w:r>
          </w:p>
        </w:tc>
        <w:tc>
          <w:tcPr>
            <w:tcW w:w="712" w:type="pct"/>
            <w:vMerge w:val="restart"/>
            <w:vAlign w:val="center"/>
          </w:tcPr>
          <w:p w:rsidR="00440396" w:rsidRPr="003C53CE" w:rsidRDefault="00440396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i/>
                <w:color w:val="000000"/>
                <w:lang w:eastAsia="en-IN"/>
              </w:rPr>
              <w:t>p value</w:t>
            </w:r>
          </w:p>
        </w:tc>
      </w:tr>
      <w:tr w:rsidR="004A3423" w:rsidRPr="003C53CE" w:rsidTr="003C53CE">
        <w:trPr>
          <w:trHeight w:val="273"/>
        </w:trPr>
        <w:tc>
          <w:tcPr>
            <w:tcW w:w="713" w:type="pct"/>
            <w:vMerge/>
            <w:shd w:val="clear" w:color="auto" w:fill="auto"/>
            <w:noWrap/>
            <w:vAlign w:val="center"/>
            <w:hideMark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sym w:font="Symbol" w:char="F0A3"/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125</w:t>
            </w:r>
          </w:p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(n = 46)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126–130</w:t>
            </w:r>
          </w:p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(n = 36)</w:t>
            </w:r>
          </w:p>
        </w:tc>
        <w:tc>
          <w:tcPr>
            <w:tcW w:w="715" w:type="pct"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131–135</w:t>
            </w:r>
          </w:p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(n = 72)</w:t>
            </w:r>
          </w:p>
        </w:tc>
        <w:tc>
          <w:tcPr>
            <w:tcW w:w="717" w:type="pct"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sym w:font="Symbol" w:char="F0B3"/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136</w:t>
            </w:r>
          </w:p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(n = 78)</w:t>
            </w:r>
          </w:p>
        </w:tc>
        <w:tc>
          <w:tcPr>
            <w:tcW w:w="715" w:type="pct"/>
            <w:vMerge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712" w:type="pct"/>
            <w:vMerge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</w:tr>
      <w:tr w:rsidR="009C7C44" w:rsidRPr="003C53CE" w:rsidTr="003C53CE">
        <w:trPr>
          <w:trHeight w:val="273"/>
        </w:trPr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A (5–6)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 (5.56%)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 (2.78%)</w:t>
            </w:r>
          </w:p>
        </w:tc>
        <w:tc>
          <w:tcPr>
            <w:tcW w:w="717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 (15.39%)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16 (6.90%)</w:t>
            </w:r>
          </w:p>
        </w:tc>
        <w:tc>
          <w:tcPr>
            <w:tcW w:w="712" w:type="pct"/>
            <w:vAlign w:val="center"/>
          </w:tcPr>
          <w:p w:rsidR="009C7C44" w:rsidRPr="003C53CE" w:rsidRDefault="00F671F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0.003</w:t>
            </w:r>
            <w:r w:rsidR="001A5DD1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*</w:t>
            </w:r>
          </w:p>
        </w:tc>
      </w:tr>
      <w:tr w:rsidR="009C7C44" w:rsidRPr="003C53CE" w:rsidTr="003C53CE">
        <w:trPr>
          <w:trHeight w:val="273"/>
        </w:trPr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B (7–9)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6 (13.04%)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10 (27.78%)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24 (33.33%)</w:t>
            </w:r>
          </w:p>
        </w:tc>
        <w:tc>
          <w:tcPr>
            <w:tcW w:w="717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36 (46.15%)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76 (32.76%)</w:t>
            </w:r>
          </w:p>
        </w:tc>
        <w:tc>
          <w:tcPr>
            <w:tcW w:w="712" w:type="pct"/>
            <w:vAlign w:val="center"/>
          </w:tcPr>
          <w:p w:rsidR="009C7C44" w:rsidRPr="003C53CE" w:rsidRDefault="003B770F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0.002</w:t>
            </w:r>
            <w:r w:rsidR="001A5DD1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*</w:t>
            </w:r>
          </w:p>
        </w:tc>
      </w:tr>
      <w:tr w:rsidR="009C7C44" w:rsidRPr="003C53CE" w:rsidTr="003C53CE">
        <w:trPr>
          <w:trHeight w:val="273"/>
        </w:trPr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C (10–15)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40 (86.96%)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24 (66.67%)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46 (63.89%)</w:t>
            </w:r>
          </w:p>
        </w:tc>
        <w:tc>
          <w:tcPr>
            <w:tcW w:w="717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30 (38.46%)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140</w:t>
            </w:r>
            <w:r w:rsidR="003B770F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(60.35%)</w:t>
            </w:r>
          </w:p>
        </w:tc>
        <w:tc>
          <w:tcPr>
            <w:tcW w:w="712" w:type="pct"/>
            <w:vAlign w:val="center"/>
          </w:tcPr>
          <w:p w:rsidR="009C7C44" w:rsidRPr="003C53CE" w:rsidRDefault="003B770F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0.000</w:t>
            </w:r>
            <w:r w:rsidR="001A5DD1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*</w:t>
            </w:r>
          </w:p>
        </w:tc>
      </w:tr>
    </w:tbl>
    <w:p w:rsidR="00180E0A" w:rsidRPr="003C53CE" w:rsidRDefault="00180E0A" w:rsidP="003C53CE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en-IN"/>
        </w:rPr>
      </w:pPr>
    </w:p>
    <w:p w:rsidR="00440396" w:rsidRPr="003C53CE" w:rsidRDefault="00440396" w:rsidP="003C53CE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3C53CE">
        <w:rPr>
          <w:rFonts w:asciiTheme="majorBidi" w:hAnsiTheme="majorBidi" w:cstheme="majorBidi"/>
          <w:b/>
        </w:rPr>
        <w:t xml:space="preserve">Table </w:t>
      </w:r>
      <w:r w:rsidR="00517D82" w:rsidRPr="003C53CE">
        <w:rPr>
          <w:rFonts w:asciiTheme="majorBidi" w:hAnsiTheme="majorBidi" w:cstheme="majorBidi"/>
          <w:b/>
        </w:rPr>
        <w:t>6</w:t>
      </w:r>
      <w:r w:rsidRPr="003C53CE">
        <w:rPr>
          <w:rFonts w:asciiTheme="majorBidi" w:hAnsiTheme="majorBidi" w:cstheme="majorBidi"/>
          <w:b/>
        </w:rPr>
        <w:t xml:space="preserve"> MELD Score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6"/>
        <w:gridCol w:w="1316"/>
        <w:gridCol w:w="1316"/>
        <w:gridCol w:w="1291"/>
        <w:gridCol w:w="1307"/>
        <w:gridCol w:w="1309"/>
        <w:gridCol w:w="1307"/>
      </w:tblGrid>
      <w:tr w:rsidR="00440396" w:rsidRPr="003C53CE" w:rsidTr="003C53CE">
        <w:trPr>
          <w:trHeight w:val="255"/>
        </w:trPr>
        <w:tc>
          <w:tcPr>
            <w:tcW w:w="714" w:type="pct"/>
            <w:vMerge w:val="restart"/>
            <w:shd w:val="clear" w:color="auto" w:fill="auto"/>
            <w:noWrap/>
            <w:vAlign w:val="center"/>
          </w:tcPr>
          <w:p w:rsidR="00440396" w:rsidRPr="003C53CE" w:rsidRDefault="00440396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MELD Score</w:t>
            </w:r>
          </w:p>
        </w:tc>
        <w:tc>
          <w:tcPr>
            <w:tcW w:w="2857" w:type="pct"/>
            <w:gridSpan w:val="4"/>
            <w:shd w:val="clear" w:color="auto" w:fill="auto"/>
            <w:noWrap/>
            <w:vAlign w:val="center"/>
          </w:tcPr>
          <w:p w:rsidR="00440396" w:rsidRPr="003C53CE" w:rsidRDefault="00440396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Sodium (</w:t>
            </w:r>
            <w:proofErr w:type="spellStart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meq</w:t>
            </w:r>
            <w:proofErr w:type="spellEnd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/L)</w:t>
            </w:r>
          </w:p>
        </w:tc>
        <w:tc>
          <w:tcPr>
            <w:tcW w:w="715" w:type="pct"/>
            <w:vMerge w:val="restart"/>
            <w:vAlign w:val="center"/>
          </w:tcPr>
          <w:p w:rsidR="00440396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Total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br/>
              <w:t>(n = 232)</w:t>
            </w:r>
          </w:p>
        </w:tc>
        <w:tc>
          <w:tcPr>
            <w:tcW w:w="714" w:type="pct"/>
            <w:vMerge w:val="restart"/>
            <w:vAlign w:val="center"/>
          </w:tcPr>
          <w:p w:rsidR="00440396" w:rsidRPr="003C53CE" w:rsidRDefault="00440396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i/>
                <w:color w:val="000000"/>
                <w:lang w:eastAsia="en-IN"/>
              </w:rPr>
              <w:t>p value</w:t>
            </w:r>
          </w:p>
        </w:tc>
      </w:tr>
      <w:tr w:rsidR="009C7C44" w:rsidRPr="003C53CE" w:rsidTr="003C53CE">
        <w:trPr>
          <w:trHeight w:val="255"/>
        </w:trPr>
        <w:tc>
          <w:tcPr>
            <w:tcW w:w="714" w:type="pct"/>
            <w:vMerge/>
            <w:shd w:val="clear" w:color="auto" w:fill="auto"/>
            <w:noWrap/>
            <w:vAlign w:val="center"/>
            <w:hideMark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sym w:font="Symbol" w:char="F0A3"/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125</w:t>
            </w:r>
          </w:p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(n = 46)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126–130</w:t>
            </w:r>
          </w:p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(n = 36)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131–135</w:t>
            </w:r>
          </w:p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(n = 72)</w:t>
            </w:r>
          </w:p>
        </w:tc>
        <w:tc>
          <w:tcPr>
            <w:tcW w:w="714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sym w:font="Symbol" w:char="F0B3"/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136</w:t>
            </w:r>
          </w:p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(n = 78)</w:t>
            </w:r>
          </w:p>
        </w:tc>
        <w:tc>
          <w:tcPr>
            <w:tcW w:w="715" w:type="pct"/>
            <w:vMerge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714" w:type="pct"/>
            <w:vMerge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</w:tr>
      <w:tr w:rsidR="009C7C44" w:rsidRPr="003C53CE" w:rsidTr="003C53CE">
        <w:trPr>
          <w:trHeight w:val="255"/>
        </w:trPr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C7C44" w:rsidRPr="003C53CE" w:rsidRDefault="00115D7F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sym w:font="Symbol" w:char="F0A3"/>
            </w:r>
            <w:r w:rsidR="009C7C44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10</w:t>
            </w:r>
          </w:p>
        </w:tc>
        <w:tc>
          <w:tcPr>
            <w:tcW w:w="714" w:type="pct"/>
            <w:shd w:val="clear" w:color="auto" w:fill="auto"/>
            <w:noWrap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</w:t>
            </w:r>
          </w:p>
        </w:tc>
        <w:tc>
          <w:tcPr>
            <w:tcW w:w="714" w:type="pct"/>
            <w:shd w:val="clear" w:color="auto" w:fill="auto"/>
            <w:noWrap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</w:t>
            </w:r>
          </w:p>
        </w:tc>
        <w:tc>
          <w:tcPr>
            <w:tcW w:w="715" w:type="pct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</w:t>
            </w:r>
          </w:p>
        </w:tc>
        <w:tc>
          <w:tcPr>
            <w:tcW w:w="714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6 (7.69</w:t>
            </w:r>
            <w:r w:rsidR="00B83B5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6 (2.59</w:t>
            </w:r>
            <w:r w:rsidR="00B83B5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14" w:type="pct"/>
            <w:vAlign w:val="center"/>
          </w:tcPr>
          <w:p w:rsidR="009C7C44" w:rsidRPr="003C53CE" w:rsidRDefault="001A5DD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0.007*</w:t>
            </w:r>
          </w:p>
        </w:tc>
      </w:tr>
      <w:tr w:rsidR="009C7C44" w:rsidRPr="003C53CE" w:rsidTr="003C53CE">
        <w:trPr>
          <w:trHeight w:val="255"/>
        </w:trPr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11–20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 (4.35%)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 (33.33%)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18 (25.00</w:t>
            </w:r>
            <w:r w:rsidR="00B83B5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14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28 (35.90</w:t>
            </w:r>
            <w:r w:rsidR="00B83B5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60 (25.86</w:t>
            </w:r>
            <w:r w:rsidR="00B83B5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14" w:type="pct"/>
            <w:vAlign w:val="center"/>
          </w:tcPr>
          <w:p w:rsidR="009C7C44" w:rsidRPr="003C53CE" w:rsidRDefault="001A5DD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0.001*</w:t>
            </w:r>
          </w:p>
        </w:tc>
      </w:tr>
      <w:tr w:rsidR="009C7C44" w:rsidRPr="003C53CE" w:rsidTr="003C53CE">
        <w:trPr>
          <w:trHeight w:val="255"/>
        </w:trPr>
        <w:tc>
          <w:tcPr>
            <w:tcW w:w="714" w:type="pct"/>
            <w:shd w:val="clear" w:color="auto" w:fill="auto"/>
            <w:noWrap/>
            <w:vAlign w:val="bottom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21–30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28 (60.87%)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18 (50.00%)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42 (58.33</w:t>
            </w:r>
            <w:r w:rsidR="00B83B5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14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34 (43.59</w:t>
            </w:r>
            <w:r w:rsidR="00B83B5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122 (52.59</w:t>
            </w:r>
            <w:r w:rsidR="00B83B5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14" w:type="pct"/>
            <w:vAlign w:val="center"/>
          </w:tcPr>
          <w:p w:rsidR="009C7C44" w:rsidRPr="003C53CE" w:rsidRDefault="001A5DD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0.183</w:t>
            </w:r>
          </w:p>
        </w:tc>
      </w:tr>
      <w:tr w:rsidR="009C7C44" w:rsidRPr="003C53CE" w:rsidTr="003C53CE">
        <w:trPr>
          <w:trHeight w:val="255"/>
        </w:trPr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31–40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16 (34.78%)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6 (16.67%)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 (16.67</w:t>
            </w:r>
            <w:r w:rsidR="00B83B5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14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10 (12.82</w:t>
            </w:r>
            <w:r w:rsidR="00B83B5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15" w:type="pct"/>
            <w:vAlign w:val="center"/>
          </w:tcPr>
          <w:p w:rsidR="009C7C44" w:rsidRPr="003C53CE" w:rsidRDefault="009C7C4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44 (18.97</w:t>
            </w:r>
            <w:r w:rsidR="00B83B5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14" w:type="pct"/>
            <w:vAlign w:val="center"/>
          </w:tcPr>
          <w:p w:rsidR="009C7C44" w:rsidRPr="003C53CE" w:rsidRDefault="001A5DD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0.021*</w:t>
            </w:r>
          </w:p>
        </w:tc>
      </w:tr>
    </w:tbl>
    <w:p w:rsidR="00440396" w:rsidRPr="003C53CE" w:rsidRDefault="00440396" w:rsidP="003C53CE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en-IN"/>
        </w:rPr>
      </w:pPr>
    </w:p>
    <w:p w:rsidR="004B1E75" w:rsidRPr="003C53CE" w:rsidRDefault="004B1E75" w:rsidP="003C53CE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3C53CE">
        <w:rPr>
          <w:rFonts w:asciiTheme="majorBidi" w:hAnsiTheme="majorBidi" w:cstheme="majorBidi"/>
          <w:b/>
        </w:rPr>
        <w:t xml:space="preserve">Table </w:t>
      </w:r>
      <w:r w:rsidR="00B83B53" w:rsidRPr="003C53CE">
        <w:rPr>
          <w:rFonts w:asciiTheme="majorBidi" w:hAnsiTheme="majorBidi" w:cstheme="majorBidi"/>
          <w:b/>
        </w:rPr>
        <w:t>7</w:t>
      </w:r>
      <w:r w:rsidRPr="003C53CE">
        <w:rPr>
          <w:rFonts w:asciiTheme="majorBidi" w:hAnsiTheme="majorBidi" w:cstheme="majorBidi"/>
          <w:b/>
        </w:rPr>
        <w:t xml:space="preserve"> </w:t>
      </w:r>
      <w:r w:rsidR="001A5DD1" w:rsidRPr="003C53CE">
        <w:rPr>
          <w:rFonts w:asciiTheme="majorBidi" w:hAnsiTheme="majorBidi" w:cstheme="majorBidi"/>
          <w:b/>
        </w:rPr>
        <w:t>Frequency of c</w:t>
      </w:r>
      <w:r w:rsidRPr="003C53CE">
        <w:rPr>
          <w:rFonts w:asciiTheme="majorBidi" w:hAnsiTheme="majorBidi" w:cstheme="majorBidi"/>
          <w:b/>
        </w:rPr>
        <w:t>omplications</w:t>
      </w:r>
      <w:r w:rsidR="001A5DD1" w:rsidRPr="003C53CE">
        <w:rPr>
          <w:rFonts w:asciiTheme="majorBidi" w:hAnsiTheme="majorBidi" w:cstheme="majorBidi"/>
          <w:b/>
        </w:rPr>
        <w:t xml:space="preserve"> by serum sodium </w:t>
      </w:r>
      <w:r w:rsidR="004E1F1D" w:rsidRPr="003C53CE">
        <w:rPr>
          <w:rFonts w:asciiTheme="majorBidi" w:hAnsiTheme="majorBidi" w:cstheme="majorBidi"/>
          <w:b/>
        </w:rPr>
        <w:t>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4"/>
        <w:gridCol w:w="1307"/>
        <w:gridCol w:w="9"/>
        <w:gridCol w:w="1304"/>
        <w:gridCol w:w="12"/>
        <w:gridCol w:w="1175"/>
        <w:gridCol w:w="1388"/>
        <w:gridCol w:w="1253"/>
      </w:tblGrid>
      <w:tr w:rsidR="00D90AF4" w:rsidRPr="003C53CE" w:rsidTr="003C53CE">
        <w:trPr>
          <w:trHeight w:val="255"/>
        </w:trPr>
        <w:tc>
          <w:tcPr>
            <w:tcW w:w="1411" w:type="pct"/>
            <w:vMerge w:val="restart"/>
            <w:shd w:val="clear" w:color="auto" w:fill="auto"/>
            <w:noWrap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Complications</w:t>
            </w:r>
          </w:p>
        </w:tc>
        <w:tc>
          <w:tcPr>
            <w:tcW w:w="2164" w:type="pct"/>
            <w:gridSpan w:val="5"/>
            <w:shd w:val="clear" w:color="auto" w:fill="auto"/>
            <w:noWrap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Sodium (</w:t>
            </w:r>
            <w:proofErr w:type="spellStart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meq</w:t>
            </w:r>
            <w:proofErr w:type="spellEnd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/L)</w:t>
            </w:r>
          </w:p>
        </w:tc>
        <w:tc>
          <w:tcPr>
            <w:tcW w:w="721" w:type="pct"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704" w:type="pct"/>
            <w:vMerge w:val="restart"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i/>
                <w:color w:val="000000"/>
                <w:lang w:eastAsia="en-IN"/>
              </w:rPr>
              <w:t>p value</w:t>
            </w:r>
          </w:p>
        </w:tc>
      </w:tr>
      <w:tr w:rsidR="00D90AF4" w:rsidRPr="003C53CE" w:rsidTr="003C53CE">
        <w:trPr>
          <w:trHeight w:val="255"/>
        </w:trPr>
        <w:tc>
          <w:tcPr>
            <w:tcW w:w="1411" w:type="pct"/>
            <w:vMerge/>
            <w:shd w:val="clear" w:color="auto" w:fill="auto"/>
            <w:noWrap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2164" w:type="pct"/>
            <w:gridSpan w:val="5"/>
            <w:shd w:val="clear" w:color="auto" w:fill="auto"/>
            <w:noWrap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proofErr w:type="spellStart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Hyponatremia</w:t>
            </w:r>
            <w:proofErr w:type="spellEnd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proofErr w:type="spellStart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meq</w:t>
            </w:r>
            <w:proofErr w:type="spellEnd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/L)</w:t>
            </w:r>
          </w:p>
        </w:tc>
        <w:tc>
          <w:tcPr>
            <w:tcW w:w="721" w:type="pct"/>
            <w:vMerge w:val="restart"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Normal 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br/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sym w:font="Symbol" w:char="F0B3"/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136(</w:t>
            </w:r>
            <w:proofErr w:type="spellStart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meq</w:t>
            </w:r>
            <w:proofErr w:type="spellEnd"/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/L)</w:t>
            </w:r>
          </w:p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(n = 78)</w:t>
            </w:r>
          </w:p>
        </w:tc>
        <w:tc>
          <w:tcPr>
            <w:tcW w:w="704" w:type="pct"/>
            <w:vMerge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</w:tr>
      <w:tr w:rsidR="00D90AF4" w:rsidRPr="003C53CE" w:rsidTr="003C53CE">
        <w:trPr>
          <w:trHeight w:val="255"/>
        </w:trPr>
        <w:tc>
          <w:tcPr>
            <w:tcW w:w="1411" w:type="pct"/>
            <w:vMerge/>
            <w:shd w:val="clear" w:color="auto" w:fill="auto"/>
            <w:noWrap/>
            <w:vAlign w:val="center"/>
            <w:hideMark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sym w:font="Symbol" w:char="F0A3"/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125</w:t>
            </w:r>
          </w:p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(n = 46)</w:t>
            </w:r>
          </w:p>
        </w:tc>
        <w:tc>
          <w:tcPr>
            <w:tcW w:w="719" w:type="pct"/>
            <w:gridSpan w:val="2"/>
            <w:shd w:val="clear" w:color="auto" w:fill="auto"/>
            <w:noWrap/>
            <w:vAlign w:val="center"/>
            <w:hideMark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126–130</w:t>
            </w:r>
          </w:p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(n = 36)</w:t>
            </w:r>
          </w:p>
        </w:tc>
        <w:tc>
          <w:tcPr>
            <w:tcW w:w="732" w:type="pct"/>
            <w:gridSpan w:val="2"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131–135</w:t>
            </w:r>
          </w:p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(n = 72)</w:t>
            </w:r>
          </w:p>
        </w:tc>
        <w:tc>
          <w:tcPr>
            <w:tcW w:w="721" w:type="pct"/>
            <w:vMerge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  <w:tc>
          <w:tcPr>
            <w:tcW w:w="704" w:type="pct"/>
            <w:vMerge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</w:p>
        </w:tc>
      </w:tr>
      <w:tr w:rsidR="00D90AF4" w:rsidRPr="003C53CE" w:rsidTr="003C53CE">
        <w:trPr>
          <w:trHeight w:val="255"/>
        </w:trPr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Ascites (182)</w:t>
            </w:r>
          </w:p>
        </w:tc>
        <w:tc>
          <w:tcPr>
            <w:tcW w:w="718" w:type="pct"/>
            <w:gridSpan w:val="2"/>
            <w:shd w:val="clear" w:color="auto" w:fill="auto"/>
            <w:noWrap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26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56.52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21" w:type="pct"/>
            <w:gridSpan w:val="2"/>
            <w:shd w:val="clear" w:color="auto" w:fill="auto"/>
            <w:noWrap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30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83.33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25" w:type="pct"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60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83.33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21" w:type="pct"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66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84.6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2%)</w:t>
            </w:r>
          </w:p>
        </w:tc>
        <w:tc>
          <w:tcPr>
            <w:tcW w:w="704" w:type="pct"/>
            <w:vAlign w:val="center"/>
          </w:tcPr>
          <w:p w:rsidR="00D90AF4" w:rsidRPr="003C53CE" w:rsidRDefault="00664E88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0.001*</w:t>
            </w:r>
          </w:p>
        </w:tc>
      </w:tr>
      <w:tr w:rsidR="00D90AF4" w:rsidRPr="003C53CE" w:rsidTr="003C53CE">
        <w:trPr>
          <w:trHeight w:val="255"/>
        </w:trPr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Bacterial Infection (84)</w:t>
            </w:r>
          </w:p>
        </w:tc>
        <w:tc>
          <w:tcPr>
            <w:tcW w:w="718" w:type="pct"/>
            <w:gridSpan w:val="2"/>
            <w:shd w:val="clear" w:color="auto" w:fill="auto"/>
            <w:noWrap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24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52.17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21" w:type="pct"/>
            <w:gridSpan w:val="2"/>
            <w:shd w:val="clear" w:color="auto" w:fill="auto"/>
            <w:noWrap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33.33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25" w:type="pct"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22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30.56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21" w:type="pct"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26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33.33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04" w:type="pct"/>
            <w:vAlign w:val="center"/>
          </w:tcPr>
          <w:p w:rsidR="00D90AF4" w:rsidRPr="003C53CE" w:rsidRDefault="00677E30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0.090</w:t>
            </w:r>
          </w:p>
        </w:tc>
      </w:tr>
      <w:tr w:rsidR="00D90AF4" w:rsidRPr="003C53CE" w:rsidTr="003C53CE">
        <w:trPr>
          <w:trHeight w:val="255"/>
        </w:trPr>
        <w:tc>
          <w:tcPr>
            <w:tcW w:w="1411" w:type="pct"/>
            <w:shd w:val="clear" w:color="auto" w:fill="auto"/>
            <w:noWrap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Hepatic Encephalopathy (56)</w:t>
            </w:r>
          </w:p>
        </w:tc>
        <w:tc>
          <w:tcPr>
            <w:tcW w:w="718" w:type="pct"/>
            <w:gridSpan w:val="2"/>
            <w:shd w:val="clear" w:color="auto" w:fill="auto"/>
            <w:noWrap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20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43.48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21" w:type="pct"/>
            <w:gridSpan w:val="2"/>
            <w:shd w:val="clear" w:color="auto" w:fill="auto"/>
            <w:noWrap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8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22.22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25" w:type="pct"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14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19.44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%)</w:t>
            </w:r>
          </w:p>
        </w:tc>
        <w:tc>
          <w:tcPr>
            <w:tcW w:w="721" w:type="pct"/>
            <w:vAlign w:val="center"/>
          </w:tcPr>
          <w:p w:rsidR="00D90AF4" w:rsidRPr="003C53CE" w:rsidRDefault="00D90AF4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14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(</w:t>
            </w: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17.9</w:t>
            </w:r>
            <w:r w:rsidR="004A3423"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5%)</w:t>
            </w:r>
          </w:p>
        </w:tc>
        <w:tc>
          <w:tcPr>
            <w:tcW w:w="704" w:type="pct"/>
            <w:vAlign w:val="center"/>
          </w:tcPr>
          <w:p w:rsidR="00D90AF4" w:rsidRPr="003C53CE" w:rsidRDefault="00DD2D51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0.007*</w:t>
            </w:r>
          </w:p>
        </w:tc>
      </w:tr>
      <w:tr w:rsidR="004A3423" w:rsidRPr="003C53CE" w:rsidTr="003C53CE">
        <w:trPr>
          <w:trHeight w:val="255"/>
        </w:trPr>
        <w:tc>
          <w:tcPr>
            <w:tcW w:w="1411" w:type="pct"/>
            <w:shd w:val="clear" w:color="auto" w:fill="auto"/>
            <w:noWrap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Hepatorenal Syndrome (24)</w:t>
            </w:r>
          </w:p>
        </w:tc>
        <w:tc>
          <w:tcPr>
            <w:tcW w:w="718" w:type="pct"/>
            <w:gridSpan w:val="2"/>
            <w:shd w:val="clear" w:color="auto" w:fill="auto"/>
            <w:noWrap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20 (43.48%)</w:t>
            </w:r>
          </w:p>
        </w:tc>
        <w:tc>
          <w:tcPr>
            <w:tcW w:w="721" w:type="pct"/>
            <w:gridSpan w:val="2"/>
            <w:shd w:val="clear" w:color="auto" w:fill="auto"/>
            <w:noWrap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 (5.56%)</w:t>
            </w:r>
          </w:p>
        </w:tc>
        <w:tc>
          <w:tcPr>
            <w:tcW w:w="725" w:type="pct"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 (0.00%)</w:t>
            </w:r>
          </w:p>
        </w:tc>
        <w:tc>
          <w:tcPr>
            <w:tcW w:w="721" w:type="pct"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2 (2.56%)</w:t>
            </w:r>
          </w:p>
        </w:tc>
        <w:tc>
          <w:tcPr>
            <w:tcW w:w="704" w:type="pct"/>
            <w:vAlign w:val="center"/>
          </w:tcPr>
          <w:p w:rsidR="004A3423" w:rsidRPr="003C53CE" w:rsidRDefault="00A5191C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0.000*</w:t>
            </w:r>
          </w:p>
        </w:tc>
      </w:tr>
      <w:tr w:rsidR="004A3423" w:rsidRPr="003C53CE" w:rsidTr="003C53CE">
        <w:trPr>
          <w:trHeight w:val="255"/>
        </w:trPr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Tense Ascites (42)</w:t>
            </w:r>
          </w:p>
        </w:tc>
        <w:tc>
          <w:tcPr>
            <w:tcW w:w="718" w:type="pct"/>
            <w:gridSpan w:val="2"/>
            <w:shd w:val="clear" w:color="auto" w:fill="auto"/>
            <w:noWrap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18 (39.13%)</w:t>
            </w:r>
          </w:p>
        </w:tc>
        <w:tc>
          <w:tcPr>
            <w:tcW w:w="721" w:type="pct"/>
            <w:gridSpan w:val="2"/>
            <w:shd w:val="clear" w:color="auto" w:fill="auto"/>
            <w:noWrap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6 (16.67%)</w:t>
            </w:r>
          </w:p>
        </w:tc>
        <w:tc>
          <w:tcPr>
            <w:tcW w:w="725" w:type="pct"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8 (11.11%)</w:t>
            </w:r>
          </w:p>
        </w:tc>
        <w:tc>
          <w:tcPr>
            <w:tcW w:w="721" w:type="pct"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10 (12.82%)</w:t>
            </w:r>
          </w:p>
        </w:tc>
        <w:tc>
          <w:tcPr>
            <w:tcW w:w="704" w:type="pct"/>
            <w:vAlign w:val="center"/>
          </w:tcPr>
          <w:p w:rsidR="004A3423" w:rsidRPr="003C53CE" w:rsidRDefault="0007763D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0.001*</w:t>
            </w:r>
          </w:p>
        </w:tc>
      </w:tr>
      <w:tr w:rsidR="004A3423" w:rsidRPr="003C53CE" w:rsidTr="003C53CE">
        <w:trPr>
          <w:trHeight w:val="255"/>
        </w:trPr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SBP (39)</w:t>
            </w:r>
          </w:p>
        </w:tc>
        <w:tc>
          <w:tcPr>
            <w:tcW w:w="718" w:type="pct"/>
            <w:gridSpan w:val="2"/>
            <w:shd w:val="clear" w:color="auto" w:fill="auto"/>
            <w:noWrap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14 (30.43%)</w:t>
            </w:r>
          </w:p>
        </w:tc>
        <w:tc>
          <w:tcPr>
            <w:tcW w:w="721" w:type="pct"/>
            <w:gridSpan w:val="2"/>
            <w:shd w:val="clear" w:color="auto" w:fill="auto"/>
            <w:noWrap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9 (25.00%)</w:t>
            </w:r>
          </w:p>
        </w:tc>
        <w:tc>
          <w:tcPr>
            <w:tcW w:w="725" w:type="pct"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8 (11.11%)</w:t>
            </w:r>
          </w:p>
        </w:tc>
        <w:tc>
          <w:tcPr>
            <w:tcW w:w="721" w:type="pct"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8 (10.26%)</w:t>
            </w:r>
          </w:p>
        </w:tc>
        <w:tc>
          <w:tcPr>
            <w:tcW w:w="704" w:type="pct"/>
            <w:vAlign w:val="center"/>
          </w:tcPr>
          <w:p w:rsidR="004A3423" w:rsidRPr="003C53CE" w:rsidRDefault="00C2765D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0.008*</w:t>
            </w:r>
            <w:bookmarkStart w:id="0" w:name="_GoBack"/>
            <w:bookmarkEnd w:id="0"/>
          </w:p>
        </w:tc>
      </w:tr>
      <w:tr w:rsidR="004A3423" w:rsidRPr="003C53CE" w:rsidTr="003C53CE">
        <w:trPr>
          <w:trHeight w:val="255"/>
        </w:trPr>
        <w:tc>
          <w:tcPr>
            <w:tcW w:w="1411" w:type="pct"/>
            <w:shd w:val="clear" w:color="auto" w:fill="auto"/>
            <w:noWrap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UGI Bleeding (48)</w:t>
            </w:r>
          </w:p>
        </w:tc>
        <w:tc>
          <w:tcPr>
            <w:tcW w:w="718" w:type="pct"/>
            <w:gridSpan w:val="2"/>
            <w:shd w:val="clear" w:color="auto" w:fill="auto"/>
            <w:noWrap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8 (17.39%)</w:t>
            </w:r>
          </w:p>
        </w:tc>
        <w:tc>
          <w:tcPr>
            <w:tcW w:w="721" w:type="pct"/>
            <w:gridSpan w:val="2"/>
            <w:shd w:val="clear" w:color="auto" w:fill="auto"/>
            <w:noWrap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10 (27.78%)</w:t>
            </w:r>
          </w:p>
        </w:tc>
        <w:tc>
          <w:tcPr>
            <w:tcW w:w="725" w:type="pct"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18 (25.00%)</w:t>
            </w:r>
          </w:p>
        </w:tc>
        <w:tc>
          <w:tcPr>
            <w:tcW w:w="721" w:type="pct"/>
            <w:vAlign w:val="center"/>
          </w:tcPr>
          <w:p w:rsidR="004A3423" w:rsidRPr="003C53CE" w:rsidRDefault="004A342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12 (15.38%)</w:t>
            </w:r>
          </w:p>
        </w:tc>
        <w:tc>
          <w:tcPr>
            <w:tcW w:w="704" w:type="pct"/>
            <w:vAlign w:val="center"/>
          </w:tcPr>
          <w:p w:rsidR="004A3423" w:rsidRPr="003C53CE" w:rsidRDefault="00C10673" w:rsidP="003C53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IN"/>
              </w:rPr>
            </w:pPr>
            <w:r w:rsidRPr="003C53CE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0.313</w:t>
            </w:r>
          </w:p>
        </w:tc>
      </w:tr>
    </w:tbl>
    <w:p w:rsidR="00886C1A" w:rsidRPr="003C53CE" w:rsidRDefault="00886C1A" w:rsidP="003C53CE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en-IN"/>
        </w:rPr>
      </w:pPr>
    </w:p>
    <w:p w:rsidR="00637440" w:rsidRPr="003C53CE" w:rsidRDefault="00637440" w:rsidP="003C53CE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en-IN"/>
        </w:rPr>
      </w:pPr>
    </w:p>
    <w:p w:rsidR="00637440" w:rsidRPr="003C53CE" w:rsidRDefault="00637440" w:rsidP="003C53CE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en-IN"/>
        </w:rPr>
      </w:pPr>
    </w:p>
    <w:p w:rsidR="00637440" w:rsidRPr="003C53CE" w:rsidRDefault="00637440" w:rsidP="003C53CE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en-IN"/>
        </w:rPr>
      </w:pPr>
    </w:p>
    <w:p w:rsidR="00637440" w:rsidRPr="003C53CE" w:rsidRDefault="00637440" w:rsidP="003C53CE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en-IN"/>
        </w:rPr>
      </w:pPr>
    </w:p>
    <w:p w:rsidR="00637440" w:rsidRPr="003C53CE" w:rsidRDefault="00637440" w:rsidP="003C53CE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en-IN"/>
        </w:rPr>
      </w:pPr>
    </w:p>
    <w:p w:rsidR="00637440" w:rsidRPr="003C53CE" w:rsidRDefault="00637440" w:rsidP="003C53CE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en-IN"/>
        </w:rPr>
      </w:pPr>
    </w:p>
    <w:p w:rsidR="00637440" w:rsidRPr="003C53CE" w:rsidRDefault="00637440" w:rsidP="003C53CE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en-IN"/>
        </w:rPr>
      </w:pPr>
    </w:p>
    <w:p w:rsidR="00637440" w:rsidRPr="003C53CE" w:rsidRDefault="00637440" w:rsidP="003C53CE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en-IN"/>
        </w:rPr>
      </w:pPr>
    </w:p>
    <w:p w:rsidR="00886C1A" w:rsidRPr="003C53CE" w:rsidRDefault="00886C1A" w:rsidP="003C53CE">
      <w:pPr>
        <w:spacing w:line="240" w:lineRule="auto"/>
        <w:rPr>
          <w:rFonts w:asciiTheme="majorBidi" w:hAnsiTheme="majorBidi" w:cstheme="majorBidi"/>
        </w:rPr>
      </w:pPr>
    </w:p>
    <w:sectPr w:rsidR="00886C1A" w:rsidRPr="003C53CE" w:rsidSect="007E3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04FB"/>
    <w:multiLevelType w:val="hybridMultilevel"/>
    <w:tmpl w:val="7D965C68"/>
    <w:lvl w:ilvl="0" w:tplc="4282C48A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20"/>
  <w:characterSpacingControl w:val="doNotCompress"/>
  <w:compat/>
  <w:rsids>
    <w:rsidRoot w:val="00637440"/>
    <w:rsid w:val="0007763D"/>
    <w:rsid w:val="00115D7F"/>
    <w:rsid w:val="00116B80"/>
    <w:rsid w:val="00167FE2"/>
    <w:rsid w:val="00180E0A"/>
    <w:rsid w:val="001A5DD1"/>
    <w:rsid w:val="002473AF"/>
    <w:rsid w:val="00287FBF"/>
    <w:rsid w:val="003823CF"/>
    <w:rsid w:val="003B770F"/>
    <w:rsid w:val="003C53CE"/>
    <w:rsid w:val="0041639A"/>
    <w:rsid w:val="00440396"/>
    <w:rsid w:val="004A3423"/>
    <w:rsid w:val="004B1E75"/>
    <w:rsid w:val="004E1F1D"/>
    <w:rsid w:val="00517D82"/>
    <w:rsid w:val="005A3F9D"/>
    <w:rsid w:val="00637440"/>
    <w:rsid w:val="00664E88"/>
    <w:rsid w:val="00673984"/>
    <w:rsid w:val="00677E30"/>
    <w:rsid w:val="00711808"/>
    <w:rsid w:val="00743657"/>
    <w:rsid w:val="007A5DB8"/>
    <w:rsid w:val="007C3A09"/>
    <w:rsid w:val="007E3DCC"/>
    <w:rsid w:val="007F4AA8"/>
    <w:rsid w:val="0085246A"/>
    <w:rsid w:val="00886C1A"/>
    <w:rsid w:val="008B610E"/>
    <w:rsid w:val="0092667F"/>
    <w:rsid w:val="00975BB7"/>
    <w:rsid w:val="009C7C44"/>
    <w:rsid w:val="00A00C71"/>
    <w:rsid w:val="00A44C9E"/>
    <w:rsid w:val="00A5191C"/>
    <w:rsid w:val="00A614E1"/>
    <w:rsid w:val="00A73ED7"/>
    <w:rsid w:val="00B83B53"/>
    <w:rsid w:val="00B90002"/>
    <w:rsid w:val="00BC22F6"/>
    <w:rsid w:val="00C10673"/>
    <w:rsid w:val="00C2765D"/>
    <w:rsid w:val="00C80CB0"/>
    <w:rsid w:val="00D90AF4"/>
    <w:rsid w:val="00DD2D51"/>
    <w:rsid w:val="00F159C3"/>
    <w:rsid w:val="00F671F3"/>
    <w:rsid w:val="00F8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24</cp:revision>
  <dcterms:created xsi:type="dcterms:W3CDTF">2019-01-29T11:16:00Z</dcterms:created>
  <dcterms:modified xsi:type="dcterms:W3CDTF">2021-06-18T13:57:00Z</dcterms:modified>
</cp:coreProperties>
</file>