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DF" w:rsidRDefault="009D3BDF" w:rsidP="009D3BDF">
      <w:pPr>
        <w:jc w:val="center"/>
        <w:rPr>
          <w:b/>
          <w:sz w:val="36"/>
          <w:szCs w:val="36"/>
        </w:rPr>
      </w:pPr>
    </w:p>
    <w:p w:rsidR="009F3910" w:rsidRDefault="009D3BDF" w:rsidP="009F3910">
      <w:pPr>
        <w:jc w:val="center"/>
        <w:rPr>
          <w:b/>
          <w:sz w:val="44"/>
          <w:szCs w:val="44"/>
        </w:rPr>
      </w:pPr>
      <w:r w:rsidRPr="009F3910">
        <w:rPr>
          <w:b/>
          <w:sz w:val="44"/>
          <w:szCs w:val="44"/>
        </w:rPr>
        <w:t xml:space="preserve">A </w:t>
      </w:r>
      <w:r w:rsidR="00E8761F">
        <w:rPr>
          <w:b/>
          <w:sz w:val="44"/>
          <w:szCs w:val="44"/>
        </w:rPr>
        <w:t>CLINICAL STUDY OF GU</w:t>
      </w:r>
      <w:r w:rsidR="00D601F9">
        <w:rPr>
          <w:b/>
          <w:sz w:val="44"/>
          <w:szCs w:val="44"/>
        </w:rPr>
        <w:t>I</w:t>
      </w:r>
      <w:r w:rsidR="00E8761F">
        <w:rPr>
          <w:b/>
          <w:sz w:val="44"/>
          <w:szCs w:val="44"/>
        </w:rPr>
        <w:t>LLAIN-BARRÉ</w:t>
      </w:r>
      <w:r w:rsidRPr="009F3910">
        <w:rPr>
          <w:b/>
          <w:sz w:val="44"/>
          <w:szCs w:val="44"/>
        </w:rPr>
        <w:t xml:space="preserve"> SYNDROME WITH SPECIAL REFERENCE TO PROGNOSTIC FACTORS</w:t>
      </w:r>
    </w:p>
    <w:p w:rsidR="009D3BDF" w:rsidRPr="009F3910" w:rsidRDefault="009F3910" w:rsidP="009F3910">
      <w:pPr>
        <w:rPr>
          <w:b/>
          <w:i/>
        </w:rPr>
      </w:pPr>
      <w:r w:rsidRPr="009F3910">
        <w:rPr>
          <w:i/>
        </w:rPr>
        <w:t>Bhattacharyya Kumar Dipen</w:t>
      </w:r>
      <w:r w:rsidR="009D3BDF" w:rsidRPr="009F3910">
        <w:rPr>
          <w:i/>
          <w:vertAlign w:val="superscript"/>
        </w:rPr>
        <w:t>1</w:t>
      </w:r>
      <w:r w:rsidR="009D3BDF" w:rsidRPr="009F3910">
        <w:rPr>
          <w:i/>
        </w:rPr>
        <w:t xml:space="preserve">, </w:t>
      </w:r>
      <w:r w:rsidRPr="009F3910">
        <w:rPr>
          <w:i/>
        </w:rPr>
        <w:t>Bhattacharyya Kumar Dipak</w:t>
      </w:r>
      <w:r w:rsidRPr="009F3910">
        <w:rPr>
          <w:i/>
          <w:vertAlign w:val="superscript"/>
        </w:rPr>
        <w:t>2</w:t>
      </w:r>
      <w:r w:rsidRPr="009F3910">
        <w:rPr>
          <w:i/>
        </w:rPr>
        <w:t>, Das Marami</w:t>
      </w:r>
      <w:r w:rsidRPr="009F3910">
        <w:rPr>
          <w:i/>
          <w:vertAlign w:val="superscript"/>
        </w:rPr>
        <w:t>3</w:t>
      </w:r>
      <w:r w:rsidRPr="009F3910">
        <w:rPr>
          <w:i/>
        </w:rPr>
        <w:t xml:space="preserve">, </w:t>
      </w:r>
      <w:proofErr w:type="spellStart"/>
      <w:r w:rsidRPr="009F3910">
        <w:rPr>
          <w:i/>
        </w:rPr>
        <w:t>Baruah</w:t>
      </w:r>
      <w:proofErr w:type="spellEnd"/>
      <w:r w:rsidRPr="009F3910">
        <w:rPr>
          <w:i/>
        </w:rPr>
        <w:t xml:space="preserve"> Chitralekha</w:t>
      </w:r>
      <w:r w:rsidRPr="009F3910">
        <w:rPr>
          <w:i/>
          <w:vertAlign w:val="superscript"/>
        </w:rPr>
        <w:t>4</w:t>
      </w:r>
      <w:r w:rsidRPr="009F3910">
        <w:rPr>
          <w:i/>
        </w:rPr>
        <w:t>,</w:t>
      </w:r>
      <w:r w:rsidR="009D3BDF" w:rsidRPr="009F3910">
        <w:rPr>
          <w:i/>
        </w:rPr>
        <w:t xml:space="preserve"> </w:t>
      </w:r>
      <w:proofErr w:type="spellStart"/>
      <w:r w:rsidR="009D3BDF" w:rsidRPr="009F3910">
        <w:rPr>
          <w:i/>
        </w:rPr>
        <w:t>Ateek</w:t>
      </w:r>
      <w:proofErr w:type="spellEnd"/>
      <w:r w:rsidRPr="009F3910">
        <w:rPr>
          <w:i/>
        </w:rPr>
        <w:t xml:space="preserve"> </w:t>
      </w:r>
      <w:proofErr w:type="spellStart"/>
      <w:r w:rsidRPr="009F3910">
        <w:rPr>
          <w:i/>
        </w:rPr>
        <w:t>Zain</w:t>
      </w:r>
      <w:proofErr w:type="spellEnd"/>
      <w:r w:rsidRPr="009F3910">
        <w:rPr>
          <w:i/>
        </w:rPr>
        <w:t xml:space="preserve"> Fakih</w:t>
      </w:r>
      <w:r w:rsidRPr="009F3910">
        <w:rPr>
          <w:i/>
          <w:vertAlign w:val="superscript"/>
        </w:rPr>
        <w:t>5</w:t>
      </w:r>
      <w:r w:rsidRPr="009F3910">
        <w:rPr>
          <w:i/>
        </w:rPr>
        <w:t>.</w:t>
      </w:r>
    </w:p>
    <w:p w:rsidR="009D3BDF" w:rsidRDefault="009D3BDF" w:rsidP="009D3BDF">
      <w:pPr>
        <w:rPr>
          <w:b/>
          <w:sz w:val="20"/>
          <w:szCs w:val="20"/>
          <w:u w:val="single"/>
        </w:rPr>
      </w:pPr>
      <w:proofErr w:type="gramStart"/>
      <w:r w:rsidRPr="009F3910">
        <w:rPr>
          <w:b/>
          <w:u w:val="single"/>
        </w:rPr>
        <w:t>ABSTRACT :</w:t>
      </w:r>
      <w:proofErr w:type="gramEnd"/>
      <w:r w:rsidR="009F3910">
        <w:rPr>
          <w:b/>
          <w:u w:val="single"/>
        </w:rPr>
        <w:t xml:space="preserve"> </w:t>
      </w:r>
    </w:p>
    <w:p w:rsidR="009F3910" w:rsidRDefault="00E8761F" w:rsidP="00734D72">
      <w:pPr>
        <w:jc w:val="both"/>
        <w:rPr>
          <w:sz w:val="20"/>
          <w:szCs w:val="20"/>
        </w:rPr>
      </w:pPr>
      <w:proofErr w:type="gramStart"/>
      <w:r>
        <w:rPr>
          <w:sz w:val="20"/>
          <w:szCs w:val="20"/>
          <w:u w:val="single"/>
        </w:rPr>
        <w:t>Purpose :</w:t>
      </w:r>
      <w:proofErr w:type="gramEnd"/>
      <w:r w:rsidR="00734D72">
        <w:rPr>
          <w:sz w:val="20"/>
          <w:szCs w:val="20"/>
        </w:rPr>
        <w:t xml:space="preserve">  </w:t>
      </w:r>
      <w:proofErr w:type="spellStart"/>
      <w:r>
        <w:rPr>
          <w:sz w:val="20"/>
          <w:szCs w:val="20"/>
        </w:rPr>
        <w:t>Gu</w:t>
      </w:r>
      <w:r w:rsidR="00D601F9">
        <w:rPr>
          <w:sz w:val="20"/>
          <w:szCs w:val="20"/>
        </w:rPr>
        <w:t>i</w:t>
      </w:r>
      <w:r>
        <w:rPr>
          <w:sz w:val="20"/>
          <w:szCs w:val="20"/>
        </w:rPr>
        <w:t>llain-Barré</w:t>
      </w:r>
      <w:proofErr w:type="spellEnd"/>
      <w:r w:rsidR="00734D72">
        <w:rPr>
          <w:sz w:val="20"/>
          <w:szCs w:val="20"/>
        </w:rPr>
        <w:t xml:space="preserve"> Syndrome (GBS), an acute onset </w:t>
      </w:r>
      <w:proofErr w:type="spellStart"/>
      <w:r w:rsidR="00734D72">
        <w:rPr>
          <w:sz w:val="20"/>
          <w:szCs w:val="20"/>
        </w:rPr>
        <w:t>polyradiculopathy</w:t>
      </w:r>
      <w:proofErr w:type="spellEnd"/>
      <w:r w:rsidR="00734D72">
        <w:rPr>
          <w:sz w:val="20"/>
          <w:szCs w:val="20"/>
        </w:rPr>
        <w:t>, is usually associated with good prognosis, but at times it may lead to poor prognosis leaving behind severe disabilities. Clinical presentation at onset may serve as important indicator of prognosis and outcome.</w:t>
      </w:r>
    </w:p>
    <w:p w:rsidR="001D23AE" w:rsidRDefault="001D23AE" w:rsidP="00734D72">
      <w:pPr>
        <w:jc w:val="both"/>
        <w:rPr>
          <w:sz w:val="20"/>
          <w:szCs w:val="20"/>
        </w:rPr>
      </w:pPr>
      <w:proofErr w:type="gramStart"/>
      <w:r>
        <w:rPr>
          <w:sz w:val="20"/>
          <w:szCs w:val="20"/>
          <w:u w:val="single"/>
        </w:rPr>
        <w:t>Methods :</w:t>
      </w:r>
      <w:proofErr w:type="gramEnd"/>
      <w:r>
        <w:rPr>
          <w:sz w:val="20"/>
          <w:szCs w:val="20"/>
        </w:rPr>
        <w:t xml:space="preserve"> </w:t>
      </w:r>
      <w:r w:rsidR="002F0716">
        <w:rPr>
          <w:sz w:val="20"/>
          <w:szCs w:val="20"/>
        </w:rPr>
        <w:t xml:space="preserve">The study, conducted on 52 patients of GBS attending Medicine and Neurology Departments of </w:t>
      </w:r>
      <w:proofErr w:type="spellStart"/>
      <w:r w:rsidR="002F0716">
        <w:rPr>
          <w:sz w:val="20"/>
          <w:szCs w:val="20"/>
        </w:rPr>
        <w:t>Gauhati</w:t>
      </w:r>
      <w:proofErr w:type="spellEnd"/>
      <w:r w:rsidR="002F0716">
        <w:rPr>
          <w:sz w:val="20"/>
          <w:szCs w:val="20"/>
        </w:rPr>
        <w:t xml:space="preserve"> Medical College Hospital over a period of one year, were evaluated by taking proper history, doing detailed clinical examination and performing relevant laboratory investigations including Nerve Conduction Velocity (NCV) testing. Patients were followed up after one month</w:t>
      </w:r>
      <w:r w:rsidR="009A091A">
        <w:rPr>
          <w:sz w:val="20"/>
          <w:szCs w:val="20"/>
        </w:rPr>
        <w:t xml:space="preserve"> and assessed for disabilities.</w:t>
      </w:r>
    </w:p>
    <w:p w:rsidR="009A091A" w:rsidRDefault="009A091A" w:rsidP="00734D72">
      <w:pPr>
        <w:jc w:val="both"/>
        <w:rPr>
          <w:sz w:val="20"/>
          <w:szCs w:val="20"/>
        </w:rPr>
      </w:pPr>
      <w:proofErr w:type="gramStart"/>
      <w:r w:rsidRPr="009A091A">
        <w:rPr>
          <w:sz w:val="20"/>
          <w:szCs w:val="20"/>
          <w:u w:val="single"/>
        </w:rPr>
        <w:t>Results :</w:t>
      </w:r>
      <w:proofErr w:type="gramEnd"/>
      <w:r>
        <w:rPr>
          <w:sz w:val="20"/>
          <w:szCs w:val="20"/>
          <w:u w:val="single"/>
        </w:rPr>
        <w:t xml:space="preserve"> </w:t>
      </w:r>
      <w:r>
        <w:rPr>
          <w:sz w:val="20"/>
          <w:szCs w:val="20"/>
        </w:rPr>
        <w:t xml:space="preserve"> The patients, more males in number, presented mostly in the third decade of life</w:t>
      </w:r>
      <w:r w:rsidR="00B03213">
        <w:rPr>
          <w:sz w:val="20"/>
          <w:szCs w:val="20"/>
        </w:rPr>
        <w:t xml:space="preserve"> with more incidence during summer season and with a history of antecedent infection, cranial nerve (mostly </w:t>
      </w:r>
      <w:proofErr w:type="spellStart"/>
      <w:r w:rsidR="00B03213">
        <w:rPr>
          <w:sz w:val="20"/>
          <w:szCs w:val="20"/>
        </w:rPr>
        <w:t>VIIth</w:t>
      </w:r>
      <w:proofErr w:type="spellEnd"/>
      <w:r w:rsidR="00B03213">
        <w:rPr>
          <w:sz w:val="20"/>
          <w:szCs w:val="20"/>
        </w:rPr>
        <w:t>) involvement, autonomic dysfunction, respiratory muscle paralysis and sensory symptoms. On follow up after one month, 57.7% patients had good prognosis with minimal residual disability while rest showed significant disability. Advancing age (&gt;</w:t>
      </w:r>
      <w:r w:rsidR="00786338">
        <w:rPr>
          <w:sz w:val="20"/>
          <w:szCs w:val="20"/>
        </w:rPr>
        <w:t>50 years), severe physical disability on admission with</w:t>
      </w:r>
      <w:r w:rsidR="00B03213">
        <w:rPr>
          <w:sz w:val="20"/>
          <w:szCs w:val="20"/>
        </w:rPr>
        <w:t xml:space="preserve"> histor</w:t>
      </w:r>
      <w:r w:rsidR="00786338">
        <w:rPr>
          <w:sz w:val="20"/>
          <w:szCs w:val="20"/>
        </w:rPr>
        <w:t>y of diarr</w:t>
      </w:r>
      <w:r w:rsidR="00B03213">
        <w:rPr>
          <w:sz w:val="20"/>
          <w:szCs w:val="20"/>
        </w:rPr>
        <w:t>hoea</w:t>
      </w:r>
      <w:r w:rsidR="00786338">
        <w:rPr>
          <w:sz w:val="20"/>
          <w:szCs w:val="20"/>
        </w:rPr>
        <w:t xml:space="preserve"> before onset of GBS</w:t>
      </w:r>
      <w:r w:rsidR="00B03213">
        <w:rPr>
          <w:sz w:val="20"/>
          <w:szCs w:val="20"/>
        </w:rPr>
        <w:t>,</w:t>
      </w:r>
      <w:r w:rsidR="00786338">
        <w:rPr>
          <w:sz w:val="20"/>
          <w:szCs w:val="20"/>
        </w:rPr>
        <w:t xml:space="preserve"> cranial nerve involvement and autonomic dysfunction are seen to be associated with poor prognosis.</w:t>
      </w:r>
    </w:p>
    <w:p w:rsidR="00786338" w:rsidRDefault="00786338" w:rsidP="00734D72">
      <w:pPr>
        <w:jc w:val="both"/>
        <w:rPr>
          <w:sz w:val="20"/>
          <w:szCs w:val="20"/>
        </w:rPr>
      </w:pPr>
      <w:proofErr w:type="gramStart"/>
      <w:r w:rsidRPr="00786338">
        <w:rPr>
          <w:sz w:val="20"/>
          <w:szCs w:val="20"/>
          <w:u w:val="single"/>
        </w:rPr>
        <w:t>Conclusion :</w:t>
      </w:r>
      <w:proofErr w:type="gramEnd"/>
      <w:r>
        <w:rPr>
          <w:sz w:val="20"/>
          <w:szCs w:val="20"/>
          <w:u w:val="single"/>
        </w:rPr>
        <w:t xml:space="preserve"> </w:t>
      </w:r>
      <w:r>
        <w:rPr>
          <w:sz w:val="20"/>
          <w:szCs w:val="20"/>
        </w:rPr>
        <w:t>Proper identification the prognostic factors of poor outcome, at the time of presentation, may help to plan strategies for proper management and prevention of residual disabilities of GBS.</w:t>
      </w:r>
    </w:p>
    <w:p w:rsidR="00956473" w:rsidRPr="00956473" w:rsidRDefault="00956473" w:rsidP="00734D72">
      <w:pPr>
        <w:jc w:val="both"/>
        <w:rPr>
          <w:sz w:val="20"/>
          <w:szCs w:val="20"/>
        </w:rPr>
      </w:pPr>
      <w:r>
        <w:rPr>
          <w:b/>
          <w:i/>
          <w:sz w:val="20"/>
          <w:szCs w:val="20"/>
        </w:rPr>
        <w:t xml:space="preserve">Key </w:t>
      </w:r>
      <w:proofErr w:type="gramStart"/>
      <w:r>
        <w:rPr>
          <w:b/>
          <w:i/>
          <w:sz w:val="20"/>
          <w:szCs w:val="20"/>
        </w:rPr>
        <w:t xml:space="preserve">words </w:t>
      </w:r>
      <w:r w:rsidRPr="00956473">
        <w:rPr>
          <w:b/>
          <w:i/>
          <w:sz w:val="20"/>
          <w:szCs w:val="20"/>
        </w:rPr>
        <w:t>:</w:t>
      </w:r>
      <w:proofErr w:type="gramEnd"/>
      <w:r w:rsidRPr="00956473">
        <w:rPr>
          <w:i/>
          <w:sz w:val="20"/>
          <w:szCs w:val="20"/>
        </w:rPr>
        <w:t xml:space="preserve"> </w:t>
      </w:r>
      <w:proofErr w:type="spellStart"/>
      <w:r w:rsidRPr="00956473">
        <w:rPr>
          <w:i/>
          <w:sz w:val="20"/>
          <w:szCs w:val="20"/>
        </w:rPr>
        <w:t>Polyradiculopathy</w:t>
      </w:r>
      <w:proofErr w:type="spellEnd"/>
      <w:r w:rsidRPr="00956473">
        <w:rPr>
          <w:i/>
          <w:sz w:val="20"/>
          <w:szCs w:val="20"/>
        </w:rPr>
        <w:t>, autonomic dysfunction, nerve conduction velocity, cranial nerve involvement</w:t>
      </w:r>
    </w:p>
    <w:p w:rsidR="00786338" w:rsidRDefault="00956473" w:rsidP="00734D72">
      <w:pPr>
        <w:jc w:val="both"/>
        <w:rPr>
          <w:b/>
        </w:rPr>
      </w:pPr>
      <w:r>
        <w:rPr>
          <w:b/>
        </w:rPr>
        <w:t xml:space="preserve">Address for correspondence and </w:t>
      </w:r>
      <w:proofErr w:type="gramStart"/>
      <w:r>
        <w:rPr>
          <w:b/>
        </w:rPr>
        <w:t>reprint :</w:t>
      </w:r>
      <w:proofErr w:type="gramEnd"/>
    </w:p>
    <w:p w:rsidR="00956473" w:rsidRDefault="00956473" w:rsidP="00734D72">
      <w:pPr>
        <w:jc w:val="both"/>
        <w:rPr>
          <w:sz w:val="20"/>
          <w:szCs w:val="20"/>
        </w:rPr>
      </w:pPr>
      <w:proofErr w:type="gramStart"/>
      <w:r>
        <w:rPr>
          <w:sz w:val="20"/>
          <w:szCs w:val="20"/>
          <w:vertAlign w:val="superscript"/>
        </w:rPr>
        <w:t>1</w:t>
      </w:r>
      <w:r>
        <w:rPr>
          <w:sz w:val="20"/>
          <w:szCs w:val="20"/>
        </w:rPr>
        <w:t xml:space="preserve"> Associate Professor of Medicine, Assam Medical College, </w:t>
      </w:r>
      <w:proofErr w:type="spellStart"/>
      <w:r>
        <w:rPr>
          <w:sz w:val="20"/>
          <w:szCs w:val="20"/>
        </w:rPr>
        <w:t>Dibrugarh</w:t>
      </w:r>
      <w:proofErr w:type="spellEnd"/>
      <w:r>
        <w:rPr>
          <w:sz w:val="20"/>
          <w:szCs w:val="20"/>
        </w:rPr>
        <w:t>, Assam, India.</w:t>
      </w:r>
      <w:proofErr w:type="gramEnd"/>
    </w:p>
    <w:p w:rsidR="00956473" w:rsidRDefault="00956473" w:rsidP="00734D72">
      <w:pPr>
        <w:jc w:val="both"/>
        <w:rPr>
          <w:sz w:val="20"/>
          <w:szCs w:val="20"/>
        </w:rPr>
      </w:pPr>
      <w:proofErr w:type="gramStart"/>
      <w:r>
        <w:rPr>
          <w:b/>
        </w:rPr>
        <w:t>Email :</w:t>
      </w:r>
      <w:proofErr w:type="gramEnd"/>
      <w:r>
        <w:rPr>
          <w:sz w:val="20"/>
          <w:szCs w:val="20"/>
        </w:rPr>
        <w:t xml:space="preserve"> </w:t>
      </w:r>
      <w:hyperlink r:id="rId6" w:history="1">
        <w:r w:rsidRPr="00F03636">
          <w:rPr>
            <w:rStyle w:val="Hyperlink"/>
            <w:sz w:val="20"/>
            <w:szCs w:val="20"/>
          </w:rPr>
          <w:t>bhattadipen63@gmail.com</w:t>
        </w:r>
      </w:hyperlink>
    </w:p>
    <w:p w:rsidR="00956473" w:rsidRDefault="00956473" w:rsidP="00734D72">
      <w:pPr>
        <w:jc w:val="both"/>
        <w:rPr>
          <w:sz w:val="20"/>
          <w:szCs w:val="20"/>
        </w:rPr>
      </w:pPr>
      <w:proofErr w:type="gramStart"/>
      <w:r>
        <w:rPr>
          <w:b/>
        </w:rPr>
        <w:t>Mobile :</w:t>
      </w:r>
      <w:proofErr w:type="gramEnd"/>
      <w:r>
        <w:rPr>
          <w:sz w:val="20"/>
          <w:szCs w:val="20"/>
        </w:rPr>
        <w:t xml:space="preserve"> +919864012133 / +918812861139</w:t>
      </w:r>
    </w:p>
    <w:p w:rsidR="002C32EF" w:rsidRDefault="002C32EF" w:rsidP="00734D72">
      <w:pPr>
        <w:jc w:val="both"/>
        <w:rPr>
          <w:sz w:val="20"/>
          <w:szCs w:val="20"/>
        </w:rPr>
      </w:pPr>
      <w:proofErr w:type="gramStart"/>
      <w:r>
        <w:rPr>
          <w:sz w:val="20"/>
          <w:szCs w:val="20"/>
          <w:vertAlign w:val="superscript"/>
        </w:rPr>
        <w:t>2</w:t>
      </w:r>
      <w:r>
        <w:rPr>
          <w:sz w:val="20"/>
          <w:szCs w:val="20"/>
        </w:rPr>
        <w:t xml:space="preserve"> Associate Professor and Head, Cardiothoracic and Vascular Surgery, Assam Medical College, </w:t>
      </w:r>
      <w:proofErr w:type="spellStart"/>
      <w:r>
        <w:rPr>
          <w:sz w:val="20"/>
          <w:szCs w:val="20"/>
        </w:rPr>
        <w:t>Dibrugarh</w:t>
      </w:r>
      <w:proofErr w:type="spellEnd"/>
      <w:r>
        <w:rPr>
          <w:sz w:val="20"/>
          <w:szCs w:val="20"/>
        </w:rPr>
        <w:t>, Assam, India.</w:t>
      </w:r>
      <w:proofErr w:type="gramEnd"/>
    </w:p>
    <w:p w:rsidR="002C32EF" w:rsidRPr="002C32EF" w:rsidRDefault="002C32EF" w:rsidP="00734D72">
      <w:pPr>
        <w:jc w:val="both"/>
        <w:rPr>
          <w:sz w:val="20"/>
          <w:szCs w:val="20"/>
        </w:rPr>
      </w:pPr>
      <w:r>
        <w:rPr>
          <w:sz w:val="20"/>
          <w:szCs w:val="20"/>
          <w:vertAlign w:val="superscript"/>
        </w:rPr>
        <w:t xml:space="preserve">3 </w:t>
      </w:r>
      <w:r>
        <w:rPr>
          <w:sz w:val="20"/>
          <w:szCs w:val="20"/>
        </w:rPr>
        <w:t xml:space="preserve">Associate Professor of Neurology, </w:t>
      </w:r>
      <w:r>
        <w:rPr>
          <w:sz w:val="20"/>
          <w:szCs w:val="20"/>
          <w:vertAlign w:val="superscript"/>
        </w:rPr>
        <w:t>4</w:t>
      </w:r>
      <w:r>
        <w:rPr>
          <w:sz w:val="20"/>
          <w:szCs w:val="20"/>
        </w:rPr>
        <w:t xml:space="preserve">Professor of Medicine, </w:t>
      </w:r>
      <w:r>
        <w:rPr>
          <w:sz w:val="20"/>
          <w:szCs w:val="20"/>
          <w:vertAlign w:val="superscript"/>
        </w:rPr>
        <w:t xml:space="preserve">5 </w:t>
      </w:r>
      <w:r>
        <w:rPr>
          <w:sz w:val="20"/>
          <w:szCs w:val="20"/>
        </w:rPr>
        <w:t xml:space="preserve">Post Graduate trainee in Medicine, </w:t>
      </w:r>
      <w:proofErr w:type="spellStart"/>
      <w:r>
        <w:rPr>
          <w:sz w:val="20"/>
          <w:szCs w:val="20"/>
        </w:rPr>
        <w:t>Gauhati</w:t>
      </w:r>
      <w:proofErr w:type="spellEnd"/>
      <w:r>
        <w:rPr>
          <w:sz w:val="20"/>
          <w:szCs w:val="20"/>
        </w:rPr>
        <w:t xml:space="preserve"> Medical College, Guwahati, Assam, India.</w:t>
      </w:r>
    </w:p>
    <w:p w:rsidR="009D3BDF" w:rsidRDefault="009D3BDF" w:rsidP="009D3BDF">
      <w:pPr>
        <w:rPr>
          <w:b/>
          <w:sz w:val="32"/>
          <w:szCs w:val="32"/>
          <w:u w:val="single"/>
        </w:rPr>
      </w:pPr>
    </w:p>
    <w:p w:rsidR="009D3BDF" w:rsidRDefault="009D3BDF" w:rsidP="009D3BDF">
      <w:pPr>
        <w:rPr>
          <w:b/>
          <w:sz w:val="32"/>
          <w:szCs w:val="32"/>
          <w:u w:val="single"/>
        </w:rPr>
      </w:pPr>
    </w:p>
    <w:p w:rsidR="009D3BDF" w:rsidRDefault="002C1208" w:rsidP="009D3BDF">
      <w:pPr>
        <w:rPr>
          <w:b/>
          <w:sz w:val="32"/>
          <w:szCs w:val="32"/>
          <w:u w:val="single"/>
        </w:rPr>
      </w:pPr>
      <w:r>
        <w:rPr>
          <w:b/>
          <w:sz w:val="32"/>
          <w:szCs w:val="32"/>
          <w:u w:val="single"/>
        </w:rPr>
        <w:t xml:space="preserve"> </w:t>
      </w:r>
    </w:p>
    <w:p w:rsidR="009D3BDF" w:rsidRDefault="009D3BDF" w:rsidP="00EC2968">
      <w:pPr>
        <w:jc w:val="both"/>
        <w:rPr>
          <w:sz w:val="20"/>
          <w:szCs w:val="20"/>
        </w:rPr>
      </w:pPr>
      <w:proofErr w:type="gramStart"/>
      <w:r w:rsidRPr="002C32EF">
        <w:rPr>
          <w:b/>
          <w:u w:val="single"/>
        </w:rPr>
        <w:t>INTRODUCTION :</w:t>
      </w:r>
      <w:proofErr w:type="gramEnd"/>
      <w:r w:rsidR="00941887">
        <w:rPr>
          <w:sz w:val="20"/>
          <w:szCs w:val="20"/>
        </w:rPr>
        <w:t xml:space="preserve"> </w:t>
      </w:r>
      <w:proofErr w:type="spellStart"/>
      <w:r w:rsidR="00941887">
        <w:rPr>
          <w:sz w:val="20"/>
          <w:szCs w:val="20"/>
        </w:rPr>
        <w:t>Gu</w:t>
      </w:r>
      <w:r w:rsidR="00D601F9">
        <w:rPr>
          <w:sz w:val="20"/>
          <w:szCs w:val="20"/>
        </w:rPr>
        <w:t>i</w:t>
      </w:r>
      <w:r w:rsidR="00941887">
        <w:rPr>
          <w:sz w:val="20"/>
          <w:szCs w:val="20"/>
        </w:rPr>
        <w:t>llain</w:t>
      </w:r>
      <w:proofErr w:type="spellEnd"/>
      <w:r w:rsidR="00941887">
        <w:rPr>
          <w:sz w:val="20"/>
          <w:szCs w:val="20"/>
        </w:rPr>
        <w:t xml:space="preserve"> </w:t>
      </w:r>
      <w:proofErr w:type="spellStart"/>
      <w:r w:rsidR="00941887">
        <w:rPr>
          <w:sz w:val="20"/>
          <w:szCs w:val="20"/>
        </w:rPr>
        <w:t>Barré</w:t>
      </w:r>
      <w:proofErr w:type="spellEnd"/>
      <w:r w:rsidR="00941887">
        <w:rPr>
          <w:sz w:val="20"/>
          <w:szCs w:val="20"/>
        </w:rPr>
        <w:t xml:space="preserve"> Syndrome (GBS) </w:t>
      </w:r>
      <w:r w:rsidR="00EC2968">
        <w:rPr>
          <w:sz w:val="20"/>
          <w:szCs w:val="20"/>
        </w:rPr>
        <w:t xml:space="preserve">is an acute, frequently severe, and fulminant poly-radiculopathy that is auto immune in nature and is the most common cause of acute or </w:t>
      </w:r>
      <w:proofErr w:type="spellStart"/>
      <w:r w:rsidR="00EC2968">
        <w:rPr>
          <w:sz w:val="20"/>
          <w:szCs w:val="20"/>
        </w:rPr>
        <w:t>subacute</w:t>
      </w:r>
      <w:proofErr w:type="spellEnd"/>
      <w:r w:rsidR="00EC2968">
        <w:rPr>
          <w:sz w:val="20"/>
          <w:szCs w:val="20"/>
        </w:rPr>
        <w:t xml:space="preserve"> generalised paralysis in practice.</w:t>
      </w:r>
      <w:r w:rsidR="00EC2968">
        <w:rPr>
          <w:sz w:val="20"/>
          <w:szCs w:val="20"/>
          <w:vertAlign w:val="superscript"/>
        </w:rPr>
        <w:t>1,2</w:t>
      </w:r>
      <w:r w:rsidR="00EC2968">
        <w:rPr>
          <w:sz w:val="20"/>
          <w:szCs w:val="20"/>
        </w:rPr>
        <w:t xml:space="preserve"> It is seen more commonly in the 5</w:t>
      </w:r>
      <w:r w:rsidR="00EC2968" w:rsidRPr="00EC2968">
        <w:rPr>
          <w:sz w:val="20"/>
          <w:szCs w:val="20"/>
          <w:vertAlign w:val="superscript"/>
        </w:rPr>
        <w:t>th</w:t>
      </w:r>
      <w:r w:rsidR="00EC2968">
        <w:rPr>
          <w:sz w:val="20"/>
          <w:szCs w:val="20"/>
        </w:rPr>
        <w:t xml:space="preserve"> decade</w:t>
      </w:r>
      <w:r w:rsidR="003165F8">
        <w:rPr>
          <w:sz w:val="20"/>
          <w:szCs w:val="20"/>
        </w:rPr>
        <w:t xml:space="preserve"> with equal prevalence in both sexes</w:t>
      </w:r>
      <w:r w:rsidR="00EC2968">
        <w:rPr>
          <w:sz w:val="20"/>
          <w:szCs w:val="20"/>
        </w:rPr>
        <w:t xml:space="preserve"> in the western countries, but Indian studies</w:t>
      </w:r>
      <w:r w:rsidR="00A83BE3">
        <w:rPr>
          <w:sz w:val="20"/>
          <w:szCs w:val="20"/>
        </w:rPr>
        <w:t xml:space="preserve"> have reported an younger presentation</w:t>
      </w:r>
      <w:r w:rsidR="003165F8">
        <w:rPr>
          <w:sz w:val="20"/>
          <w:szCs w:val="20"/>
        </w:rPr>
        <w:t xml:space="preserve"> with male preponderance amongst hospitalised patients.</w:t>
      </w:r>
      <w:r w:rsidR="003165F8">
        <w:rPr>
          <w:sz w:val="20"/>
          <w:szCs w:val="20"/>
          <w:vertAlign w:val="superscript"/>
        </w:rPr>
        <w:t>3</w:t>
      </w:r>
      <w:r w:rsidR="003165F8">
        <w:rPr>
          <w:sz w:val="20"/>
          <w:szCs w:val="20"/>
        </w:rPr>
        <w:t xml:space="preserve"> </w:t>
      </w:r>
    </w:p>
    <w:p w:rsidR="003165F8" w:rsidRDefault="003165F8" w:rsidP="00EC2968">
      <w:pPr>
        <w:jc w:val="both"/>
        <w:rPr>
          <w:sz w:val="20"/>
          <w:szCs w:val="20"/>
        </w:rPr>
      </w:pPr>
      <w:r>
        <w:rPr>
          <w:sz w:val="20"/>
          <w:szCs w:val="20"/>
        </w:rPr>
        <w:t xml:space="preserve">GBS causes rapidly progressive acute flaccid diffuse proximal and distal weakness of the limbs, with or without sensory involvement, usually in an ascending pattern, reaching the peak of weakness within 4 weeks and often involving facial, bulbar and/or respiratory muscles. Autonomic involvement with loss of vasomotor control </w:t>
      </w:r>
      <w:r w:rsidR="00D601F9">
        <w:rPr>
          <w:sz w:val="20"/>
          <w:szCs w:val="20"/>
        </w:rPr>
        <w:t>with wide fluctuation in bloo</w:t>
      </w:r>
      <w:r w:rsidR="00EC7DD3">
        <w:rPr>
          <w:sz w:val="20"/>
          <w:szCs w:val="20"/>
        </w:rPr>
        <w:t>d pressure</w:t>
      </w:r>
      <w:r w:rsidR="00D601F9">
        <w:rPr>
          <w:sz w:val="20"/>
          <w:szCs w:val="20"/>
        </w:rPr>
        <w:t xml:space="preserve"> and cardiac arrhythmias are common.</w:t>
      </w:r>
      <w:r w:rsidR="00D601F9">
        <w:rPr>
          <w:sz w:val="20"/>
          <w:szCs w:val="20"/>
          <w:vertAlign w:val="superscript"/>
        </w:rPr>
        <w:t>1</w:t>
      </w:r>
      <w:r w:rsidR="008337B4">
        <w:rPr>
          <w:sz w:val="20"/>
          <w:szCs w:val="20"/>
        </w:rPr>
        <w:t xml:space="preserve"> </w:t>
      </w:r>
    </w:p>
    <w:p w:rsidR="003A7CD9" w:rsidRDefault="003A7CD9" w:rsidP="00EC2968">
      <w:pPr>
        <w:jc w:val="both"/>
        <w:rPr>
          <w:sz w:val="20"/>
          <w:szCs w:val="20"/>
          <w:vertAlign w:val="superscript"/>
        </w:rPr>
      </w:pPr>
      <w:r>
        <w:rPr>
          <w:sz w:val="20"/>
          <w:szCs w:val="20"/>
        </w:rPr>
        <w:t>Antecedent infection of respiratory and gastro-intestinal systems with a clear seasonal variation in the incidence of GBS has been repor</w:t>
      </w:r>
      <w:r w:rsidR="002042EB">
        <w:rPr>
          <w:sz w:val="20"/>
          <w:szCs w:val="20"/>
        </w:rPr>
        <w:t>ted in many studies worldwide.</w:t>
      </w:r>
      <w:r>
        <w:rPr>
          <w:sz w:val="20"/>
          <w:szCs w:val="20"/>
          <w:vertAlign w:val="superscript"/>
        </w:rPr>
        <w:t>4</w:t>
      </w:r>
      <w:proofErr w:type="gramStart"/>
      <w:r>
        <w:rPr>
          <w:sz w:val="20"/>
          <w:szCs w:val="20"/>
          <w:vertAlign w:val="superscript"/>
        </w:rPr>
        <w:t>,5</w:t>
      </w:r>
      <w:proofErr w:type="gramEnd"/>
      <w:r>
        <w:rPr>
          <w:sz w:val="20"/>
          <w:szCs w:val="20"/>
        </w:rPr>
        <w:t xml:space="preserve"> </w:t>
      </w:r>
      <w:r w:rsidR="00C30291">
        <w:rPr>
          <w:sz w:val="20"/>
          <w:szCs w:val="20"/>
        </w:rPr>
        <w:t>A latent period of around two weeks have been reported between the antecedent infection and occurrence of GBS.</w:t>
      </w:r>
      <w:r w:rsidR="009946C3">
        <w:rPr>
          <w:sz w:val="20"/>
          <w:szCs w:val="20"/>
          <w:vertAlign w:val="superscript"/>
        </w:rPr>
        <w:t>6</w:t>
      </w:r>
    </w:p>
    <w:p w:rsidR="009946C3" w:rsidRDefault="009946C3" w:rsidP="00EC2968">
      <w:pPr>
        <w:jc w:val="both"/>
        <w:rPr>
          <w:sz w:val="20"/>
          <w:szCs w:val="20"/>
        </w:rPr>
      </w:pPr>
      <w:r>
        <w:rPr>
          <w:sz w:val="20"/>
          <w:szCs w:val="20"/>
        </w:rPr>
        <w:t>Involvement of cranial nerves, mainly III, IV, VI, VII, IX and X are reported commonly in many studies while respiratory muscle paralysis is seen in some of the cases.</w:t>
      </w:r>
      <w:r>
        <w:rPr>
          <w:sz w:val="20"/>
          <w:szCs w:val="20"/>
          <w:vertAlign w:val="superscript"/>
        </w:rPr>
        <w:t>6</w:t>
      </w:r>
      <w:proofErr w:type="gramStart"/>
      <w:r w:rsidR="00456D89">
        <w:rPr>
          <w:sz w:val="20"/>
          <w:szCs w:val="20"/>
          <w:vertAlign w:val="superscript"/>
        </w:rPr>
        <w:t>,7</w:t>
      </w:r>
      <w:proofErr w:type="gramEnd"/>
      <w:r w:rsidR="00456D89">
        <w:rPr>
          <w:sz w:val="20"/>
          <w:szCs w:val="20"/>
        </w:rPr>
        <w:t xml:space="preserve"> Sensory involvement in the form of pain, para</w:t>
      </w:r>
      <w:r w:rsidR="00D254F6">
        <w:rPr>
          <w:sz w:val="20"/>
          <w:szCs w:val="20"/>
        </w:rPr>
        <w:t>esth</w:t>
      </w:r>
      <w:r w:rsidR="00456D89">
        <w:rPr>
          <w:sz w:val="20"/>
          <w:szCs w:val="20"/>
        </w:rPr>
        <w:t>esi</w:t>
      </w:r>
      <w:r w:rsidR="00D254F6">
        <w:rPr>
          <w:sz w:val="20"/>
          <w:szCs w:val="20"/>
        </w:rPr>
        <w:t xml:space="preserve">a or </w:t>
      </w:r>
      <w:proofErr w:type="spellStart"/>
      <w:r w:rsidR="00D254F6">
        <w:rPr>
          <w:sz w:val="20"/>
          <w:szCs w:val="20"/>
        </w:rPr>
        <w:t>hypoaesthesia</w:t>
      </w:r>
      <w:proofErr w:type="spellEnd"/>
      <w:r w:rsidR="00D254F6">
        <w:rPr>
          <w:sz w:val="20"/>
          <w:szCs w:val="20"/>
        </w:rPr>
        <w:t xml:space="preserve"> is also seen while hypertension, postural hypotension and bowel-bladder involvement</w:t>
      </w:r>
      <w:r w:rsidR="00456D89">
        <w:rPr>
          <w:sz w:val="20"/>
          <w:szCs w:val="20"/>
        </w:rPr>
        <w:t xml:space="preserve"> </w:t>
      </w:r>
      <w:r w:rsidR="00D254F6">
        <w:rPr>
          <w:sz w:val="20"/>
          <w:szCs w:val="20"/>
        </w:rPr>
        <w:t>are few of the reported autonomic disturbances.</w:t>
      </w:r>
      <w:r w:rsidR="00D254F6">
        <w:rPr>
          <w:sz w:val="20"/>
          <w:szCs w:val="20"/>
          <w:vertAlign w:val="superscript"/>
        </w:rPr>
        <w:t>6</w:t>
      </w:r>
      <w:r w:rsidR="00D254F6">
        <w:rPr>
          <w:sz w:val="20"/>
          <w:szCs w:val="20"/>
        </w:rPr>
        <w:t xml:space="preserve"> </w:t>
      </w:r>
      <w:r w:rsidR="002C1208">
        <w:rPr>
          <w:sz w:val="20"/>
          <w:szCs w:val="20"/>
        </w:rPr>
        <w:t>Mortality is usually low in GBS.</w:t>
      </w:r>
      <w:r w:rsidR="002C1208">
        <w:rPr>
          <w:sz w:val="20"/>
          <w:szCs w:val="20"/>
          <w:vertAlign w:val="superscript"/>
        </w:rPr>
        <w:t>8</w:t>
      </w:r>
      <w:r w:rsidR="002C1208">
        <w:rPr>
          <w:sz w:val="20"/>
          <w:szCs w:val="20"/>
        </w:rPr>
        <w:t xml:space="preserve"> </w:t>
      </w:r>
    </w:p>
    <w:p w:rsidR="002C1208" w:rsidRPr="003256BB" w:rsidRDefault="002C1208" w:rsidP="00EC2968">
      <w:pPr>
        <w:jc w:val="both"/>
        <w:rPr>
          <w:sz w:val="20"/>
          <w:szCs w:val="20"/>
          <w:vertAlign w:val="superscript"/>
        </w:rPr>
      </w:pPr>
      <w:r>
        <w:rPr>
          <w:sz w:val="20"/>
          <w:szCs w:val="20"/>
        </w:rPr>
        <w:t>Prognosis of GBS is found to be determined by various factors noted at presentation. An age of over 50 to 60 years</w:t>
      </w:r>
      <w:r w:rsidR="00B772A6">
        <w:rPr>
          <w:sz w:val="20"/>
          <w:szCs w:val="20"/>
        </w:rPr>
        <w:t>,</w:t>
      </w:r>
      <w:r>
        <w:rPr>
          <w:sz w:val="20"/>
          <w:szCs w:val="20"/>
        </w:rPr>
        <w:t xml:space="preserve"> at the onset of GBS</w:t>
      </w:r>
      <w:r w:rsidR="00B772A6">
        <w:rPr>
          <w:sz w:val="20"/>
          <w:szCs w:val="20"/>
        </w:rPr>
        <w:t>,</w:t>
      </w:r>
      <w:r>
        <w:rPr>
          <w:sz w:val="20"/>
          <w:szCs w:val="20"/>
        </w:rPr>
        <w:t xml:space="preserve"> has been identified as a predictor</w:t>
      </w:r>
      <w:r w:rsidR="00B772A6">
        <w:rPr>
          <w:sz w:val="20"/>
          <w:szCs w:val="20"/>
        </w:rPr>
        <w:t xml:space="preserve"> of poor outcome</w:t>
      </w:r>
      <w:r>
        <w:rPr>
          <w:sz w:val="20"/>
          <w:szCs w:val="20"/>
        </w:rPr>
        <w:t xml:space="preserve"> while severe weakness, quantified by </w:t>
      </w:r>
      <w:r w:rsidR="00B772A6">
        <w:rPr>
          <w:sz w:val="20"/>
          <w:szCs w:val="20"/>
        </w:rPr>
        <w:t xml:space="preserve">MRC sum score, is another </w:t>
      </w:r>
      <w:proofErr w:type="spellStart"/>
      <w:r w:rsidR="00B772A6">
        <w:rPr>
          <w:sz w:val="20"/>
          <w:szCs w:val="20"/>
        </w:rPr>
        <w:t>omnious</w:t>
      </w:r>
      <w:proofErr w:type="spellEnd"/>
      <w:r w:rsidR="00B772A6">
        <w:rPr>
          <w:sz w:val="20"/>
          <w:szCs w:val="20"/>
        </w:rPr>
        <w:t xml:space="preserve"> indicator as suggested by many studies.</w:t>
      </w:r>
      <w:r w:rsidR="00B772A6">
        <w:rPr>
          <w:sz w:val="20"/>
          <w:szCs w:val="20"/>
          <w:vertAlign w:val="superscript"/>
        </w:rPr>
        <w:t>9,10</w:t>
      </w:r>
      <w:r w:rsidR="00B772A6">
        <w:rPr>
          <w:sz w:val="20"/>
          <w:szCs w:val="20"/>
        </w:rPr>
        <w:t xml:space="preserve"> History of dia</w:t>
      </w:r>
      <w:r w:rsidR="002042EB">
        <w:rPr>
          <w:sz w:val="20"/>
          <w:szCs w:val="20"/>
        </w:rPr>
        <w:t xml:space="preserve">rrhoea </w:t>
      </w:r>
      <w:proofErr w:type="spellStart"/>
      <w:r w:rsidR="002042EB">
        <w:rPr>
          <w:sz w:val="20"/>
          <w:szCs w:val="20"/>
        </w:rPr>
        <w:t>preceeding</w:t>
      </w:r>
      <w:proofErr w:type="spellEnd"/>
      <w:r w:rsidR="002042EB">
        <w:rPr>
          <w:sz w:val="20"/>
          <w:szCs w:val="20"/>
        </w:rPr>
        <w:t xml:space="preserve"> the onset with</w:t>
      </w:r>
      <w:r w:rsidR="00B772A6">
        <w:rPr>
          <w:sz w:val="20"/>
          <w:szCs w:val="20"/>
        </w:rPr>
        <w:t xml:space="preserve"> </w:t>
      </w:r>
      <w:r w:rsidR="002042EB">
        <w:rPr>
          <w:sz w:val="20"/>
          <w:szCs w:val="20"/>
        </w:rPr>
        <w:t xml:space="preserve">cranial nerve involvement and </w:t>
      </w:r>
      <w:r w:rsidR="00B772A6">
        <w:rPr>
          <w:sz w:val="20"/>
          <w:szCs w:val="20"/>
        </w:rPr>
        <w:t>presence of autonomic dysfunction, at presentation of GBS</w:t>
      </w:r>
      <w:r w:rsidR="002042EB">
        <w:rPr>
          <w:sz w:val="20"/>
          <w:szCs w:val="20"/>
        </w:rPr>
        <w:t>,</w:t>
      </w:r>
      <w:r w:rsidR="00B772A6">
        <w:rPr>
          <w:sz w:val="20"/>
          <w:szCs w:val="20"/>
        </w:rPr>
        <w:t xml:space="preserve"> are other markers of poor prognosis.</w:t>
      </w:r>
      <w:r w:rsidR="00B772A6">
        <w:rPr>
          <w:sz w:val="20"/>
          <w:szCs w:val="20"/>
          <w:vertAlign w:val="superscript"/>
        </w:rPr>
        <w:t>8,9</w:t>
      </w:r>
      <w:r w:rsidR="008337B4">
        <w:rPr>
          <w:sz w:val="20"/>
          <w:szCs w:val="20"/>
        </w:rPr>
        <w:t xml:space="preserve"> Electrophysiological studies attempting to find out any difference, in prognostic value, between axonal and demyelinating neuropathies in GBS has been inconclusive.</w:t>
      </w:r>
      <w:r w:rsidR="003256BB">
        <w:rPr>
          <w:sz w:val="20"/>
          <w:szCs w:val="20"/>
          <w:vertAlign w:val="superscript"/>
        </w:rPr>
        <w:t>8,11</w:t>
      </w:r>
    </w:p>
    <w:p w:rsidR="009D3BDF" w:rsidRDefault="009D3BDF" w:rsidP="009D3BDF">
      <w:pPr>
        <w:rPr>
          <w:sz w:val="20"/>
          <w:szCs w:val="20"/>
        </w:rPr>
      </w:pPr>
      <w:r w:rsidRPr="002C32EF">
        <w:rPr>
          <w:b/>
          <w:u w:val="single"/>
        </w:rPr>
        <w:t xml:space="preserve">MATERIALS AND </w:t>
      </w:r>
      <w:proofErr w:type="gramStart"/>
      <w:r w:rsidRPr="002C32EF">
        <w:rPr>
          <w:b/>
          <w:u w:val="single"/>
        </w:rPr>
        <w:t>METHODS :</w:t>
      </w:r>
      <w:proofErr w:type="gramEnd"/>
      <w:r w:rsidR="003256BB">
        <w:t xml:space="preserve"> </w:t>
      </w:r>
    </w:p>
    <w:p w:rsidR="00C74472" w:rsidRPr="00EC0718" w:rsidRDefault="003256BB" w:rsidP="003256BB">
      <w:pPr>
        <w:jc w:val="both"/>
        <w:rPr>
          <w:sz w:val="20"/>
          <w:szCs w:val="20"/>
        </w:rPr>
      </w:pPr>
      <w:r>
        <w:rPr>
          <w:sz w:val="20"/>
          <w:szCs w:val="20"/>
        </w:rPr>
        <w:t xml:space="preserve">This was a hospital based observational, descriptive study conducted on a group of 52 patients attending Medicine and Neurology departments of </w:t>
      </w:r>
      <w:proofErr w:type="spellStart"/>
      <w:r>
        <w:rPr>
          <w:sz w:val="20"/>
          <w:szCs w:val="20"/>
        </w:rPr>
        <w:t>Gauhati</w:t>
      </w:r>
      <w:proofErr w:type="spellEnd"/>
      <w:r>
        <w:rPr>
          <w:sz w:val="20"/>
          <w:szCs w:val="20"/>
        </w:rPr>
        <w:t xml:space="preserve"> Medical College Hospital over a period of one year, from 1</w:t>
      </w:r>
      <w:r w:rsidRPr="003256BB">
        <w:rPr>
          <w:sz w:val="20"/>
          <w:szCs w:val="20"/>
          <w:vertAlign w:val="superscript"/>
        </w:rPr>
        <w:t>st</w:t>
      </w:r>
      <w:r>
        <w:rPr>
          <w:sz w:val="20"/>
          <w:szCs w:val="20"/>
        </w:rPr>
        <w:t xml:space="preserve"> June, 2014 to 31</w:t>
      </w:r>
      <w:r w:rsidRPr="003256BB">
        <w:rPr>
          <w:sz w:val="20"/>
          <w:szCs w:val="20"/>
          <w:vertAlign w:val="superscript"/>
        </w:rPr>
        <w:t>st</w:t>
      </w:r>
      <w:r>
        <w:rPr>
          <w:sz w:val="20"/>
          <w:szCs w:val="20"/>
        </w:rPr>
        <w:t xml:space="preserve"> May, 2015 who were diagnosed to be suffering from GBS</w:t>
      </w:r>
      <w:r w:rsidR="001C1CEE">
        <w:rPr>
          <w:sz w:val="20"/>
          <w:szCs w:val="20"/>
        </w:rPr>
        <w:t xml:space="preserve"> as per standard diagnostic criteria.</w:t>
      </w:r>
      <w:r w:rsidR="001C1CEE">
        <w:rPr>
          <w:sz w:val="20"/>
          <w:szCs w:val="20"/>
          <w:vertAlign w:val="superscript"/>
        </w:rPr>
        <w:t>12</w:t>
      </w:r>
      <w:r w:rsidR="001C1CEE">
        <w:rPr>
          <w:sz w:val="20"/>
          <w:szCs w:val="20"/>
        </w:rPr>
        <w:t xml:space="preserve"> Data were collected by obtaining detailed history, doing thorough clinical examination with emphasis on relevant aspects and  then doing the relevant biochemical investigations</w:t>
      </w:r>
      <w:r w:rsidR="00CC2FE4">
        <w:rPr>
          <w:sz w:val="20"/>
          <w:szCs w:val="20"/>
        </w:rPr>
        <w:t>. S</w:t>
      </w:r>
      <w:r w:rsidR="001C1CEE">
        <w:rPr>
          <w:sz w:val="20"/>
          <w:szCs w:val="20"/>
        </w:rPr>
        <w:t xml:space="preserve">pecial tests like urine for </w:t>
      </w:r>
      <w:proofErr w:type="spellStart"/>
      <w:r w:rsidR="001C1CEE">
        <w:rPr>
          <w:sz w:val="20"/>
          <w:szCs w:val="20"/>
        </w:rPr>
        <w:t>po</w:t>
      </w:r>
      <w:r w:rsidR="00CC2FE4">
        <w:rPr>
          <w:sz w:val="20"/>
          <w:szCs w:val="20"/>
        </w:rPr>
        <w:t>r</w:t>
      </w:r>
      <w:r w:rsidR="001C1CEE">
        <w:rPr>
          <w:sz w:val="20"/>
          <w:szCs w:val="20"/>
        </w:rPr>
        <w:t>phobilinogen</w:t>
      </w:r>
      <w:proofErr w:type="spellEnd"/>
      <w:r w:rsidR="00CC2FE4">
        <w:rPr>
          <w:sz w:val="20"/>
          <w:szCs w:val="20"/>
        </w:rPr>
        <w:t>, HIV Elisa and NCV were done in all the patients and any other test, if indicated, was done in individual cases.</w:t>
      </w:r>
      <w:r w:rsidR="00FD31D3">
        <w:rPr>
          <w:sz w:val="20"/>
          <w:szCs w:val="20"/>
        </w:rPr>
        <w:t xml:space="preserve"> To grade the muscle weakness of the patients in a comprehensive manner,</w:t>
      </w:r>
      <w:r w:rsidR="00CC2FE4">
        <w:rPr>
          <w:sz w:val="20"/>
          <w:szCs w:val="20"/>
        </w:rPr>
        <w:t xml:space="preserve"> </w:t>
      </w:r>
      <w:r w:rsidR="00FD31D3">
        <w:rPr>
          <w:sz w:val="20"/>
          <w:szCs w:val="20"/>
        </w:rPr>
        <w:t xml:space="preserve">MRC </w:t>
      </w:r>
      <w:r w:rsidR="00EC0718">
        <w:rPr>
          <w:sz w:val="20"/>
          <w:szCs w:val="20"/>
        </w:rPr>
        <w:t>sum score was used.</w:t>
      </w:r>
      <w:r w:rsidR="00EC0718">
        <w:rPr>
          <w:sz w:val="20"/>
          <w:szCs w:val="20"/>
          <w:vertAlign w:val="superscript"/>
        </w:rPr>
        <w:t>13</w:t>
      </w:r>
    </w:p>
    <w:p w:rsidR="00A807D3" w:rsidRDefault="00C74472" w:rsidP="003256BB">
      <w:pPr>
        <w:jc w:val="both"/>
        <w:rPr>
          <w:sz w:val="20"/>
          <w:szCs w:val="20"/>
        </w:rPr>
      </w:pPr>
      <w:r>
        <w:rPr>
          <w:sz w:val="20"/>
          <w:szCs w:val="20"/>
        </w:rPr>
        <w:t>The cases were followed up after one month and the level of their residual disability were assessed by using GBS Disability Score.</w:t>
      </w:r>
      <w:r w:rsidR="00EC0718">
        <w:rPr>
          <w:sz w:val="20"/>
          <w:szCs w:val="20"/>
          <w:vertAlign w:val="superscript"/>
        </w:rPr>
        <w:t xml:space="preserve">14 </w:t>
      </w:r>
      <w:r>
        <w:rPr>
          <w:sz w:val="20"/>
          <w:szCs w:val="20"/>
          <w:vertAlign w:val="superscript"/>
        </w:rPr>
        <w:t xml:space="preserve"> </w:t>
      </w:r>
      <w:r w:rsidR="00A807D3">
        <w:rPr>
          <w:sz w:val="20"/>
          <w:szCs w:val="20"/>
        </w:rPr>
        <w:t>Poor prognosis was defined as ‘inability to walk unaided 10 metres across an open space (GBS disability score &gt;2)’. GBS disability score ≤ 2 was taken as good prognosis.</w:t>
      </w:r>
    </w:p>
    <w:p w:rsidR="00CC2FE4" w:rsidRDefault="00CC2FE4" w:rsidP="003256BB">
      <w:pPr>
        <w:jc w:val="both"/>
        <w:rPr>
          <w:sz w:val="20"/>
          <w:szCs w:val="20"/>
        </w:rPr>
      </w:pPr>
      <w:r w:rsidRPr="00C74472">
        <w:rPr>
          <w:sz w:val="20"/>
          <w:szCs w:val="20"/>
        </w:rPr>
        <w:t>Due</w:t>
      </w:r>
      <w:r>
        <w:rPr>
          <w:sz w:val="20"/>
          <w:szCs w:val="20"/>
        </w:rPr>
        <w:t xml:space="preserve"> statistical analysis was then done.</w:t>
      </w:r>
    </w:p>
    <w:p w:rsidR="003256BB" w:rsidRPr="001C1CEE" w:rsidRDefault="00CC2FE4" w:rsidP="003256BB">
      <w:pPr>
        <w:jc w:val="both"/>
        <w:rPr>
          <w:sz w:val="20"/>
          <w:szCs w:val="20"/>
        </w:rPr>
      </w:pPr>
      <w:r>
        <w:rPr>
          <w:b/>
          <w:sz w:val="20"/>
          <w:szCs w:val="20"/>
          <w:u w:val="single"/>
        </w:rPr>
        <w:t xml:space="preserve">Inclusion </w:t>
      </w:r>
      <w:proofErr w:type="gramStart"/>
      <w:r>
        <w:rPr>
          <w:b/>
          <w:sz w:val="20"/>
          <w:szCs w:val="20"/>
          <w:u w:val="single"/>
        </w:rPr>
        <w:t>Criteria :</w:t>
      </w:r>
      <w:proofErr w:type="gramEnd"/>
      <w:r>
        <w:rPr>
          <w:sz w:val="20"/>
          <w:szCs w:val="20"/>
        </w:rPr>
        <w:t xml:space="preserve"> </w:t>
      </w:r>
      <w:r w:rsidR="001C1CEE">
        <w:rPr>
          <w:sz w:val="20"/>
          <w:szCs w:val="20"/>
        </w:rPr>
        <w:t xml:space="preserve"> </w:t>
      </w:r>
      <w:r w:rsidR="00EC0718">
        <w:rPr>
          <w:sz w:val="20"/>
          <w:szCs w:val="20"/>
        </w:rPr>
        <w:t>All patients, above 12 years of age, who were diagnosed as GBS but not covered under exclusion criteria.</w:t>
      </w:r>
    </w:p>
    <w:p w:rsidR="002042EB" w:rsidRDefault="002042EB" w:rsidP="009D3BDF">
      <w:pPr>
        <w:rPr>
          <w:b/>
          <w:sz w:val="20"/>
          <w:szCs w:val="20"/>
          <w:u w:val="single"/>
        </w:rPr>
      </w:pPr>
    </w:p>
    <w:p w:rsidR="002042EB" w:rsidRDefault="002042EB" w:rsidP="009D3BDF">
      <w:pPr>
        <w:rPr>
          <w:b/>
          <w:sz w:val="20"/>
          <w:szCs w:val="20"/>
          <w:u w:val="single"/>
        </w:rPr>
      </w:pPr>
    </w:p>
    <w:p w:rsidR="002042EB" w:rsidRDefault="002042EB" w:rsidP="009D3BDF">
      <w:pPr>
        <w:rPr>
          <w:b/>
          <w:sz w:val="20"/>
          <w:szCs w:val="20"/>
          <w:u w:val="single"/>
        </w:rPr>
      </w:pPr>
    </w:p>
    <w:p w:rsidR="009D3BDF" w:rsidRPr="00EC0718" w:rsidRDefault="00EC0718" w:rsidP="009D3BDF">
      <w:pPr>
        <w:rPr>
          <w:sz w:val="20"/>
          <w:szCs w:val="20"/>
        </w:rPr>
      </w:pPr>
      <w:r>
        <w:rPr>
          <w:b/>
          <w:sz w:val="20"/>
          <w:szCs w:val="20"/>
          <w:u w:val="single"/>
        </w:rPr>
        <w:t>Exclusion Criteria :</w:t>
      </w:r>
      <w:r>
        <w:rPr>
          <w:sz w:val="20"/>
          <w:szCs w:val="20"/>
        </w:rPr>
        <w:t xml:space="preserve">   All patients who are either less than 12 years of age or are suffering from other diseases</w:t>
      </w:r>
      <w:r w:rsidR="004A505C">
        <w:rPr>
          <w:sz w:val="20"/>
          <w:szCs w:val="20"/>
        </w:rPr>
        <w:t xml:space="preserve"> :</w:t>
      </w:r>
      <w:r>
        <w:rPr>
          <w:sz w:val="20"/>
          <w:szCs w:val="20"/>
        </w:rPr>
        <w:t xml:space="preserve"> </w:t>
      </w:r>
      <w:r w:rsidR="004A505C">
        <w:rPr>
          <w:sz w:val="20"/>
          <w:szCs w:val="20"/>
        </w:rPr>
        <w:t xml:space="preserve">a) </w:t>
      </w:r>
      <w:r>
        <w:rPr>
          <w:sz w:val="20"/>
          <w:szCs w:val="20"/>
        </w:rPr>
        <w:t>causing acute neuromuscular weakness (myasthenia gravis, poliomyelitis, diphtheria etc.),</w:t>
      </w:r>
      <w:r w:rsidR="004A505C">
        <w:rPr>
          <w:sz w:val="20"/>
          <w:szCs w:val="20"/>
        </w:rPr>
        <w:t xml:space="preserve"> b) major illness like Coronary artery disease, diabetes mellitus, HIV, tuberculosis etc. Patients not giving informed consent were also excluded from the study.</w:t>
      </w:r>
    </w:p>
    <w:p w:rsidR="00EC0718" w:rsidRDefault="00EC0718" w:rsidP="009D3BDF">
      <w:pPr>
        <w:rPr>
          <w:b/>
          <w:u w:val="single"/>
        </w:rPr>
      </w:pPr>
    </w:p>
    <w:p w:rsidR="00EC0718" w:rsidRDefault="00EC0718" w:rsidP="009D3BDF">
      <w:pPr>
        <w:rPr>
          <w:b/>
          <w:u w:val="single"/>
        </w:rPr>
      </w:pPr>
    </w:p>
    <w:p w:rsidR="00035EDF" w:rsidRDefault="009D3BDF" w:rsidP="00F24EF2">
      <w:pPr>
        <w:jc w:val="both"/>
        <w:rPr>
          <w:sz w:val="20"/>
          <w:szCs w:val="20"/>
        </w:rPr>
      </w:pPr>
      <w:proofErr w:type="gramStart"/>
      <w:r w:rsidRPr="002C32EF">
        <w:rPr>
          <w:b/>
          <w:u w:val="single"/>
        </w:rPr>
        <w:t>RESULTS :</w:t>
      </w:r>
      <w:proofErr w:type="gramEnd"/>
      <w:r w:rsidR="00435DF1">
        <w:rPr>
          <w:sz w:val="20"/>
          <w:szCs w:val="20"/>
        </w:rPr>
        <w:t xml:space="preserve"> </w:t>
      </w:r>
      <w:r w:rsidR="00F24EF2">
        <w:rPr>
          <w:sz w:val="20"/>
          <w:szCs w:val="20"/>
        </w:rPr>
        <w:t xml:space="preserve">Out of the total 52 cases enrolled for the study, 30 were males and 22 were females, their </w:t>
      </w:r>
      <w:r w:rsidR="00EC7DD3">
        <w:rPr>
          <w:sz w:val="20"/>
          <w:szCs w:val="20"/>
        </w:rPr>
        <w:t xml:space="preserve">ratio  </w:t>
      </w:r>
      <w:r w:rsidR="00F24EF2">
        <w:rPr>
          <w:sz w:val="20"/>
          <w:szCs w:val="20"/>
        </w:rPr>
        <w:t>being 1.36 : 1. A maximum of 20 cases (38.46%) were in the age group of 21 to 30 years followed by 11 (21.15%</w:t>
      </w:r>
      <w:r w:rsidR="00497A6E">
        <w:rPr>
          <w:sz w:val="20"/>
          <w:szCs w:val="20"/>
        </w:rPr>
        <w:t>) in the 12 to 20 years group</w:t>
      </w:r>
      <w:r w:rsidR="00F24EF2">
        <w:rPr>
          <w:sz w:val="20"/>
          <w:szCs w:val="20"/>
        </w:rPr>
        <w:t xml:space="preserve">. </w:t>
      </w:r>
      <w:proofErr w:type="gramStart"/>
      <w:r w:rsidR="00F24EF2">
        <w:rPr>
          <w:sz w:val="20"/>
          <w:szCs w:val="20"/>
        </w:rPr>
        <w:t>Number of cases were</w:t>
      </w:r>
      <w:proofErr w:type="gramEnd"/>
      <w:r w:rsidR="00F24EF2">
        <w:rPr>
          <w:sz w:val="20"/>
          <w:szCs w:val="20"/>
        </w:rPr>
        <w:t xml:space="preserve"> highest in summer months (38.46%), from May to July with scattered distribution in the other seasons. Maximum disease activity or ‘Clinical nadir’ was achieved in majority of the cases </w:t>
      </w:r>
      <w:r w:rsidR="00C2565E">
        <w:rPr>
          <w:sz w:val="20"/>
          <w:szCs w:val="20"/>
        </w:rPr>
        <w:t xml:space="preserve">(38.46%) </w:t>
      </w:r>
      <w:r w:rsidR="00F24EF2">
        <w:rPr>
          <w:sz w:val="20"/>
          <w:szCs w:val="20"/>
        </w:rPr>
        <w:t>within</w:t>
      </w:r>
      <w:r w:rsidR="00497A6E">
        <w:rPr>
          <w:sz w:val="20"/>
          <w:szCs w:val="20"/>
        </w:rPr>
        <w:t xml:space="preserve"> the </w:t>
      </w:r>
      <w:r w:rsidR="00B70526">
        <w:rPr>
          <w:sz w:val="20"/>
          <w:szCs w:val="20"/>
        </w:rPr>
        <w:t xml:space="preserve">first week of presentation and </w:t>
      </w:r>
      <w:r w:rsidR="00497A6E">
        <w:rPr>
          <w:sz w:val="20"/>
          <w:szCs w:val="20"/>
        </w:rPr>
        <w:t>by the end of the second week about two-thirds had achieved the nadir. Antecedent events, like respiratory or gastrointestinal infection, were reported in 33 cases (63.46%). A latent period of less than two weeks,</w:t>
      </w:r>
      <w:r w:rsidR="00035EDF">
        <w:rPr>
          <w:sz w:val="20"/>
          <w:szCs w:val="20"/>
        </w:rPr>
        <w:t xml:space="preserve"> </w:t>
      </w:r>
      <w:r w:rsidR="00497A6E">
        <w:rPr>
          <w:sz w:val="20"/>
          <w:szCs w:val="20"/>
        </w:rPr>
        <w:t>between the antecedent event and development of GBS,</w:t>
      </w:r>
      <w:r w:rsidR="00B70526">
        <w:rPr>
          <w:sz w:val="20"/>
          <w:szCs w:val="20"/>
        </w:rPr>
        <w:t xml:space="preserve"> was observed in two-thirds (66.</w:t>
      </w:r>
      <w:r w:rsidR="00035EDF">
        <w:rPr>
          <w:sz w:val="20"/>
          <w:szCs w:val="20"/>
        </w:rPr>
        <w:t>67%) of the patients</w:t>
      </w:r>
      <w:r w:rsidR="00B70526">
        <w:rPr>
          <w:sz w:val="20"/>
          <w:szCs w:val="20"/>
        </w:rPr>
        <w:t>, with a mean latent period of 14.08±8.21 days</w:t>
      </w:r>
      <w:r w:rsidR="00035EDF">
        <w:rPr>
          <w:sz w:val="20"/>
          <w:szCs w:val="20"/>
        </w:rPr>
        <w:t xml:space="preserve">. </w:t>
      </w:r>
    </w:p>
    <w:p w:rsidR="00035EDF" w:rsidRDefault="00035EDF" w:rsidP="00F24EF2">
      <w:pPr>
        <w:jc w:val="both"/>
        <w:rPr>
          <w:sz w:val="20"/>
          <w:szCs w:val="20"/>
        </w:rPr>
      </w:pPr>
      <w:r>
        <w:rPr>
          <w:sz w:val="20"/>
          <w:szCs w:val="20"/>
        </w:rPr>
        <w:t>NCV testing showed majority of cases (78.08%) to be Acute Inflammatory Demyelinating Polyneuropathy (AIDP) while the rest were either Acute Motor Axonal Neuropathy (AMAN) or Acute Sensory Motor Axonal Neuropathy (AMSAN).</w:t>
      </w:r>
      <w:r w:rsidR="00114ECD">
        <w:rPr>
          <w:sz w:val="20"/>
          <w:szCs w:val="20"/>
        </w:rPr>
        <w:t xml:space="preserve">More than half (53.84%) of patients had cranial nerve involvement, </w:t>
      </w:r>
      <w:proofErr w:type="spellStart"/>
      <w:r w:rsidR="00114ECD">
        <w:rPr>
          <w:sz w:val="20"/>
          <w:szCs w:val="20"/>
        </w:rPr>
        <w:t>VIIth</w:t>
      </w:r>
      <w:proofErr w:type="spellEnd"/>
      <w:r w:rsidR="00114ECD">
        <w:rPr>
          <w:sz w:val="20"/>
          <w:szCs w:val="20"/>
        </w:rPr>
        <w:t xml:space="preserve"> cranial nerve being involved most commonly (38.46%), followed by IX and X cranial nerve. Respiratory muscle weakness was seen only in 14 out of the group of 52 (26.92%). Sensory involvement in the form of paraesthesia was seen in 37 patients (71.15%) while pain was found in 21 cases (40.38%). Objective sensory deficit was observed in 17 patients (32.69%).</w:t>
      </w:r>
      <w:r w:rsidR="00933EA0">
        <w:rPr>
          <w:sz w:val="20"/>
          <w:szCs w:val="20"/>
        </w:rPr>
        <w:t xml:space="preserve"> Autonomic dysfunction, present in 25 patients (48.07%), was seen in the form of hypertension, supine hypotension, urinary retention, tachycardia etc. Mortality was 7.69% (4 cases), all due to ventilator associated pneumonia.  </w:t>
      </w:r>
    </w:p>
    <w:p w:rsidR="00B606D3" w:rsidRDefault="00B606D3" w:rsidP="00F24EF2">
      <w:pPr>
        <w:jc w:val="both"/>
        <w:rPr>
          <w:sz w:val="20"/>
          <w:szCs w:val="20"/>
        </w:rPr>
      </w:pPr>
      <w:r>
        <w:rPr>
          <w:sz w:val="20"/>
          <w:szCs w:val="20"/>
        </w:rPr>
        <w:t>On follow up study after one month, based on GBS disability score, good prognosis was seen in 3</w:t>
      </w:r>
      <w:r w:rsidR="00FF5934">
        <w:rPr>
          <w:sz w:val="20"/>
          <w:szCs w:val="20"/>
        </w:rPr>
        <w:t>0 cases (57.69</w:t>
      </w:r>
      <w:r>
        <w:rPr>
          <w:sz w:val="20"/>
          <w:szCs w:val="20"/>
        </w:rPr>
        <w:t xml:space="preserve">%) while the rest had a poor prognosis. </w:t>
      </w:r>
      <w:r w:rsidR="00E2747B">
        <w:rPr>
          <w:sz w:val="20"/>
          <w:szCs w:val="20"/>
        </w:rPr>
        <w:t>When the prognosis was correlated with the age at presentation, it was observed that the more the age at presentation, the worse the prognosis (Table 1).</w:t>
      </w:r>
    </w:p>
    <w:p w:rsidR="00E2747B" w:rsidRDefault="00E2747B" w:rsidP="00F24EF2">
      <w:pPr>
        <w:jc w:val="both"/>
      </w:pPr>
      <w:proofErr w:type="gramStart"/>
      <w:r>
        <w:t>Table 1.</w:t>
      </w:r>
      <w:proofErr w:type="gramEnd"/>
      <w:r>
        <w:t xml:space="preserve"> Correlation of age at presentation and prognosis after one month based on GBS disability </w:t>
      </w:r>
      <w:proofErr w:type="gramStart"/>
      <w:r>
        <w:t>score .</w:t>
      </w:r>
      <w:proofErr w:type="gramEnd"/>
    </w:p>
    <w:tbl>
      <w:tblPr>
        <w:tblStyle w:val="TableGrid"/>
        <w:tblW w:w="0" w:type="auto"/>
        <w:tblLook w:val="04A0" w:firstRow="1" w:lastRow="0" w:firstColumn="1" w:lastColumn="0" w:noHBand="0" w:noVBand="1"/>
      </w:tblPr>
      <w:tblGrid>
        <w:gridCol w:w="2310"/>
        <w:gridCol w:w="2310"/>
        <w:gridCol w:w="2311"/>
        <w:gridCol w:w="2311"/>
      </w:tblGrid>
      <w:tr w:rsidR="00E2747B" w:rsidRPr="00EC7DD3" w:rsidTr="00E2747B">
        <w:tc>
          <w:tcPr>
            <w:tcW w:w="2310" w:type="dxa"/>
          </w:tcPr>
          <w:p w:rsidR="00E2747B" w:rsidRPr="00EC7DD3" w:rsidRDefault="00E2747B" w:rsidP="00F24EF2">
            <w:pPr>
              <w:jc w:val="both"/>
              <w:rPr>
                <w:sz w:val="20"/>
                <w:szCs w:val="20"/>
              </w:rPr>
            </w:pPr>
            <w:r w:rsidRPr="00EC7DD3">
              <w:rPr>
                <w:sz w:val="20"/>
                <w:szCs w:val="20"/>
              </w:rPr>
              <w:t>Age at presentation (</w:t>
            </w:r>
            <w:proofErr w:type="spellStart"/>
            <w:r w:rsidRPr="00EC7DD3">
              <w:rPr>
                <w:sz w:val="20"/>
                <w:szCs w:val="20"/>
              </w:rPr>
              <w:t>yrs</w:t>
            </w:r>
            <w:proofErr w:type="spellEnd"/>
            <w:r w:rsidRPr="00EC7DD3">
              <w:rPr>
                <w:sz w:val="20"/>
                <w:szCs w:val="20"/>
              </w:rPr>
              <w:t>)</w:t>
            </w:r>
          </w:p>
        </w:tc>
        <w:tc>
          <w:tcPr>
            <w:tcW w:w="2310" w:type="dxa"/>
          </w:tcPr>
          <w:p w:rsidR="00E2747B" w:rsidRPr="00EC7DD3" w:rsidRDefault="00EC7DD3" w:rsidP="00F24EF2">
            <w:pPr>
              <w:jc w:val="both"/>
              <w:rPr>
                <w:sz w:val="20"/>
                <w:szCs w:val="20"/>
              </w:rPr>
            </w:pPr>
            <w:r w:rsidRPr="00EC7DD3">
              <w:rPr>
                <w:sz w:val="20"/>
                <w:szCs w:val="20"/>
              </w:rPr>
              <w:t>Total no. of pa</w:t>
            </w:r>
            <w:r w:rsidR="00E2747B" w:rsidRPr="00EC7DD3">
              <w:rPr>
                <w:sz w:val="20"/>
                <w:szCs w:val="20"/>
              </w:rPr>
              <w:t>tients</w:t>
            </w:r>
          </w:p>
        </w:tc>
        <w:tc>
          <w:tcPr>
            <w:tcW w:w="2311" w:type="dxa"/>
          </w:tcPr>
          <w:p w:rsidR="00E2747B" w:rsidRPr="00EC7DD3" w:rsidRDefault="00E2747B" w:rsidP="00F24EF2">
            <w:pPr>
              <w:jc w:val="both"/>
              <w:rPr>
                <w:sz w:val="20"/>
                <w:szCs w:val="20"/>
              </w:rPr>
            </w:pPr>
            <w:r w:rsidRPr="00EC7DD3">
              <w:rPr>
                <w:sz w:val="20"/>
                <w:szCs w:val="20"/>
              </w:rPr>
              <w:t>Good prognosis</w:t>
            </w:r>
            <w:r w:rsidR="00794DE2" w:rsidRPr="00EC7DD3">
              <w:rPr>
                <w:sz w:val="20"/>
                <w:szCs w:val="20"/>
              </w:rPr>
              <w:t xml:space="preserve"> (GBS Disability score ≤2 )</w:t>
            </w:r>
          </w:p>
        </w:tc>
        <w:tc>
          <w:tcPr>
            <w:tcW w:w="2311" w:type="dxa"/>
          </w:tcPr>
          <w:p w:rsidR="00E2747B" w:rsidRPr="00EC7DD3" w:rsidRDefault="00794DE2" w:rsidP="00F24EF2">
            <w:pPr>
              <w:jc w:val="both"/>
              <w:rPr>
                <w:sz w:val="20"/>
                <w:szCs w:val="20"/>
              </w:rPr>
            </w:pPr>
            <w:r w:rsidRPr="00EC7DD3">
              <w:rPr>
                <w:sz w:val="20"/>
                <w:szCs w:val="20"/>
              </w:rPr>
              <w:t>Poor prognosis (GBS Disability score≥ 3 )</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12 - 20</w:t>
            </w:r>
          </w:p>
        </w:tc>
        <w:tc>
          <w:tcPr>
            <w:tcW w:w="2310" w:type="dxa"/>
          </w:tcPr>
          <w:p w:rsidR="00E2747B" w:rsidRPr="00EC7DD3" w:rsidRDefault="00794DE2" w:rsidP="00F24EF2">
            <w:pPr>
              <w:jc w:val="both"/>
              <w:rPr>
                <w:sz w:val="20"/>
                <w:szCs w:val="20"/>
              </w:rPr>
            </w:pPr>
            <w:r w:rsidRPr="00EC7DD3">
              <w:rPr>
                <w:sz w:val="20"/>
                <w:szCs w:val="20"/>
              </w:rPr>
              <w:t>11</w:t>
            </w:r>
          </w:p>
        </w:tc>
        <w:tc>
          <w:tcPr>
            <w:tcW w:w="2311" w:type="dxa"/>
          </w:tcPr>
          <w:p w:rsidR="00E2747B" w:rsidRPr="00EC7DD3" w:rsidRDefault="00794DE2" w:rsidP="00F24EF2">
            <w:pPr>
              <w:jc w:val="both"/>
              <w:rPr>
                <w:sz w:val="20"/>
                <w:szCs w:val="20"/>
              </w:rPr>
            </w:pPr>
            <w:r w:rsidRPr="00EC7DD3">
              <w:rPr>
                <w:sz w:val="20"/>
                <w:szCs w:val="20"/>
              </w:rPr>
              <w:t>8</w:t>
            </w:r>
            <w:r w:rsidR="00FF5934" w:rsidRPr="00EC7DD3">
              <w:rPr>
                <w:sz w:val="20"/>
                <w:szCs w:val="20"/>
              </w:rPr>
              <w:t xml:space="preserve"> (72.73%)</w:t>
            </w:r>
          </w:p>
        </w:tc>
        <w:tc>
          <w:tcPr>
            <w:tcW w:w="2311" w:type="dxa"/>
          </w:tcPr>
          <w:p w:rsidR="00E2747B" w:rsidRPr="00EC7DD3" w:rsidRDefault="00794DE2" w:rsidP="00F24EF2">
            <w:pPr>
              <w:jc w:val="both"/>
              <w:rPr>
                <w:sz w:val="20"/>
                <w:szCs w:val="20"/>
              </w:rPr>
            </w:pPr>
            <w:r w:rsidRPr="00EC7DD3">
              <w:rPr>
                <w:sz w:val="20"/>
                <w:szCs w:val="20"/>
              </w:rPr>
              <w:t>3</w:t>
            </w:r>
            <w:r w:rsidR="00FF5934" w:rsidRPr="00EC7DD3">
              <w:rPr>
                <w:sz w:val="20"/>
                <w:szCs w:val="20"/>
              </w:rPr>
              <w:t xml:space="preserve"> (27.27%)</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21 - 30</w:t>
            </w:r>
          </w:p>
        </w:tc>
        <w:tc>
          <w:tcPr>
            <w:tcW w:w="2310" w:type="dxa"/>
          </w:tcPr>
          <w:p w:rsidR="00E2747B" w:rsidRPr="00EC7DD3" w:rsidRDefault="00794DE2" w:rsidP="00F24EF2">
            <w:pPr>
              <w:jc w:val="both"/>
              <w:rPr>
                <w:sz w:val="20"/>
                <w:szCs w:val="20"/>
              </w:rPr>
            </w:pPr>
            <w:r w:rsidRPr="00EC7DD3">
              <w:rPr>
                <w:sz w:val="20"/>
                <w:szCs w:val="20"/>
              </w:rPr>
              <w:t>20</w:t>
            </w:r>
          </w:p>
        </w:tc>
        <w:tc>
          <w:tcPr>
            <w:tcW w:w="2311" w:type="dxa"/>
          </w:tcPr>
          <w:p w:rsidR="00E2747B" w:rsidRPr="00EC7DD3" w:rsidRDefault="00794DE2" w:rsidP="00F24EF2">
            <w:pPr>
              <w:jc w:val="both"/>
              <w:rPr>
                <w:sz w:val="20"/>
                <w:szCs w:val="20"/>
              </w:rPr>
            </w:pPr>
            <w:r w:rsidRPr="00EC7DD3">
              <w:rPr>
                <w:sz w:val="20"/>
                <w:szCs w:val="20"/>
              </w:rPr>
              <w:t>15</w:t>
            </w:r>
            <w:r w:rsidR="00FF5934" w:rsidRPr="00EC7DD3">
              <w:rPr>
                <w:sz w:val="20"/>
                <w:szCs w:val="20"/>
              </w:rPr>
              <w:t xml:space="preserve"> </w:t>
            </w:r>
            <w:proofErr w:type="gramStart"/>
            <w:r w:rsidR="00FF5934" w:rsidRPr="00EC7DD3">
              <w:rPr>
                <w:sz w:val="20"/>
                <w:szCs w:val="20"/>
              </w:rPr>
              <w:t>( 75</w:t>
            </w:r>
            <w:proofErr w:type="gramEnd"/>
            <w:r w:rsidR="00FF5934" w:rsidRPr="00EC7DD3">
              <w:rPr>
                <w:sz w:val="20"/>
                <w:szCs w:val="20"/>
              </w:rPr>
              <w:t>%)</w:t>
            </w:r>
          </w:p>
        </w:tc>
        <w:tc>
          <w:tcPr>
            <w:tcW w:w="2311" w:type="dxa"/>
          </w:tcPr>
          <w:p w:rsidR="00E2747B" w:rsidRPr="00EC7DD3" w:rsidRDefault="00794DE2" w:rsidP="00F24EF2">
            <w:pPr>
              <w:jc w:val="both"/>
              <w:rPr>
                <w:sz w:val="20"/>
                <w:szCs w:val="20"/>
              </w:rPr>
            </w:pPr>
            <w:r w:rsidRPr="00EC7DD3">
              <w:rPr>
                <w:sz w:val="20"/>
                <w:szCs w:val="20"/>
              </w:rPr>
              <w:t>5</w:t>
            </w:r>
            <w:r w:rsidR="00FF5934" w:rsidRPr="00EC7DD3">
              <w:rPr>
                <w:sz w:val="20"/>
                <w:szCs w:val="20"/>
              </w:rPr>
              <w:t xml:space="preserve"> (25%)</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31 - 40</w:t>
            </w:r>
          </w:p>
        </w:tc>
        <w:tc>
          <w:tcPr>
            <w:tcW w:w="2310" w:type="dxa"/>
          </w:tcPr>
          <w:p w:rsidR="00E2747B" w:rsidRPr="00EC7DD3" w:rsidRDefault="00794DE2" w:rsidP="00F24EF2">
            <w:pPr>
              <w:jc w:val="both"/>
              <w:rPr>
                <w:sz w:val="20"/>
                <w:szCs w:val="20"/>
              </w:rPr>
            </w:pPr>
            <w:r w:rsidRPr="00EC7DD3">
              <w:rPr>
                <w:sz w:val="20"/>
                <w:szCs w:val="20"/>
              </w:rPr>
              <w:t>6</w:t>
            </w:r>
          </w:p>
        </w:tc>
        <w:tc>
          <w:tcPr>
            <w:tcW w:w="2311" w:type="dxa"/>
          </w:tcPr>
          <w:p w:rsidR="00E2747B" w:rsidRPr="00EC7DD3" w:rsidRDefault="00794DE2" w:rsidP="00F24EF2">
            <w:pPr>
              <w:jc w:val="both"/>
              <w:rPr>
                <w:sz w:val="20"/>
                <w:szCs w:val="20"/>
              </w:rPr>
            </w:pPr>
            <w:proofErr w:type="gramStart"/>
            <w:r w:rsidRPr="00EC7DD3">
              <w:rPr>
                <w:sz w:val="20"/>
                <w:szCs w:val="20"/>
              </w:rPr>
              <w:t>4</w:t>
            </w:r>
            <w:r w:rsidR="00FF5934" w:rsidRPr="00EC7DD3">
              <w:rPr>
                <w:sz w:val="20"/>
                <w:szCs w:val="20"/>
              </w:rPr>
              <w:t xml:space="preserve">  (</w:t>
            </w:r>
            <w:proofErr w:type="gramEnd"/>
            <w:r w:rsidR="00FF5934" w:rsidRPr="00EC7DD3">
              <w:rPr>
                <w:sz w:val="20"/>
                <w:szCs w:val="20"/>
              </w:rPr>
              <w:t>66.67%)</w:t>
            </w:r>
          </w:p>
        </w:tc>
        <w:tc>
          <w:tcPr>
            <w:tcW w:w="2311" w:type="dxa"/>
          </w:tcPr>
          <w:p w:rsidR="00E2747B" w:rsidRPr="00EC7DD3" w:rsidRDefault="00794DE2" w:rsidP="00F24EF2">
            <w:pPr>
              <w:jc w:val="both"/>
              <w:rPr>
                <w:sz w:val="20"/>
                <w:szCs w:val="20"/>
              </w:rPr>
            </w:pPr>
            <w:proofErr w:type="gramStart"/>
            <w:r w:rsidRPr="00EC7DD3">
              <w:rPr>
                <w:sz w:val="20"/>
                <w:szCs w:val="20"/>
              </w:rPr>
              <w:t>2</w:t>
            </w:r>
            <w:r w:rsidR="00FF5934" w:rsidRPr="00EC7DD3">
              <w:rPr>
                <w:sz w:val="20"/>
                <w:szCs w:val="20"/>
              </w:rPr>
              <w:t xml:space="preserve">  (</w:t>
            </w:r>
            <w:proofErr w:type="gramEnd"/>
            <w:r w:rsidR="00FF5934" w:rsidRPr="00EC7DD3">
              <w:rPr>
                <w:sz w:val="20"/>
                <w:szCs w:val="20"/>
              </w:rPr>
              <w:t>33.33%)</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41 - 50</w:t>
            </w:r>
          </w:p>
        </w:tc>
        <w:tc>
          <w:tcPr>
            <w:tcW w:w="2310" w:type="dxa"/>
          </w:tcPr>
          <w:p w:rsidR="00E2747B" w:rsidRPr="00EC7DD3" w:rsidRDefault="00794DE2" w:rsidP="00F24EF2">
            <w:pPr>
              <w:jc w:val="both"/>
              <w:rPr>
                <w:sz w:val="20"/>
                <w:szCs w:val="20"/>
              </w:rPr>
            </w:pPr>
            <w:r w:rsidRPr="00EC7DD3">
              <w:rPr>
                <w:sz w:val="20"/>
                <w:szCs w:val="20"/>
              </w:rPr>
              <w:t>4</w:t>
            </w:r>
          </w:p>
        </w:tc>
        <w:tc>
          <w:tcPr>
            <w:tcW w:w="2311" w:type="dxa"/>
          </w:tcPr>
          <w:p w:rsidR="00E2747B" w:rsidRPr="00EC7DD3" w:rsidRDefault="00794DE2" w:rsidP="00F24EF2">
            <w:pPr>
              <w:jc w:val="both"/>
              <w:rPr>
                <w:sz w:val="20"/>
                <w:szCs w:val="20"/>
              </w:rPr>
            </w:pPr>
            <w:proofErr w:type="gramStart"/>
            <w:r w:rsidRPr="00EC7DD3">
              <w:rPr>
                <w:sz w:val="20"/>
                <w:szCs w:val="20"/>
              </w:rPr>
              <w:t>1</w:t>
            </w:r>
            <w:r w:rsidR="00FF5934" w:rsidRPr="00EC7DD3">
              <w:rPr>
                <w:sz w:val="20"/>
                <w:szCs w:val="20"/>
              </w:rPr>
              <w:t xml:space="preserve">  (</w:t>
            </w:r>
            <w:proofErr w:type="gramEnd"/>
            <w:r w:rsidR="00FF5934" w:rsidRPr="00EC7DD3">
              <w:rPr>
                <w:sz w:val="20"/>
                <w:szCs w:val="20"/>
              </w:rPr>
              <w:t>25%)</w:t>
            </w:r>
          </w:p>
        </w:tc>
        <w:tc>
          <w:tcPr>
            <w:tcW w:w="2311" w:type="dxa"/>
          </w:tcPr>
          <w:p w:rsidR="00E2747B" w:rsidRPr="00EC7DD3" w:rsidRDefault="00794DE2" w:rsidP="00F24EF2">
            <w:pPr>
              <w:jc w:val="both"/>
              <w:rPr>
                <w:sz w:val="20"/>
                <w:szCs w:val="20"/>
              </w:rPr>
            </w:pPr>
            <w:proofErr w:type="gramStart"/>
            <w:r w:rsidRPr="00EC7DD3">
              <w:rPr>
                <w:sz w:val="20"/>
                <w:szCs w:val="20"/>
              </w:rPr>
              <w:t>3</w:t>
            </w:r>
            <w:r w:rsidR="00FF5934" w:rsidRPr="00EC7DD3">
              <w:rPr>
                <w:sz w:val="20"/>
                <w:szCs w:val="20"/>
              </w:rPr>
              <w:t xml:space="preserve">  (</w:t>
            </w:r>
            <w:proofErr w:type="gramEnd"/>
            <w:r w:rsidR="00FF5934" w:rsidRPr="00EC7DD3">
              <w:rPr>
                <w:sz w:val="20"/>
                <w:szCs w:val="20"/>
              </w:rPr>
              <w:t>75%)</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51 - 60</w:t>
            </w:r>
          </w:p>
        </w:tc>
        <w:tc>
          <w:tcPr>
            <w:tcW w:w="2310" w:type="dxa"/>
          </w:tcPr>
          <w:p w:rsidR="00E2747B" w:rsidRPr="00EC7DD3" w:rsidRDefault="00794DE2" w:rsidP="00F24EF2">
            <w:pPr>
              <w:jc w:val="both"/>
              <w:rPr>
                <w:sz w:val="20"/>
                <w:szCs w:val="20"/>
              </w:rPr>
            </w:pPr>
            <w:r w:rsidRPr="00EC7DD3">
              <w:rPr>
                <w:sz w:val="20"/>
                <w:szCs w:val="20"/>
              </w:rPr>
              <w:t>7</w:t>
            </w:r>
          </w:p>
        </w:tc>
        <w:tc>
          <w:tcPr>
            <w:tcW w:w="2311" w:type="dxa"/>
          </w:tcPr>
          <w:p w:rsidR="00E2747B" w:rsidRPr="00EC7DD3" w:rsidRDefault="00794DE2" w:rsidP="00F24EF2">
            <w:pPr>
              <w:jc w:val="both"/>
              <w:rPr>
                <w:sz w:val="20"/>
                <w:szCs w:val="20"/>
              </w:rPr>
            </w:pPr>
            <w:proofErr w:type="gramStart"/>
            <w:r w:rsidRPr="00EC7DD3">
              <w:rPr>
                <w:sz w:val="20"/>
                <w:szCs w:val="20"/>
              </w:rPr>
              <w:t>1</w:t>
            </w:r>
            <w:r w:rsidR="00FF5934" w:rsidRPr="00EC7DD3">
              <w:rPr>
                <w:sz w:val="20"/>
                <w:szCs w:val="20"/>
              </w:rPr>
              <w:t xml:space="preserve">  (</w:t>
            </w:r>
            <w:proofErr w:type="gramEnd"/>
            <w:r w:rsidR="00FF5934" w:rsidRPr="00EC7DD3">
              <w:rPr>
                <w:sz w:val="20"/>
                <w:szCs w:val="20"/>
              </w:rPr>
              <w:t>14.29%)</w:t>
            </w:r>
          </w:p>
        </w:tc>
        <w:tc>
          <w:tcPr>
            <w:tcW w:w="2311" w:type="dxa"/>
          </w:tcPr>
          <w:p w:rsidR="00E2747B" w:rsidRPr="00EC7DD3" w:rsidRDefault="00794DE2" w:rsidP="00F24EF2">
            <w:pPr>
              <w:jc w:val="both"/>
              <w:rPr>
                <w:sz w:val="20"/>
                <w:szCs w:val="20"/>
              </w:rPr>
            </w:pPr>
            <w:proofErr w:type="gramStart"/>
            <w:r w:rsidRPr="00EC7DD3">
              <w:rPr>
                <w:sz w:val="20"/>
                <w:szCs w:val="20"/>
              </w:rPr>
              <w:t>6</w:t>
            </w:r>
            <w:r w:rsidR="00FF5934" w:rsidRPr="00EC7DD3">
              <w:rPr>
                <w:sz w:val="20"/>
                <w:szCs w:val="20"/>
              </w:rPr>
              <w:t xml:space="preserve">  (</w:t>
            </w:r>
            <w:proofErr w:type="gramEnd"/>
            <w:r w:rsidR="00FF5934" w:rsidRPr="00EC7DD3">
              <w:rPr>
                <w:sz w:val="20"/>
                <w:szCs w:val="20"/>
              </w:rPr>
              <w:t>85.71%)</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&gt;60</w:t>
            </w:r>
          </w:p>
        </w:tc>
        <w:tc>
          <w:tcPr>
            <w:tcW w:w="2310" w:type="dxa"/>
          </w:tcPr>
          <w:p w:rsidR="00E2747B" w:rsidRPr="00EC7DD3" w:rsidRDefault="00794DE2" w:rsidP="00F24EF2">
            <w:pPr>
              <w:jc w:val="both"/>
              <w:rPr>
                <w:sz w:val="20"/>
                <w:szCs w:val="20"/>
              </w:rPr>
            </w:pPr>
            <w:r w:rsidRPr="00EC7DD3">
              <w:rPr>
                <w:sz w:val="20"/>
                <w:szCs w:val="20"/>
              </w:rPr>
              <w:t>4</w:t>
            </w:r>
          </w:p>
        </w:tc>
        <w:tc>
          <w:tcPr>
            <w:tcW w:w="2311" w:type="dxa"/>
          </w:tcPr>
          <w:p w:rsidR="00E2747B" w:rsidRPr="00EC7DD3" w:rsidRDefault="00794DE2" w:rsidP="00F24EF2">
            <w:pPr>
              <w:jc w:val="both"/>
              <w:rPr>
                <w:sz w:val="20"/>
                <w:szCs w:val="20"/>
              </w:rPr>
            </w:pPr>
            <w:proofErr w:type="gramStart"/>
            <w:r w:rsidRPr="00EC7DD3">
              <w:rPr>
                <w:sz w:val="20"/>
                <w:szCs w:val="20"/>
              </w:rPr>
              <w:t>1</w:t>
            </w:r>
            <w:r w:rsidR="00FF5934" w:rsidRPr="00EC7DD3">
              <w:rPr>
                <w:sz w:val="20"/>
                <w:szCs w:val="20"/>
              </w:rPr>
              <w:t xml:space="preserve">  (</w:t>
            </w:r>
            <w:proofErr w:type="gramEnd"/>
            <w:r w:rsidR="00FF5934" w:rsidRPr="00EC7DD3">
              <w:rPr>
                <w:sz w:val="20"/>
                <w:szCs w:val="20"/>
              </w:rPr>
              <w:t>25%)</w:t>
            </w:r>
          </w:p>
        </w:tc>
        <w:tc>
          <w:tcPr>
            <w:tcW w:w="2311" w:type="dxa"/>
          </w:tcPr>
          <w:p w:rsidR="00E2747B" w:rsidRPr="00EC7DD3" w:rsidRDefault="00794DE2" w:rsidP="00F24EF2">
            <w:pPr>
              <w:jc w:val="both"/>
              <w:rPr>
                <w:sz w:val="20"/>
                <w:szCs w:val="20"/>
              </w:rPr>
            </w:pPr>
            <w:proofErr w:type="gramStart"/>
            <w:r w:rsidRPr="00EC7DD3">
              <w:rPr>
                <w:sz w:val="20"/>
                <w:szCs w:val="20"/>
              </w:rPr>
              <w:t>3</w:t>
            </w:r>
            <w:r w:rsidR="00FF5934" w:rsidRPr="00EC7DD3">
              <w:rPr>
                <w:sz w:val="20"/>
                <w:szCs w:val="20"/>
              </w:rPr>
              <w:t xml:space="preserve">  (</w:t>
            </w:r>
            <w:proofErr w:type="gramEnd"/>
            <w:r w:rsidR="00FF5934" w:rsidRPr="00EC7DD3">
              <w:rPr>
                <w:sz w:val="20"/>
                <w:szCs w:val="20"/>
              </w:rPr>
              <w:t>75%)</w:t>
            </w:r>
          </w:p>
        </w:tc>
      </w:tr>
      <w:tr w:rsidR="00E2747B" w:rsidRPr="00EC7DD3" w:rsidTr="00E2747B">
        <w:tc>
          <w:tcPr>
            <w:tcW w:w="2310" w:type="dxa"/>
          </w:tcPr>
          <w:p w:rsidR="00E2747B" w:rsidRPr="00EC7DD3" w:rsidRDefault="00794DE2" w:rsidP="00F24EF2">
            <w:pPr>
              <w:jc w:val="both"/>
              <w:rPr>
                <w:sz w:val="20"/>
                <w:szCs w:val="20"/>
              </w:rPr>
            </w:pPr>
            <w:r w:rsidRPr="00EC7DD3">
              <w:rPr>
                <w:sz w:val="20"/>
                <w:szCs w:val="20"/>
              </w:rPr>
              <w:t>Total</w:t>
            </w:r>
          </w:p>
        </w:tc>
        <w:tc>
          <w:tcPr>
            <w:tcW w:w="2310" w:type="dxa"/>
          </w:tcPr>
          <w:p w:rsidR="00E2747B" w:rsidRPr="00EC7DD3" w:rsidRDefault="00794DE2" w:rsidP="00F24EF2">
            <w:pPr>
              <w:jc w:val="both"/>
              <w:rPr>
                <w:sz w:val="20"/>
                <w:szCs w:val="20"/>
              </w:rPr>
            </w:pPr>
            <w:r w:rsidRPr="00EC7DD3">
              <w:rPr>
                <w:sz w:val="20"/>
                <w:szCs w:val="20"/>
              </w:rPr>
              <w:t>52</w:t>
            </w:r>
          </w:p>
        </w:tc>
        <w:tc>
          <w:tcPr>
            <w:tcW w:w="2311" w:type="dxa"/>
          </w:tcPr>
          <w:p w:rsidR="00E2747B" w:rsidRPr="00EC7DD3" w:rsidRDefault="00794DE2" w:rsidP="00F24EF2">
            <w:pPr>
              <w:jc w:val="both"/>
              <w:rPr>
                <w:sz w:val="20"/>
                <w:szCs w:val="20"/>
              </w:rPr>
            </w:pPr>
            <w:r w:rsidRPr="00EC7DD3">
              <w:rPr>
                <w:sz w:val="20"/>
                <w:szCs w:val="20"/>
              </w:rPr>
              <w:t>30</w:t>
            </w:r>
            <w:r w:rsidR="00FF5934" w:rsidRPr="00EC7DD3">
              <w:rPr>
                <w:sz w:val="20"/>
                <w:szCs w:val="20"/>
              </w:rPr>
              <w:t xml:space="preserve"> (57.69%)</w:t>
            </w:r>
          </w:p>
        </w:tc>
        <w:tc>
          <w:tcPr>
            <w:tcW w:w="2311" w:type="dxa"/>
          </w:tcPr>
          <w:p w:rsidR="00E2747B" w:rsidRPr="00EC7DD3" w:rsidRDefault="00794DE2" w:rsidP="00F24EF2">
            <w:pPr>
              <w:jc w:val="both"/>
              <w:rPr>
                <w:sz w:val="20"/>
                <w:szCs w:val="20"/>
              </w:rPr>
            </w:pPr>
            <w:r w:rsidRPr="00EC7DD3">
              <w:rPr>
                <w:sz w:val="20"/>
                <w:szCs w:val="20"/>
              </w:rPr>
              <w:t>22</w:t>
            </w:r>
            <w:r w:rsidR="00FF5934" w:rsidRPr="00EC7DD3">
              <w:rPr>
                <w:sz w:val="20"/>
                <w:szCs w:val="20"/>
              </w:rPr>
              <w:t xml:space="preserve"> (42.31%)</w:t>
            </w:r>
          </w:p>
        </w:tc>
      </w:tr>
    </w:tbl>
    <w:p w:rsidR="00E2747B" w:rsidRPr="00EC7DD3" w:rsidRDefault="00FF5934" w:rsidP="00F24EF2">
      <w:pPr>
        <w:jc w:val="both"/>
        <w:rPr>
          <w:i/>
          <w:sz w:val="20"/>
          <w:szCs w:val="20"/>
        </w:rPr>
      </w:pP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r w:rsidRPr="00EC7DD3">
        <w:rPr>
          <w:sz w:val="20"/>
          <w:szCs w:val="20"/>
        </w:rPr>
        <w:tab/>
      </w:r>
      <w:proofErr w:type="gramStart"/>
      <w:r w:rsidRPr="00EC7DD3">
        <w:rPr>
          <w:i/>
          <w:sz w:val="20"/>
          <w:szCs w:val="20"/>
        </w:rPr>
        <w:t>( p</w:t>
      </w:r>
      <w:proofErr w:type="gramEnd"/>
      <w:r w:rsidRPr="00EC7DD3">
        <w:rPr>
          <w:i/>
          <w:sz w:val="20"/>
          <w:szCs w:val="20"/>
        </w:rPr>
        <w:t xml:space="preserve"> &lt; 0.05 )</w:t>
      </w:r>
    </w:p>
    <w:p w:rsidR="001A62E5" w:rsidRDefault="001A62E5" w:rsidP="00F24EF2">
      <w:pPr>
        <w:jc w:val="both"/>
        <w:rPr>
          <w:sz w:val="20"/>
          <w:szCs w:val="20"/>
        </w:rPr>
      </w:pPr>
    </w:p>
    <w:p w:rsidR="001A62E5" w:rsidRDefault="001A62E5" w:rsidP="00F24EF2">
      <w:pPr>
        <w:jc w:val="both"/>
        <w:rPr>
          <w:sz w:val="20"/>
          <w:szCs w:val="20"/>
        </w:rPr>
      </w:pPr>
    </w:p>
    <w:p w:rsidR="001A62E5" w:rsidRDefault="001A62E5" w:rsidP="00F24EF2">
      <w:pPr>
        <w:jc w:val="both"/>
        <w:rPr>
          <w:sz w:val="20"/>
          <w:szCs w:val="20"/>
        </w:rPr>
      </w:pPr>
    </w:p>
    <w:p w:rsidR="00FF5934" w:rsidRDefault="00256EE8" w:rsidP="00F24EF2">
      <w:pPr>
        <w:jc w:val="both"/>
        <w:rPr>
          <w:sz w:val="20"/>
          <w:szCs w:val="20"/>
        </w:rPr>
      </w:pPr>
      <w:r>
        <w:rPr>
          <w:sz w:val="20"/>
          <w:szCs w:val="20"/>
        </w:rPr>
        <w:t>Majority of the patients with poor prognosis (68.18%) had a statistically significant (p &lt; 0.05) low MRC sum score (&lt; 30) on presentation to hospital (Table 2).</w:t>
      </w:r>
    </w:p>
    <w:p w:rsidR="001A62E5" w:rsidRDefault="001A62E5" w:rsidP="00F24EF2">
      <w:pPr>
        <w:jc w:val="both"/>
      </w:pPr>
    </w:p>
    <w:p w:rsidR="00256EE8" w:rsidRDefault="00256EE8" w:rsidP="00F24EF2">
      <w:pPr>
        <w:jc w:val="both"/>
      </w:pPr>
      <w:proofErr w:type="gramStart"/>
      <w:r>
        <w:t>Table 2.</w:t>
      </w:r>
      <w:proofErr w:type="gramEnd"/>
      <w:r>
        <w:t xml:space="preserve"> </w:t>
      </w:r>
      <w:proofErr w:type="gramStart"/>
      <w:r>
        <w:t>Correlation of weakness at presentation (MRC sum score)</w:t>
      </w:r>
      <w:r w:rsidR="001A62E5">
        <w:t xml:space="preserve"> and prognosis after one month.</w:t>
      </w:r>
      <w:proofErr w:type="gramEnd"/>
    </w:p>
    <w:tbl>
      <w:tblPr>
        <w:tblStyle w:val="TableGrid"/>
        <w:tblW w:w="0" w:type="auto"/>
        <w:tblLook w:val="04A0" w:firstRow="1" w:lastRow="0" w:firstColumn="1" w:lastColumn="0" w:noHBand="0" w:noVBand="1"/>
      </w:tblPr>
      <w:tblGrid>
        <w:gridCol w:w="3080"/>
        <w:gridCol w:w="3081"/>
        <w:gridCol w:w="3081"/>
      </w:tblGrid>
      <w:tr w:rsidR="001A62E5" w:rsidTr="001A62E5">
        <w:tc>
          <w:tcPr>
            <w:tcW w:w="3080" w:type="dxa"/>
          </w:tcPr>
          <w:p w:rsidR="001A62E5" w:rsidRDefault="001A62E5" w:rsidP="00F24EF2">
            <w:pPr>
              <w:jc w:val="both"/>
              <w:rPr>
                <w:sz w:val="20"/>
                <w:szCs w:val="20"/>
              </w:rPr>
            </w:pPr>
            <w:r>
              <w:rPr>
                <w:sz w:val="20"/>
                <w:szCs w:val="20"/>
              </w:rPr>
              <w:t>MRC sum score</w:t>
            </w:r>
          </w:p>
        </w:tc>
        <w:tc>
          <w:tcPr>
            <w:tcW w:w="3081" w:type="dxa"/>
          </w:tcPr>
          <w:p w:rsidR="001A62E5" w:rsidRDefault="001A62E5" w:rsidP="00F24EF2">
            <w:pPr>
              <w:jc w:val="both"/>
              <w:rPr>
                <w:sz w:val="20"/>
                <w:szCs w:val="20"/>
              </w:rPr>
            </w:pPr>
            <w:r>
              <w:rPr>
                <w:sz w:val="20"/>
                <w:szCs w:val="20"/>
              </w:rPr>
              <w:t>Good prognosis</w:t>
            </w:r>
          </w:p>
        </w:tc>
        <w:tc>
          <w:tcPr>
            <w:tcW w:w="3081" w:type="dxa"/>
          </w:tcPr>
          <w:p w:rsidR="001A62E5" w:rsidRDefault="001A62E5" w:rsidP="00F24EF2">
            <w:pPr>
              <w:jc w:val="both"/>
              <w:rPr>
                <w:sz w:val="20"/>
                <w:szCs w:val="20"/>
              </w:rPr>
            </w:pPr>
            <w:r>
              <w:rPr>
                <w:sz w:val="20"/>
                <w:szCs w:val="20"/>
              </w:rPr>
              <w:t>Poor prognosis</w:t>
            </w:r>
          </w:p>
        </w:tc>
      </w:tr>
      <w:tr w:rsidR="001A62E5" w:rsidTr="001A62E5">
        <w:tc>
          <w:tcPr>
            <w:tcW w:w="3080" w:type="dxa"/>
          </w:tcPr>
          <w:p w:rsidR="001A62E5" w:rsidRDefault="001A62E5" w:rsidP="00F24EF2">
            <w:pPr>
              <w:jc w:val="both"/>
              <w:rPr>
                <w:sz w:val="20"/>
                <w:szCs w:val="20"/>
              </w:rPr>
            </w:pPr>
            <w:r>
              <w:rPr>
                <w:sz w:val="20"/>
                <w:szCs w:val="20"/>
              </w:rPr>
              <w:t>51 - 60</w:t>
            </w:r>
          </w:p>
        </w:tc>
        <w:tc>
          <w:tcPr>
            <w:tcW w:w="3081" w:type="dxa"/>
          </w:tcPr>
          <w:p w:rsidR="001A62E5" w:rsidRDefault="001A62E5" w:rsidP="00F24EF2">
            <w:pPr>
              <w:jc w:val="both"/>
              <w:rPr>
                <w:sz w:val="20"/>
                <w:szCs w:val="20"/>
              </w:rPr>
            </w:pPr>
            <w:r>
              <w:rPr>
                <w:sz w:val="20"/>
                <w:szCs w:val="20"/>
              </w:rPr>
              <w:t>4 (13.33%)</w:t>
            </w:r>
          </w:p>
        </w:tc>
        <w:tc>
          <w:tcPr>
            <w:tcW w:w="3081" w:type="dxa"/>
          </w:tcPr>
          <w:p w:rsidR="001A62E5" w:rsidRDefault="001A62E5" w:rsidP="00F24EF2">
            <w:pPr>
              <w:jc w:val="both"/>
              <w:rPr>
                <w:sz w:val="20"/>
                <w:szCs w:val="20"/>
              </w:rPr>
            </w:pPr>
            <w:r>
              <w:rPr>
                <w:sz w:val="20"/>
                <w:szCs w:val="20"/>
              </w:rPr>
              <w:t>2 (9.09%)</w:t>
            </w:r>
          </w:p>
        </w:tc>
      </w:tr>
      <w:tr w:rsidR="001A62E5" w:rsidTr="001A62E5">
        <w:tc>
          <w:tcPr>
            <w:tcW w:w="3080" w:type="dxa"/>
          </w:tcPr>
          <w:p w:rsidR="001A62E5" w:rsidRDefault="001A62E5" w:rsidP="00F24EF2">
            <w:pPr>
              <w:jc w:val="both"/>
              <w:rPr>
                <w:sz w:val="20"/>
                <w:szCs w:val="20"/>
              </w:rPr>
            </w:pPr>
            <w:r>
              <w:rPr>
                <w:sz w:val="20"/>
                <w:szCs w:val="20"/>
              </w:rPr>
              <w:t>41 - 50</w:t>
            </w:r>
          </w:p>
        </w:tc>
        <w:tc>
          <w:tcPr>
            <w:tcW w:w="3081" w:type="dxa"/>
          </w:tcPr>
          <w:p w:rsidR="001A62E5" w:rsidRDefault="001A62E5" w:rsidP="00F24EF2">
            <w:pPr>
              <w:jc w:val="both"/>
              <w:rPr>
                <w:sz w:val="20"/>
                <w:szCs w:val="20"/>
              </w:rPr>
            </w:pPr>
            <w:r>
              <w:rPr>
                <w:sz w:val="20"/>
                <w:szCs w:val="20"/>
              </w:rPr>
              <w:t>11 (36.67%)</w:t>
            </w:r>
          </w:p>
        </w:tc>
        <w:tc>
          <w:tcPr>
            <w:tcW w:w="3081" w:type="dxa"/>
          </w:tcPr>
          <w:p w:rsidR="001A62E5" w:rsidRDefault="007D5652" w:rsidP="00F24EF2">
            <w:pPr>
              <w:jc w:val="both"/>
              <w:rPr>
                <w:sz w:val="20"/>
                <w:szCs w:val="20"/>
              </w:rPr>
            </w:pPr>
            <w:proofErr w:type="gramStart"/>
            <w:r>
              <w:rPr>
                <w:sz w:val="20"/>
                <w:szCs w:val="20"/>
              </w:rPr>
              <w:t>2  (</w:t>
            </w:r>
            <w:proofErr w:type="gramEnd"/>
            <w:r>
              <w:rPr>
                <w:sz w:val="20"/>
                <w:szCs w:val="20"/>
              </w:rPr>
              <w:t>9.09%)</w:t>
            </w:r>
          </w:p>
        </w:tc>
      </w:tr>
      <w:tr w:rsidR="001A62E5" w:rsidTr="001A62E5">
        <w:tc>
          <w:tcPr>
            <w:tcW w:w="3080" w:type="dxa"/>
          </w:tcPr>
          <w:p w:rsidR="001A62E5" w:rsidRDefault="001A62E5" w:rsidP="00F24EF2">
            <w:pPr>
              <w:jc w:val="both"/>
              <w:rPr>
                <w:sz w:val="20"/>
                <w:szCs w:val="20"/>
              </w:rPr>
            </w:pPr>
            <w:r>
              <w:rPr>
                <w:sz w:val="20"/>
                <w:szCs w:val="20"/>
              </w:rPr>
              <w:t>31 - 40</w:t>
            </w:r>
          </w:p>
        </w:tc>
        <w:tc>
          <w:tcPr>
            <w:tcW w:w="3081" w:type="dxa"/>
          </w:tcPr>
          <w:p w:rsidR="001A62E5" w:rsidRDefault="001A62E5" w:rsidP="00F24EF2">
            <w:pPr>
              <w:jc w:val="both"/>
              <w:rPr>
                <w:sz w:val="20"/>
                <w:szCs w:val="20"/>
              </w:rPr>
            </w:pPr>
            <w:r>
              <w:rPr>
                <w:sz w:val="20"/>
                <w:szCs w:val="20"/>
              </w:rPr>
              <w:t>12 (40%)</w:t>
            </w:r>
          </w:p>
        </w:tc>
        <w:tc>
          <w:tcPr>
            <w:tcW w:w="3081" w:type="dxa"/>
          </w:tcPr>
          <w:p w:rsidR="001A62E5" w:rsidRDefault="007D5652" w:rsidP="00F24EF2">
            <w:pPr>
              <w:jc w:val="both"/>
              <w:rPr>
                <w:sz w:val="20"/>
                <w:szCs w:val="20"/>
              </w:rPr>
            </w:pPr>
            <w:r>
              <w:rPr>
                <w:sz w:val="20"/>
                <w:szCs w:val="20"/>
              </w:rPr>
              <w:t>3 (13.64%)</w:t>
            </w:r>
          </w:p>
        </w:tc>
      </w:tr>
      <w:tr w:rsidR="001A62E5" w:rsidTr="001A62E5">
        <w:tc>
          <w:tcPr>
            <w:tcW w:w="3080" w:type="dxa"/>
          </w:tcPr>
          <w:p w:rsidR="001A62E5" w:rsidRDefault="001A62E5" w:rsidP="00F24EF2">
            <w:pPr>
              <w:jc w:val="both"/>
              <w:rPr>
                <w:sz w:val="20"/>
                <w:szCs w:val="20"/>
              </w:rPr>
            </w:pPr>
            <w:r>
              <w:rPr>
                <w:sz w:val="20"/>
                <w:szCs w:val="20"/>
              </w:rPr>
              <w:t>&lt;30</w:t>
            </w:r>
          </w:p>
        </w:tc>
        <w:tc>
          <w:tcPr>
            <w:tcW w:w="3081" w:type="dxa"/>
          </w:tcPr>
          <w:p w:rsidR="001A62E5" w:rsidRDefault="001A62E5" w:rsidP="00F24EF2">
            <w:pPr>
              <w:jc w:val="both"/>
              <w:rPr>
                <w:sz w:val="20"/>
                <w:szCs w:val="20"/>
              </w:rPr>
            </w:pPr>
            <w:proofErr w:type="gramStart"/>
            <w:r>
              <w:rPr>
                <w:sz w:val="20"/>
                <w:szCs w:val="20"/>
              </w:rPr>
              <w:t>3  (</w:t>
            </w:r>
            <w:proofErr w:type="gramEnd"/>
            <w:r>
              <w:rPr>
                <w:sz w:val="20"/>
                <w:szCs w:val="20"/>
              </w:rPr>
              <w:t>10%)</w:t>
            </w:r>
          </w:p>
        </w:tc>
        <w:tc>
          <w:tcPr>
            <w:tcW w:w="3081" w:type="dxa"/>
          </w:tcPr>
          <w:p w:rsidR="001A62E5" w:rsidRDefault="007D5652" w:rsidP="00F24EF2">
            <w:pPr>
              <w:jc w:val="both"/>
              <w:rPr>
                <w:sz w:val="20"/>
                <w:szCs w:val="20"/>
              </w:rPr>
            </w:pPr>
            <w:r>
              <w:rPr>
                <w:sz w:val="20"/>
                <w:szCs w:val="20"/>
              </w:rPr>
              <w:t>15 (68.18%)</w:t>
            </w:r>
          </w:p>
        </w:tc>
      </w:tr>
      <w:tr w:rsidR="001A62E5" w:rsidTr="001A62E5">
        <w:tc>
          <w:tcPr>
            <w:tcW w:w="3080" w:type="dxa"/>
          </w:tcPr>
          <w:p w:rsidR="001A62E5" w:rsidRDefault="001A62E5" w:rsidP="00F24EF2">
            <w:pPr>
              <w:jc w:val="both"/>
              <w:rPr>
                <w:sz w:val="20"/>
                <w:szCs w:val="20"/>
              </w:rPr>
            </w:pPr>
            <w:r>
              <w:rPr>
                <w:sz w:val="20"/>
                <w:szCs w:val="20"/>
              </w:rPr>
              <w:t>Total</w:t>
            </w:r>
          </w:p>
        </w:tc>
        <w:tc>
          <w:tcPr>
            <w:tcW w:w="3081" w:type="dxa"/>
          </w:tcPr>
          <w:p w:rsidR="001A62E5" w:rsidRDefault="001A62E5" w:rsidP="00F24EF2">
            <w:pPr>
              <w:jc w:val="both"/>
              <w:rPr>
                <w:sz w:val="20"/>
                <w:szCs w:val="20"/>
              </w:rPr>
            </w:pPr>
            <w:r>
              <w:rPr>
                <w:sz w:val="20"/>
                <w:szCs w:val="20"/>
              </w:rPr>
              <w:t>30 (100%)</w:t>
            </w:r>
          </w:p>
        </w:tc>
        <w:tc>
          <w:tcPr>
            <w:tcW w:w="3081" w:type="dxa"/>
          </w:tcPr>
          <w:p w:rsidR="001A62E5" w:rsidRDefault="007D5652" w:rsidP="00F24EF2">
            <w:pPr>
              <w:jc w:val="both"/>
              <w:rPr>
                <w:sz w:val="20"/>
                <w:szCs w:val="20"/>
              </w:rPr>
            </w:pPr>
            <w:r>
              <w:rPr>
                <w:sz w:val="20"/>
                <w:szCs w:val="20"/>
              </w:rPr>
              <w:t>22 (100%)</w:t>
            </w:r>
          </w:p>
        </w:tc>
      </w:tr>
    </w:tbl>
    <w:p w:rsidR="001A62E5" w:rsidRPr="007D5652" w:rsidRDefault="007D5652" w:rsidP="00F24EF2">
      <w:pPr>
        <w:jc w:val="both"/>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i/>
          <w:sz w:val="20"/>
          <w:szCs w:val="20"/>
        </w:rPr>
        <w:t>( p</w:t>
      </w:r>
      <w:proofErr w:type="gramEnd"/>
      <w:r>
        <w:rPr>
          <w:i/>
          <w:sz w:val="20"/>
          <w:szCs w:val="20"/>
        </w:rPr>
        <w:t xml:space="preserve"> &lt; 0.05 )</w:t>
      </w:r>
    </w:p>
    <w:p w:rsidR="009D3BDF" w:rsidRDefault="009D3BDF" w:rsidP="009D3BDF">
      <w:pPr>
        <w:rPr>
          <w:sz w:val="20"/>
          <w:szCs w:val="20"/>
        </w:rPr>
      </w:pPr>
    </w:p>
    <w:p w:rsidR="007D5652" w:rsidRDefault="00CA0105" w:rsidP="009D3BDF">
      <w:pPr>
        <w:rPr>
          <w:sz w:val="20"/>
          <w:szCs w:val="20"/>
        </w:rPr>
      </w:pPr>
      <w:r>
        <w:rPr>
          <w:sz w:val="20"/>
          <w:szCs w:val="20"/>
        </w:rPr>
        <w:t>Statistically significant association of history of antecedent diarrhoea, presence of autonomic dysfunction and cranial nerve involvement, at presentation, was found in patients with poor prognosis on follow up after one month (Table 3).</w:t>
      </w:r>
    </w:p>
    <w:p w:rsidR="00193138" w:rsidRDefault="00193138" w:rsidP="009D3BDF">
      <w:proofErr w:type="gramStart"/>
      <w:r>
        <w:t>Table 3.</w:t>
      </w:r>
      <w:proofErr w:type="gramEnd"/>
      <w:r>
        <w:t xml:space="preserve"> Table showing correlation of other factors, at the time of presentation, with poor prognosis of 22 patients detected on follow-up after one month. </w:t>
      </w:r>
    </w:p>
    <w:tbl>
      <w:tblPr>
        <w:tblStyle w:val="TableGrid"/>
        <w:tblW w:w="0" w:type="auto"/>
        <w:tblLook w:val="04A0" w:firstRow="1" w:lastRow="0" w:firstColumn="1" w:lastColumn="0" w:noHBand="0" w:noVBand="1"/>
      </w:tblPr>
      <w:tblGrid>
        <w:gridCol w:w="2310"/>
        <w:gridCol w:w="2310"/>
        <w:gridCol w:w="2311"/>
        <w:gridCol w:w="2311"/>
      </w:tblGrid>
      <w:tr w:rsidR="00193138" w:rsidTr="00193138">
        <w:tc>
          <w:tcPr>
            <w:tcW w:w="2310" w:type="dxa"/>
          </w:tcPr>
          <w:p w:rsidR="00193138" w:rsidRPr="0034315E" w:rsidRDefault="00193138" w:rsidP="009D3BDF">
            <w:pPr>
              <w:rPr>
                <w:sz w:val="20"/>
                <w:szCs w:val="20"/>
              </w:rPr>
            </w:pPr>
            <w:r w:rsidRPr="0034315E">
              <w:rPr>
                <w:sz w:val="20"/>
                <w:szCs w:val="20"/>
              </w:rPr>
              <w:t>Presence of other factors</w:t>
            </w:r>
          </w:p>
        </w:tc>
        <w:tc>
          <w:tcPr>
            <w:tcW w:w="2310" w:type="dxa"/>
          </w:tcPr>
          <w:p w:rsidR="00193138" w:rsidRPr="0034315E" w:rsidRDefault="00193138" w:rsidP="009D3BDF">
            <w:pPr>
              <w:rPr>
                <w:sz w:val="20"/>
                <w:szCs w:val="20"/>
              </w:rPr>
            </w:pPr>
            <w:r w:rsidRPr="0034315E">
              <w:rPr>
                <w:sz w:val="20"/>
                <w:szCs w:val="20"/>
              </w:rPr>
              <w:t>Antecedent diarrhoea</w:t>
            </w:r>
          </w:p>
        </w:tc>
        <w:tc>
          <w:tcPr>
            <w:tcW w:w="2311" w:type="dxa"/>
          </w:tcPr>
          <w:p w:rsidR="00193138" w:rsidRPr="0034315E" w:rsidRDefault="00193138" w:rsidP="009D3BDF">
            <w:pPr>
              <w:rPr>
                <w:sz w:val="20"/>
                <w:szCs w:val="20"/>
              </w:rPr>
            </w:pPr>
            <w:r w:rsidRPr="0034315E">
              <w:rPr>
                <w:sz w:val="20"/>
                <w:szCs w:val="20"/>
              </w:rPr>
              <w:t>Autonomic dysfunction</w:t>
            </w:r>
          </w:p>
        </w:tc>
        <w:tc>
          <w:tcPr>
            <w:tcW w:w="2311" w:type="dxa"/>
          </w:tcPr>
          <w:p w:rsidR="00193138" w:rsidRPr="0034315E" w:rsidRDefault="00193138" w:rsidP="009D3BDF">
            <w:pPr>
              <w:rPr>
                <w:sz w:val="20"/>
                <w:szCs w:val="20"/>
              </w:rPr>
            </w:pPr>
            <w:r w:rsidRPr="0034315E">
              <w:rPr>
                <w:sz w:val="20"/>
                <w:szCs w:val="20"/>
              </w:rPr>
              <w:t>Cranial N. involvement</w:t>
            </w:r>
          </w:p>
        </w:tc>
      </w:tr>
      <w:tr w:rsidR="00193138" w:rsidTr="00193138">
        <w:tc>
          <w:tcPr>
            <w:tcW w:w="2310" w:type="dxa"/>
          </w:tcPr>
          <w:p w:rsidR="00193138" w:rsidRPr="0034315E" w:rsidRDefault="00193138" w:rsidP="009D3BDF">
            <w:pPr>
              <w:rPr>
                <w:sz w:val="20"/>
                <w:szCs w:val="20"/>
              </w:rPr>
            </w:pPr>
            <w:r w:rsidRPr="0034315E">
              <w:rPr>
                <w:sz w:val="20"/>
                <w:szCs w:val="20"/>
              </w:rPr>
              <w:t>Present</w:t>
            </w:r>
          </w:p>
        </w:tc>
        <w:tc>
          <w:tcPr>
            <w:tcW w:w="2310" w:type="dxa"/>
          </w:tcPr>
          <w:p w:rsidR="00193138" w:rsidRPr="0034315E" w:rsidRDefault="00193138" w:rsidP="009D3BDF">
            <w:pPr>
              <w:rPr>
                <w:sz w:val="20"/>
                <w:szCs w:val="20"/>
              </w:rPr>
            </w:pPr>
            <w:r w:rsidRPr="0034315E">
              <w:rPr>
                <w:sz w:val="20"/>
                <w:szCs w:val="20"/>
              </w:rPr>
              <w:t>12 (54.55%)</w:t>
            </w:r>
          </w:p>
        </w:tc>
        <w:tc>
          <w:tcPr>
            <w:tcW w:w="2311" w:type="dxa"/>
          </w:tcPr>
          <w:p w:rsidR="00193138" w:rsidRPr="0034315E" w:rsidRDefault="0034315E" w:rsidP="009D3BDF">
            <w:pPr>
              <w:rPr>
                <w:sz w:val="20"/>
                <w:szCs w:val="20"/>
              </w:rPr>
            </w:pPr>
            <w:r w:rsidRPr="0034315E">
              <w:rPr>
                <w:sz w:val="20"/>
                <w:szCs w:val="20"/>
              </w:rPr>
              <w:t>15 (68.18%)</w:t>
            </w:r>
          </w:p>
        </w:tc>
        <w:tc>
          <w:tcPr>
            <w:tcW w:w="2311" w:type="dxa"/>
          </w:tcPr>
          <w:p w:rsidR="00193138" w:rsidRPr="0034315E" w:rsidRDefault="0034315E" w:rsidP="009D3BDF">
            <w:pPr>
              <w:rPr>
                <w:sz w:val="20"/>
                <w:szCs w:val="20"/>
              </w:rPr>
            </w:pPr>
            <w:proofErr w:type="gramStart"/>
            <w:r w:rsidRPr="0034315E">
              <w:rPr>
                <w:sz w:val="20"/>
                <w:szCs w:val="20"/>
              </w:rPr>
              <w:t>16  (</w:t>
            </w:r>
            <w:proofErr w:type="gramEnd"/>
            <w:r w:rsidRPr="0034315E">
              <w:rPr>
                <w:sz w:val="20"/>
                <w:szCs w:val="20"/>
              </w:rPr>
              <w:t>72.72%)</w:t>
            </w:r>
          </w:p>
        </w:tc>
      </w:tr>
      <w:tr w:rsidR="00193138" w:rsidTr="00193138">
        <w:tc>
          <w:tcPr>
            <w:tcW w:w="2310" w:type="dxa"/>
          </w:tcPr>
          <w:p w:rsidR="00193138" w:rsidRPr="0034315E" w:rsidRDefault="00193138" w:rsidP="009D3BDF">
            <w:pPr>
              <w:rPr>
                <w:sz w:val="20"/>
                <w:szCs w:val="20"/>
              </w:rPr>
            </w:pPr>
            <w:r w:rsidRPr="0034315E">
              <w:rPr>
                <w:sz w:val="20"/>
                <w:szCs w:val="20"/>
              </w:rPr>
              <w:t>absent</w:t>
            </w:r>
          </w:p>
        </w:tc>
        <w:tc>
          <w:tcPr>
            <w:tcW w:w="2310" w:type="dxa"/>
          </w:tcPr>
          <w:p w:rsidR="00193138" w:rsidRPr="0034315E" w:rsidRDefault="00193138" w:rsidP="009D3BDF">
            <w:pPr>
              <w:rPr>
                <w:sz w:val="20"/>
                <w:szCs w:val="20"/>
              </w:rPr>
            </w:pPr>
            <w:r w:rsidRPr="0034315E">
              <w:rPr>
                <w:sz w:val="20"/>
                <w:szCs w:val="20"/>
              </w:rPr>
              <w:t>10</w:t>
            </w:r>
            <w:r w:rsidR="0034315E" w:rsidRPr="0034315E">
              <w:rPr>
                <w:sz w:val="20"/>
                <w:szCs w:val="20"/>
              </w:rPr>
              <w:t xml:space="preserve"> (45.45%)</w:t>
            </w:r>
          </w:p>
        </w:tc>
        <w:tc>
          <w:tcPr>
            <w:tcW w:w="2311" w:type="dxa"/>
          </w:tcPr>
          <w:p w:rsidR="00193138" w:rsidRPr="0034315E" w:rsidRDefault="0034315E" w:rsidP="009D3BDF">
            <w:pPr>
              <w:rPr>
                <w:sz w:val="20"/>
                <w:szCs w:val="20"/>
              </w:rPr>
            </w:pPr>
            <w:r w:rsidRPr="0034315E">
              <w:rPr>
                <w:sz w:val="20"/>
                <w:szCs w:val="20"/>
              </w:rPr>
              <w:t>7   (31.82%)</w:t>
            </w:r>
          </w:p>
        </w:tc>
        <w:tc>
          <w:tcPr>
            <w:tcW w:w="2311" w:type="dxa"/>
          </w:tcPr>
          <w:p w:rsidR="00193138" w:rsidRPr="0034315E" w:rsidRDefault="0034315E" w:rsidP="009D3BDF">
            <w:pPr>
              <w:rPr>
                <w:sz w:val="20"/>
                <w:szCs w:val="20"/>
              </w:rPr>
            </w:pPr>
            <w:r w:rsidRPr="0034315E">
              <w:rPr>
                <w:sz w:val="20"/>
                <w:szCs w:val="20"/>
              </w:rPr>
              <w:t>6     (27.28%)</w:t>
            </w:r>
          </w:p>
        </w:tc>
      </w:tr>
      <w:tr w:rsidR="00193138" w:rsidTr="00193138">
        <w:tc>
          <w:tcPr>
            <w:tcW w:w="2310" w:type="dxa"/>
          </w:tcPr>
          <w:p w:rsidR="00193138" w:rsidRPr="0034315E" w:rsidRDefault="00193138" w:rsidP="009D3BDF">
            <w:pPr>
              <w:rPr>
                <w:sz w:val="20"/>
                <w:szCs w:val="20"/>
              </w:rPr>
            </w:pPr>
            <w:r w:rsidRPr="0034315E">
              <w:rPr>
                <w:sz w:val="20"/>
                <w:szCs w:val="20"/>
              </w:rPr>
              <w:t>P value</w:t>
            </w:r>
          </w:p>
        </w:tc>
        <w:tc>
          <w:tcPr>
            <w:tcW w:w="2310" w:type="dxa"/>
          </w:tcPr>
          <w:p w:rsidR="00193138" w:rsidRPr="0034315E" w:rsidRDefault="0034315E" w:rsidP="009D3BDF">
            <w:pPr>
              <w:rPr>
                <w:sz w:val="20"/>
                <w:szCs w:val="20"/>
              </w:rPr>
            </w:pPr>
            <w:r w:rsidRPr="0034315E">
              <w:rPr>
                <w:sz w:val="20"/>
                <w:szCs w:val="20"/>
              </w:rPr>
              <w:t xml:space="preserve"> &lt; 0.05</w:t>
            </w:r>
          </w:p>
        </w:tc>
        <w:tc>
          <w:tcPr>
            <w:tcW w:w="2311" w:type="dxa"/>
          </w:tcPr>
          <w:p w:rsidR="00193138" w:rsidRPr="0034315E" w:rsidRDefault="0034315E" w:rsidP="009D3BDF">
            <w:pPr>
              <w:rPr>
                <w:sz w:val="20"/>
                <w:szCs w:val="20"/>
              </w:rPr>
            </w:pPr>
            <w:r w:rsidRPr="0034315E">
              <w:rPr>
                <w:sz w:val="20"/>
                <w:szCs w:val="20"/>
              </w:rPr>
              <w:t xml:space="preserve"> &lt; 0.05</w:t>
            </w:r>
          </w:p>
        </w:tc>
        <w:tc>
          <w:tcPr>
            <w:tcW w:w="2311" w:type="dxa"/>
          </w:tcPr>
          <w:p w:rsidR="00193138" w:rsidRPr="0034315E" w:rsidRDefault="0034315E" w:rsidP="009D3BDF">
            <w:pPr>
              <w:rPr>
                <w:sz w:val="20"/>
                <w:szCs w:val="20"/>
              </w:rPr>
            </w:pPr>
            <w:r w:rsidRPr="0034315E">
              <w:rPr>
                <w:sz w:val="20"/>
                <w:szCs w:val="20"/>
              </w:rPr>
              <w:t xml:space="preserve">  &lt; 0.05</w:t>
            </w:r>
          </w:p>
        </w:tc>
      </w:tr>
    </w:tbl>
    <w:p w:rsidR="0034315E" w:rsidRDefault="00193138" w:rsidP="009D3BDF">
      <w:pPr>
        <w:rPr>
          <w:sz w:val="20"/>
          <w:szCs w:val="20"/>
        </w:rPr>
      </w:pPr>
      <w:r>
        <w:t xml:space="preserve"> </w:t>
      </w:r>
    </w:p>
    <w:p w:rsidR="00CA0105" w:rsidRPr="00CA0105" w:rsidRDefault="0034315E" w:rsidP="009D3BDF">
      <w:r>
        <w:rPr>
          <w:sz w:val="20"/>
          <w:szCs w:val="20"/>
        </w:rPr>
        <w:t>Amongst the patients with poor prognosis, electrophysiological studies had shown axonal neuropathy in 40.91% of cases while demyelinating neuropathy was seen in the rest, which however was statistically not significant (p &gt; 0.05).</w:t>
      </w:r>
      <w:r w:rsidR="00193138">
        <w:t xml:space="preserve"> </w:t>
      </w:r>
    </w:p>
    <w:p w:rsidR="00E52182" w:rsidRDefault="009D3BDF" w:rsidP="00C22583">
      <w:pPr>
        <w:jc w:val="both"/>
        <w:rPr>
          <w:sz w:val="20"/>
          <w:szCs w:val="20"/>
        </w:rPr>
      </w:pPr>
      <w:proofErr w:type="gramStart"/>
      <w:r w:rsidRPr="002C32EF">
        <w:rPr>
          <w:b/>
          <w:u w:val="single"/>
        </w:rPr>
        <w:t>DISCUSSION :</w:t>
      </w:r>
      <w:proofErr w:type="gramEnd"/>
      <w:r w:rsidR="007F4289">
        <w:rPr>
          <w:sz w:val="20"/>
          <w:szCs w:val="20"/>
        </w:rPr>
        <w:t xml:space="preserve"> </w:t>
      </w:r>
      <w:r w:rsidR="00B70526">
        <w:rPr>
          <w:sz w:val="20"/>
          <w:szCs w:val="20"/>
        </w:rPr>
        <w:t>In our study of 52 patients,</w:t>
      </w:r>
      <w:r w:rsidR="00592A47">
        <w:rPr>
          <w:sz w:val="20"/>
          <w:szCs w:val="20"/>
        </w:rPr>
        <w:t xml:space="preserve"> slight preponderance of male gender with comparatively younger age of presentation has been noted</w:t>
      </w:r>
      <w:r w:rsidR="00666B92">
        <w:rPr>
          <w:sz w:val="20"/>
          <w:szCs w:val="20"/>
        </w:rPr>
        <w:t xml:space="preserve"> similar to other Indian studies.</w:t>
      </w:r>
      <w:r w:rsidR="00C22583">
        <w:rPr>
          <w:sz w:val="20"/>
          <w:szCs w:val="20"/>
          <w:vertAlign w:val="superscript"/>
        </w:rPr>
        <w:t>3, 5</w:t>
      </w:r>
      <w:r w:rsidR="00C22583">
        <w:rPr>
          <w:sz w:val="20"/>
          <w:szCs w:val="20"/>
        </w:rPr>
        <w:t xml:space="preserve"> The maximum incidence of GBS was noted in the summer months from May to July, possibly due to increased peaks of gastrointestinal and respiratory infections during this season.</w:t>
      </w:r>
      <w:r w:rsidR="00C22583">
        <w:rPr>
          <w:sz w:val="20"/>
          <w:szCs w:val="20"/>
          <w:vertAlign w:val="superscript"/>
        </w:rPr>
        <w:t>4, 5</w:t>
      </w:r>
      <w:r w:rsidR="00C22583">
        <w:rPr>
          <w:sz w:val="20"/>
          <w:szCs w:val="20"/>
        </w:rPr>
        <w:t xml:space="preserve"> </w:t>
      </w:r>
      <w:r w:rsidR="003161DC">
        <w:rPr>
          <w:sz w:val="20"/>
          <w:szCs w:val="20"/>
        </w:rPr>
        <w:t>Clinical nadir was achieved, in most cases, within 2 weeks and  all the patients had maximum weakness by 4 weeks.</w:t>
      </w:r>
      <w:r w:rsidR="003161DC">
        <w:rPr>
          <w:sz w:val="20"/>
          <w:szCs w:val="20"/>
          <w:vertAlign w:val="superscript"/>
        </w:rPr>
        <w:t>12.</w:t>
      </w:r>
      <w:r w:rsidR="003161DC">
        <w:rPr>
          <w:sz w:val="20"/>
          <w:szCs w:val="20"/>
        </w:rPr>
        <w:t xml:space="preserve"> Antecedent infections of the respiratory and gastrointestinal tracts were found in 63.46% of cases</w:t>
      </w:r>
      <w:r w:rsidR="00BC54AD">
        <w:rPr>
          <w:sz w:val="20"/>
          <w:szCs w:val="20"/>
        </w:rPr>
        <w:t>,</w:t>
      </w:r>
      <w:r w:rsidR="003161DC">
        <w:rPr>
          <w:sz w:val="20"/>
          <w:szCs w:val="20"/>
        </w:rPr>
        <w:t xml:space="preserve"> similar to other reported studies.</w:t>
      </w:r>
      <w:r w:rsidR="003161DC">
        <w:rPr>
          <w:sz w:val="20"/>
          <w:szCs w:val="20"/>
          <w:vertAlign w:val="superscript"/>
        </w:rPr>
        <w:t>6</w:t>
      </w:r>
      <w:r w:rsidR="003161DC">
        <w:rPr>
          <w:sz w:val="20"/>
          <w:szCs w:val="20"/>
        </w:rPr>
        <w:t xml:space="preserve"> AIDP was the commonest subtype</w:t>
      </w:r>
      <w:r w:rsidR="007D3982">
        <w:rPr>
          <w:sz w:val="20"/>
          <w:szCs w:val="20"/>
        </w:rPr>
        <w:t xml:space="preserve"> of GBS, on electrophysiological studies,</w:t>
      </w:r>
      <w:r w:rsidR="003161DC">
        <w:rPr>
          <w:sz w:val="20"/>
          <w:szCs w:val="20"/>
        </w:rPr>
        <w:t xml:space="preserve"> detected in majority of the patients of our study</w:t>
      </w:r>
      <w:r w:rsidR="007D3982">
        <w:rPr>
          <w:sz w:val="20"/>
          <w:szCs w:val="20"/>
        </w:rPr>
        <w:t xml:space="preserve"> group.</w:t>
      </w:r>
      <w:r w:rsidR="007D3982">
        <w:rPr>
          <w:sz w:val="20"/>
          <w:szCs w:val="20"/>
          <w:vertAlign w:val="superscript"/>
        </w:rPr>
        <w:t>6, 8</w:t>
      </w:r>
      <w:r w:rsidR="007D3982">
        <w:rPr>
          <w:sz w:val="20"/>
          <w:szCs w:val="20"/>
        </w:rPr>
        <w:t xml:space="preserve"> VII cranial nerve, bilaterally, was most commonly involved, followed by IX and X nerves with involvement of III cranial nerve in only 2 cases.</w:t>
      </w:r>
      <w:r w:rsidR="007D3982">
        <w:rPr>
          <w:sz w:val="20"/>
          <w:szCs w:val="20"/>
          <w:vertAlign w:val="superscript"/>
        </w:rPr>
        <w:t>6</w:t>
      </w:r>
      <w:r w:rsidR="007D3982">
        <w:rPr>
          <w:sz w:val="20"/>
          <w:szCs w:val="20"/>
        </w:rPr>
        <w:t xml:space="preserve"> </w:t>
      </w:r>
      <w:r w:rsidR="004E720E">
        <w:rPr>
          <w:sz w:val="20"/>
          <w:szCs w:val="20"/>
        </w:rPr>
        <w:t xml:space="preserve">Of the 14 patients having respiratory paralysis in our study, 10 needed </w:t>
      </w:r>
      <w:proofErr w:type="spellStart"/>
      <w:r w:rsidR="004E720E">
        <w:rPr>
          <w:sz w:val="20"/>
          <w:szCs w:val="20"/>
        </w:rPr>
        <w:t>ventilatory</w:t>
      </w:r>
      <w:proofErr w:type="spellEnd"/>
      <w:r w:rsidR="004E720E">
        <w:rPr>
          <w:sz w:val="20"/>
          <w:szCs w:val="20"/>
        </w:rPr>
        <w:t xml:space="preserve"> support, 4 had aspiration pneumonia and 4 had ventilator associated pneumonia.</w:t>
      </w:r>
      <w:r w:rsidR="004E720E">
        <w:rPr>
          <w:sz w:val="20"/>
          <w:szCs w:val="20"/>
          <w:vertAlign w:val="superscript"/>
        </w:rPr>
        <w:t>6, 7</w:t>
      </w:r>
      <w:r w:rsidR="004E720E">
        <w:rPr>
          <w:sz w:val="20"/>
          <w:szCs w:val="20"/>
        </w:rPr>
        <w:t xml:space="preserve"> </w:t>
      </w:r>
    </w:p>
    <w:p w:rsidR="00E52182" w:rsidRDefault="00E52182" w:rsidP="00C22583">
      <w:pPr>
        <w:jc w:val="both"/>
        <w:rPr>
          <w:sz w:val="20"/>
          <w:szCs w:val="20"/>
        </w:rPr>
      </w:pPr>
    </w:p>
    <w:p w:rsidR="00E52182" w:rsidRDefault="00E52182" w:rsidP="00C22583">
      <w:pPr>
        <w:jc w:val="both"/>
        <w:rPr>
          <w:sz w:val="20"/>
          <w:szCs w:val="20"/>
        </w:rPr>
      </w:pPr>
    </w:p>
    <w:p w:rsidR="00BC54AD" w:rsidRDefault="00BC54AD" w:rsidP="00C22583">
      <w:pPr>
        <w:jc w:val="both"/>
        <w:rPr>
          <w:sz w:val="20"/>
          <w:szCs w:val="20"/>
        </w:rPr>
      </w:pPr>
    </w:p>
    <w:p w:rsidR="00E52182" w:rsidRDefault="004E720E" w:rsidP="00C22583">
      <w:pPr>
        <w:jc w:val="both"/>
        <w:rPr>
          <w:sz w:val="20"/>
          <w:szCs w:val="20"/>
        </w:rPr>
      </w:pPr>
      <w:proofErr w:type="gramStart"/>
      <w:r>
        <w:rPr>
          <w:sz w:val="20"/>
          <w:szCs w:val="20"/>
        </w:rPr>
        <w:t>Sensory symptoms in the form of pain was</w:t>
      </w:r>
      <w:proofErr w:type="gramEnd"/>
      <w:r>
        <w:rPr>
          <w:sz w:val="20"/>
          <w:szCs w:val="20"/>
        </w:rPr>
        <w:t xml:space="preserve"> seen in 21 patients whereas a majority of 37 patients complained of </w:t>
      </w:r>
      <w:proofErr w:type="spellStart"/>
      <w:r>
        <w:rPr>
          <w:sz w:val="20"/>
          <w:szCs w:val="20"/>
        </w:rPr>
        <w:t>paraestheia</w:t>
      </w:r>
      <w:proofErr w:type="spellEnd"/>
      <w:r>
        <w:rPr>
          <w:sz w:val="20"/>
          <w:szCs w:val="20"/>
        </w:rPr>
        <w:t xml:space="preserve">. Objective sensory deficit was present </w:t>
      </w:r>
      <w:proofErr w:type="gramStart"/>
      <w:r>
        <w:rPr>
          <w:sz w:val="20"/>
          <w:szCs w:val="20"/>
        </w:rPr>
        <w:t>in 17 cases.</w:t>
      </w:r>
      <w:r>
        <w:rPr>
          <w:sz w:val="20"/>
          <w:szCs w:val="20"/>
          <w:vertAlign w:val="superscript"/>
        </w:rPr>
        <w:t>6</w:t>
      </w:r>
      <w:proofErr w:type="gramEnd"/>
    </w:p>
    <w:p w:rsidR="004E720E" w:rsidRDefault="00FB16DB" w:rsidP="00C22583">
      <w:pPr>
        <w:jc w:val="both"/>
        <w:rPr>
          <w:sz w:val="20"/>
          <w:szCs w:val="20"/>
        </w:rPr>
      </w:pPr>
      <w:r>
        <w:rPr>
          <w:sz w:val="20"/>
          <w:szCs w:val="20"/>
        </w:rPr>
        <w:t>Autonomic dysfunction was detected in 25 cases (48.07%) of which 10 was detected with hypertension, 8 with supine hypotension and 3 with postural hypotension.</w:t>
      </w:r>
      <w:r w:rsidR="0087668E">
        <w:rPr>
          <w:sz w:val="20"/>
          <w:szCs w:val="20"/>
          <w:vertAlign w:val="superscript"/>
        </w:rPr>
        <w:t>6</w:t>
      </w:r>
      <w:r>
        <w:rPr>
          <w:sz w:val="20"/>
          <w:szCs w:val="20"/>
        </w:rPr>
        <w:t xml:space="preserve"> However presence of these conditions asymptomatically before onset of GBS could not be ascertained properly.</w:t>
      </w:r>
      <w:r w:rsidR="0087668E">
        <w:rPr>
          <w:sz w:val="20"/>
          <w:szCs w:val="20"/>
        </w:rPr>
        <w:t xml:space="preserve"> Other autonomic symptoms like urinary retention, constipation and tachycardia were observed in our study.</w:t>
      </w:r>
    </w:p>
    <w:p w:rsidR="0087668E" w:rsidRDefault="0087668E" w:rsidP="00C22583">
      <w:pPr>
        <w:jc w:val="both"/>
        <w:rPr>
          <w:sz w:val="20"/>
          <w:szCs w:val="20"/>
        </w:rPr>
      </w:pPr>
      <w:r>
        <w:rPr>
          <w:sz w:val="20"/>
          <w:szCs w:val="20"/>
        </w:rPr>
        <w:t>4 out of 52 patients succumbed to the disease, the mortality rate being 7.69%, a rate slightly higher than other Indian studies.</w:t>
      </w:r>
      <w:r>
        <w:rPr>
          <w:sz w:val="20"/>
          <w:szCs w:val="20"/>
          <w:vertAlign w:val="superscript"/>
        </w:rPr>
        <w:t>8</w:t>
      </w:r>
      <w:r>
        <w:rPr>
          <w:sz w:val="20"/>
          <w:szCs w:val="20"/>
        </w:rPr>
        <w:t xml:space="preserve">  </w:t>
      </w:r>
    </w:p>
    <w:p w:rsidR="00F67211" w:rsidRDefault="00F67211" w:rsidP="00C22583">
      <w:pPr>
        <w:jc w:val="both"/>
        <w:rPr>
          <w:sz w:val="20"/>
          <w:szCs w:val="20"/>
        </w:rPr>
      </w:pPr>
      <w:r>
        <w:rPr>
          <w:sz w:val="20"/>
          <w:szCs w:val="20"/>
        </w:rPr>
        <w:t xml:space="preserve">On follow-up at the end of one month, 57.7% patients showed good prognosis while the rest (42.3%) had poor prognosis. </w:t>
      </w:r>
      <w:r w:rsidR="00A807D3">
        <w:rPr>
          <w:sz w:val="20"/>
          <w:szCs w:val="20"/>
        </w:rPr>
        <w:t>It was observed that prognosis worsens as age advances</w:t>
      </w:r>
      <w:r w:rsidR="00F06128">
        <w:rPr>
          <w:sz w:val="20"/>
          <w:szCs w:val="20"/>
        </w:rPr>
        <w:t>,</w:t>
      </w:r>
      <w:r w:rsidR="00A807D3">
        <w:rPr>
          <w:sz w:val="20"/>
          <w:szCs w:val="20"/>
        </w:rPr>
        <w:t xml:space="preserve"> with majority of the patients who presented at an age of more than 50 years</w:t>
      </w:r>
      <w:r w:rsidR="00F06128">
        <w:rPr>
          <w:sz w:val="20"/>
          <w:szCs w:val="20"/>
        </w:rPr>
        <w:t xml:space="preserve"> showing poor prognosis as shown in Table 1.</w:t>
      </w:r>
      <w:r w:rsidR="00F06128">
        <w:rPr>
          <w:sz w:val="20"/>
          <w:szCs w:val="20"/>
          <w:vertAlign w:val="superscript"/>
        </w:rPr>
        <w:t>9, 11</w:t>
      </w:r>
      <w:r w:rsidR="00F06128">
        <w:rPr>
          <w:sz w:val="20"/>
          <w:szCs w:val="20"/>
        </w:rPr>
        <w:t xml:space="preserve"> </w:t>
      </w:r>
    </w:p>
    <w:p w:rsidR="00F06128" w:rsidRDefault="00F06128" w:rsidP="00C22583">
      <w:pPr>
        <w:jc w:val="both"/>
        <w:rPr>
          <w:sz w:val="20"/>
          <w:szCs w:val="20"/>
        </w:rPr>
      </w:pPr>
      <w:r>
        <w:rPr>
          <w:sz w:val="20"/>
          <w:szCs w:val="20"/>
        </w:rPr>
        <w:t>In majority of the patients with poor prognosis (68.18%), it was seen that initially they had presented with severe weakness as evidenced by a low MRC sum score of &lt;30 (Table 2).</w:t>
      </w:r>
      <w:r w:rsidR="00724EC8">
        <w:rPr>
          <w:sz w:val="20"/>
          <w:szCs w:val="20"/>
        </w:rPr>
        <w:t xml:space="preserve"> A low MRC sum score on hospital admission has been identified, by many researchers, as a predictor of poor outcome.</w:t>
      </w:r>
      <w:r w:rsidR="00724EC8">
        <w:rPr>
          <w:sz w:val="20"/>
          <w:szCs w:val="20"/>
          <w:vertAlign w:val="superscript"/>
        </w:rPr>
        <w:t>10</w:t>
      </w:r>
      <w:r w:rsidR="00724EC8">
        <w:rPr>
          <w:sz w:val="20"/>
          <w:szCs w:val="20"/>
        </w:rPr>
        <w:t xml:space="preserve"> </w:t>
      </w:r>
    </w:p>
    <w:p w:rsidR="00724EC8" w:rsidRDefault="00724EC8" w:rsidP="00C22583">
      <w:pPr>
        <w:jc w:val="both"/>
        <w:rPr>
          <w:sz w:val="20"/>
          <w:szCs w:val="20"/>
        </w:rPr>
      </w:pPr>
      <w:r>
        <w:rPr>
          <w:sz w:val="20"/>
          <w:szCs w:val="20"/>
        </w:rPr>
        <w:t xml:space="preserve">History of diarrhoea </w:t>
      </w:r>
      <w:proofErr w:type="spellStart"/>
      <w:r>
        <w:rPr>
          <w:sz w:val="20"/>
          <w:szCs w:val="20"/>
        </w:rPr>
        <w:t>preceeding</w:t>
      </w:r>
      <w:proofErr w:type="spellEnd"/>
      <w:r>
        <w:rPr>
          <w:sz w:val="20"/>
          <w:szCs w:val="20"/>
        </w:rPr>
        <w:t xml:space="preserve"> the onset of GBS is also linked with a poor outcome</w:t>
      </w:r>
      <w:r w:rsidR="00097C49">
        <w:rPr>
          <w:sz w:val="20"/>
          <w:szCs w:val="20"/>
        </w:rPr>
        <w:t xml:space="preserve"> of the disease by many authors.</w:t>
      </w:r>
      <w:r w:rsidR="00097C49">
        <w:rPr>
          <w:sz w:val="20"/>
          <w:szCs w:val="20"/>
          <w:vertAlign w:val="superscript"/>
        </w:rPr>
        <w:t>9</w:t>
      </w:r>
      <w:r w:rsidR="00097C49">
        <w:rPr>
          <w:sz w:val="20"/>
          <w:szCs w:val="20"/>
        </w:rPr>
        <w:t xml:space="preserve"> </w:t>
      </w:r>
      <w:proofErr w:type="gramStart"/>
      <w:r w:rsidR="00097C49">
        <w:rPr>
          <w:sz w:val="20"/>
          <w:szCs w:val="20"/>
        </w:rPr>
        <w:t>In</w:t>
      </w:r>
      <w:proofErr w:type="gramEnd"/>
      <w:r w:rsidR="00097C49">
        <w:rPr>
          <w:sz w:val="20"/>
          <w:szCs w:val="20"/>
        </w:rPr>
        <w:t xml:space="preserve"> our study, 54.55% of patients with poor prognosis had such history. Similarly, presence of autonomic dysfunction at presentation has been implicated as an indicator of poor prognosis.</w:t>
      </w:r>
      <w:r w:rsidR="00097C49">
        <w:rPr>
          <w:sz w:val="20"/>
          <w:szCs w:val="20"/>
          <w:vertAlign w:val="superscript"/>
        </w:rPr>
        <w:t>8, 10</w:t>
      </w:r>
      <w:r w:rsidR="00097C49">
        <w:rPr>
          <w:sz w:val="20"/>
          <w:szCs w:val="20"/>
        </w:rPr>
        <w:t xml:space="preserve"> </w:t>
      </w:r>
      <w:proofErr w:type="gramStart"/>
      <w:r w:rsidR="00097C49">
        <w:rPr>
          <w:sz w:val="20"/>
          <w:szCs w:val="20"/>
        </w:rPr>
        <w:t>In</w:t>
      </w:r>
      <w:proofErr w:type="gramEnd"/>
      <w:r w:rsidR="00097C49">
        <w:rPr>
          <w:sz w:val="20"/>
          <w:szCs w:val="20"/>
        </w:rPr>
        <w:t xml:space="preserve"> our study also, out of 22 patients with poor prognosis, 15 (68.18%) had autonomic dysfunction on admission. Another implicated predictor of poor outcome, cranial nerve involvement, was present in 72.72% of the </w:t>
      </w:r>
      <w:r w:rsidR="00932EDF">
        <w:rPr>
          <w:sz w:val="20"/>
          <w:szCs w:val="20"/>
        </w:rPr>
        <w:t xml:space="preserve">group of </w:t>
      </w:r>
      <w:r w:rsidR="00097C49">
        <w:rPr>
          <w:sz w:val="20"/>
          <w:szCs w:val="20"/>
        </w:rPr>
        <w:t>patients who were later labelled as those with poor prognosis.</w:t>
      </w:r>
    </w:p>
    <w:p w:rsidR="00932EDF" w:rsidRPr="00932EDF" w:rsidRDefault="00932EDF" w:rsidP="00C22583">
      <w:pPr>
        <w:jc w:val="both"/>
        <w:rPr>
          <w:sz w:val="20"/>
          <w:szCs w:val="20"/>
        </w:rPr>
      </w:pPr>
      <w:r>
        <w:rPr>
          <w:sz w:val="20"/>
          <w:szCs w:val="20"/>
        </w:rPr>
        <w:t xml:space="preserve">On electrophysiological studies, Some authors opine that the prognosis of axonal variety was better than that of demyelinating variety, while others have found no significant difference in </w:t>
      </w:r>
      <w:r w:rsidR="00BC54AD">
        <w:rPr>
          <w:sz w:val="20"/>
          <w:szCs w:val="20"/>
        </w:rPr>
        <w:t>the outcome based on these studies</w:t>
      </w:r>
      <w:r>
        <w:rPr>
          <w:sz w:val="20"/>
          <w:szCs w:val="20"/>
        </w:rPr>
        <w:t>.</w:t>
      </w:r>
      <w:r>
        <w:rPr>
          <w:sz w:val="20"/>
          <w:szCs w:val="20"/>
          <w:vertAlign w:val="superscript"/>
        </w:rPr>
        <w:t>8, 11</w:t>
      </w:r>
      <w:r>
        <w:rPr>
          <w:sz w:val="20"/>
          <w:szCs w:val="20"/>
        </w:rPr>
        <w:t xml:space="preserve"> In our study, no statistically significant difference, in outcome, was noted based on electrophysiological finding.</w:t>
      </w:r>
    </w:p>
    <w:p w:rsidR="009D3BDF" w:rsidRDefault="009D3BDF" w:rsidP="009A67A5">
      <w:pPr>
        <w:jc w:val="both"/>
        <w:rPr>
          <w:sz w:val="20"/>
          <w:szCs w:val="20"/>
        </w:rPr>
      </w:pPr>
      <w:proofErr w:type="gramStart"/>
      <w:r w:rsidRPr="002C32EF">
        <w:rPr>
          <w:b/>
          <w:u w:val="single"/>
        </w:rPr>
        <w:t>CONCLUSION :</w:t>
      </w:r>
      <w:proofErr w:type="gramEnd"/>
      <w:r w:rsidR="00932EDF">
        <w:rPr>
          <w:sz w:val="20"/>
          <w:szCs w:val="20"/>
        </w:rPr>
        <w:t xml:space="preserve"> </w:t>
      </w:r>
      <w:r w:rsidR="009A67A5">
        <w:rPr>
          <w:sz w:val="20"/>
          <w:szCs w:val="20"/>
        </w:rPr>
        <w:t xml:space="preserve">There are several factors that play key role in the prognosis of </w:t>
      </w:r>
      <w:proofErr w:type="spellStart"/>
      <w:r w:rsidR="009A67A5">
        <w:rPr>
          <w:sz w:val="20"/>
          <w:szCs w:val="20"/>
        </w:rPr>
        <w:t>Guillain-Barré</w:t>
      </w:r>
      <w:proofErr w:type="spellEnd"/>
      <w:r w:rsidR="009A67A5">
        <w:rPr>
          <w:sz w:val="20"/>
          <w:szCs w:val="20"/>
        </w:rPr>
        <w:t xml:space="preserve"> Syndrome. Most of the patients having poor prognosis were of advanced age, had severe disability at presentation, had a previous history of diarrhoea, had some autonomic dysfunction or had cranial nerve involvement. It is, therefore, crucial that these factors are identified early with an aim to treat and manage them, and subsequently ensure better outcome.</w:t>
      </w:r>
    </w:p>
    <w:p w:rsidR="009A67A5" w:rsidRDefault="00246017" w:rsidP="009A67A5">
      <w:pPr>
        <w:jc w:val="both"/>
        <w:rPr>
          <w:sz w:val="20"/>
          <w:szCs w:val="20"/>
        </w:rPr>
      </w:pPr>
      <w:proofErr w:type="gramStart"/>
      <w:r>
        <w:rPr>
          <w:b/>
          <w:sz w:val="20"/>
          <w:szCs w:val="20"/>
        </w:rPr>
        <w:t>Acknowledgements :</w:t>
      </w:r>
      <w:proofErr w:type="gramEnd"/>
      <w:r>
        <w:rPr>
          <w:sz w:val="20"/>
          <w:szCs w:val="20"/>
        </w:rPr>
        <w:t xml:space="preserve"> We acknowledge the support and co-operation of the patients and their attendants, doctors and supporting staff of the Hospital</w:t>
      </w:r>
      <w:r w:rsidR="000738F5">
        <w:rPr>
          <w:sz w:val="20"/>
          <w:szCs w:val="20"/>
        </w:rPr>
        <w:t xml:space="preserve"> in completion of this work</w:t>
      </w:r>
      <w:bookmarkStart w:id="0" w:name="_GoBack"/>
      <w:bookmarkEnd w:id="0"/>
      <w:r>
        <w:rPr>
          <w:sz w:val="20"/>
          <w:szCs w:val="20"/>
        </w:rPr>
        <w:t>.</w:t>
      </w:r>
    </w:p>
    <w:p w:rsidR="00246017" w:rsidRDefault="00246017" w:rsidP="009A67A5">
      <w:pPr>
        <w:jc w:val="both"/>
        <w:rPr>
          <w:sz w:val="20"/>
          <w:szCs w:val="20"/>
        </w:rPr>
      </w:pPr>
      <w:r w:rsidRPr="00E52182">
        <w:rPr>
          <w:b/>
          <w:sz w:val="20"/>
          <w:szCs w:val="20"/>
        </w:rPr>
        <w:t xml:space="preserve">Ethical </w:t>
      </w:r>
      <w:proofErr w:type="gramStart"/>
      <w:r w:rsidRPr="00E52182">
        <w:rPr>
          <w:b/>
          <w:sz w:val="20"/>
          <w:szCs w:val="20"/>
        </w:rPr>
        <w:t>Clearance :</w:t>
      </w:r>
      <w:proofErr w:type="gramEnd"/>
      <w:r>
        <w:rPr>
          <w:sz w:val="20"/>
          <w:szCs w:val="20"/>
        </w:rPr>
        <w:t xml:space="preserve"> Obtained from Institutional Ethical Committee.</w:t>
      </w:r>
    </w:p>
    <w:p w:rsidR="00246017" w:rsidRDefault="00246017" w:rsidP="009A67A5">
      <w:pPr>
        <w:jc w:val="both"/>
        <w:rPr>
          <w:sz w:val="20"/>
          <w:szCs w:val="20"/>
        </w:rPr>
      </w:pPr>
      <w:r w:rsidRPr="00E52182">
        <w:rPr>
          <w:b/>
          <w:sz w:val="20"/>
          <w:szCs w:val="20"/>
        </w:rPr>
        <w:t xml:space="preserve">Conflict of </w:t>
      </w:r>
      <w:proofErr w:type="gramStart"/>
      <w:r w:rsidRPr="00E52182">
        <w:rPr>
          <w:b/>
          <w:sz w:val="20"/>
          <w:szCs w:val="20"/>
        </w:rPr>
        <w:t>Interest :</w:t>
      </w:r>
      <w:proofErr w:type="gramEnd"/>
      <w:r>
        <w:rPr>
          <w:sz w:val="20"/>
          <w:szCs w:val="20"/>
        </w:rPr>
        <w:t xml:space="preserve"> None.</w:t>
      </w:r>
    </w:p>
    <w:p w:rsidR="00246017" w:rsidRDefault="00246017" w:rsidP="009A67A5">
      <w:pPr>
        <w:jc w:val="both"/>
        <w:rPr>
          <w:sz w:val="20"/>
          <w:szCs w:val="20"/>
        </w:rPr>
      </w:pPr>
      <w:r w:rsidRPr="00E52182">
        <w:rPr>
          <w:b/>
          <w:sz w:val="20"/>
          <w:szCs w:val="20"/>
        </w:rPr>
        <w:t xml:space="preserve">Financial </w:t>
      </w:r>
      <w:proofErr w:type="gramStart"/>
      <w:r w:rsidRPr="00E52182">
        <w:rPr>
          <w:b/>
          <w:sz w:val="20"/>
          <w:szCs w:val="20"/>
        </w:rPr>
        <w:t>Support :</w:t>
      </w:r>
      <w:proofErr w:type="gramEnd"/>
      <w:r>
        <w:rPr>
          <w:sz w:val="20"/>
          <w:szCs w:val="20"/>
        </w:rPr>
        <w:t xml:space="preserve"> None.</w:t>
      </w:r>
    </w:p>
    <w:p w:rsidR="00246017" w:rsidRPr="00E52182" w:rsidRDefault="00246017" w:rsidP="009A67A5">
      <w:pPr>
        <w:jc w:val="both"/>
        <w:rPr>
          <w:b/>
          <w:sz w:val="20"/>
          <w:szCs w:val="20"/>
        </w:rPr>
      </w:pPr>
      <w:r w:rsidRPr="00E52182">
        <w:rPr>
          <w:b/>
          <w:sz w:val="20"/>
          <w:szCs w:val="20"/>
        </w:rPr>
        <w:t xml:space="preserve">Contribution of </w:t>
      </w:r>
      <w:proofErr w:type="gramStart"/>
      <w:r w:rsidRPr="00E52182">
        <w:rPr>
          <w:b/>
          <w:sz w:val="20"/>
          <w:szCs w:val="20"/>
        </w:rPr>
        <w:t>Authors :</w:t>
      </w:r>
      <w:proofErr w:type="gramEnd"/>
      <w:r>
        <w:rPr>
          <w:sz w:val="20"/>
          <w:szCs w:val="20"/>
        </w:rPr>
        <w:t xml:space="preserve"> </w:t>
      </w:r>
      <w:r w:rsidR="00E52182">
        <w:rPr>
          <w:sz w:val="20"/>
          <w:szCs w:val="20"/>
        </w:rPr>
        <w:t>We declare that the authors named in this article did this work and liabilities pertaining to claims relating to the content of this article will be borne by the authors.</w:t>
      </w:r>
    </w:p>
    <w:p w:rsidR="00D416F0" w:rsidRDefault="00D416F0" w:rsidP="009D3BDF">
      <w:pPr>
        <w:rPr>
          <w:b/>
          <w:sz w:val="32"/>
          <w:szCs w:val="32"/>
          <w:u w:val="single"/>
        </w:rPr>
      </w:pPr>
    </w:p>
    <w:p w:rsidR="00D416F0" w:rsidRDefault="00D416F0" w:rsidP="009D3BDF">
      <w:pPr>
        <w:rPr>
          <w:b/>
          <w:sz w:val="32"/>
          <w:szCs w:val="32"/>
          <w:u w:val="single"/>
        </w:rPr>
      </w:pPr>
    </w:p>
    <w:p w:rsidR="00D416F0" w:rsidRDefault="00D416F0" w:rsidP="009D3BDF">
      <w:pPr>
        <w:rPr>
          <w:sz w:val="16"/>
          <w:szCs w:val="16"/>
          <w:u w:val="single"/>
        </w:rPr>
      </w:pPr>
      <w:proofErr w:type="gramStart"/>
      <w:r w:rsidRPr="002C32EF">
        <w:rPr>
          <w:b/>
          <w:u w:val="single"/>
        </w:rPr>
        <w:t>REFERENCES :</w:t>
      </w:r>
      <w:proofErr w:type="gramEnd"/>
    </w:p>
    <w:p w:rsidR="00877E7D" w:rsidRDefault="00E52182" w:rsidP="00877E7D">
      <w:pPr>
        <w:pStyle w:val="ListParagraph"/>
        <w:numPr>
          <w:ilvl w:val="0"/>
          <w:numId w:val="1"/>
        </w:numPr>
        <w:rPr>
          <w:sz w:val="16"/>
          <w:szCs w:val="16"/>
        </w:rPr>
      </w:pPr>
      <w:r>
        <w:rPr>
          <w:sz w:val="16"/>
          <w:szCs w:val="16"/>
        </w:rPr>
        <w:t xml:space="preserve">Hauser SL, Amato AA ; </w:t>
      </w:r>
      <w:proofErr w:type="spellStart"/>
      <w:r>
        <w:rPr>
          <w:sz w:val="16"/>
          <w:szCs w:val="16"/>
        </w:rPr>
        <w:t>Guilla</w:t>
      </w:r>
      <w:r w:rsidR="00F24425">
        <w:rPr>
          <w:sz w:val="16"/>
          <w:szCs w:val="16"/>
        </w:rPr>
        <w:t>i</w:t>
      </w:r>
      <w:r w:rsidR="00023E40">
        <w:rPr>
          <w:sz w:val="16"/>
          <w:szCs w:val="16"/>
        </w:rPr>
        <w:t>n-</w:t>
      </w:r>
      <w:r>
        <w:rPr>
          <w:sz w:val="16"/>
          <w:szCs w:val="16"/>
        </w:rPr>
        <w:t>Barré</w:t>
      </w:r>
      <w:proofErr w:type="spellEnd"/>
      <w:r>
        <w:rPr>
          <w:sz w:val="16"/>
          <w:szCs w:val="16"/>
        </w:rPr>
        <w:t xml:space="preserve"> Syndrome and other immune related neuropathies; In Kasper DL, </w:t>
      </w:r>
      <w:proofErr w:type="spellStart"/>
      <w:r>
        <w:rPr>
          <w:sz w:val="16"/>
          <w:szCs w:val="16"/>
        </w:rPr>
        <w:t>Fauci</w:t>
      </w:r>
      <w:proofErr w:type="spellEnd"/>
      <w:r>
        <w:rPr>
          <w:sz w:val="16"/>
          <w:szCs w:val="16"/>
        </w:rPr>
        <w:t xml:space="preserve"> AS, Hauser SL, </w:t>
      </w:r>
      <w:r w:rsidR="003B5787">
        <w:rPr>
          <w:sz w:val="16"/>
          <w:szCs w:val="16"/>
        </w:rPr>
        <w:t xml:space="preserve"> </w:t>
      </w:r>
      <w:r>
        <w:rPr>
          <w:sz w:val="16"/>
          <w:szCs w:val="16"/>
        </w:rPr>
        <w:t>Longo D, Jameson JL</w:t>
      </w:r>
      <w:r w:rsidR="00877E7D">
        <w:rPr>
          <w:sz w:val="16"/>
          <w:szCs w:val="16"/>
        </w:rPr>
        <w:t xml:space="preserve">, </w:t>
      </w:r>
      <w:proofErr w:type="spellStart"/>
      <w:r w:rsidR="00877E7D">
        <w:rPr>
          <w:sz w:val="16"/>
          <w:szCs w:val="16"/>
        </w:rPr>
        <w:t>Loscalzo</w:t>
      </w:r>
      <w:proofErr w:type="spellEnd"/>
      <w:r w:rsidR="00877E7D">
        <w:rPr>
          <w:sz w:val="16"/>
          <w:szCs w:val="16"/>
        </w:rPr>
        <w:t xml:space="preserve"> J, et al (Editors); Harrison’s Principles of Internal Medicine, 19 ed. Vol. II; New York; </w:t>
      </w:r>
      <w:proofErr w:type="spellStart"/>
      <w:r w:rsidR="00877E7D">
        <w:rPr>
          <w:sz w:val="16"/>
          <w:szCs w:val="16"/>
        </w:rPr>
        <w:t>Mc</w:t>
      </w:r>
      <w:proofErr w:type="spellEnd"/>
      <w:r w:rsidR="00877E7D">
        <w:rPr>
          <w:sz w:val="16"/>
          <w:szCs w:val="16"/>
        </w:rPr>
        <w:t xml:space="preserve"> </w:t>
      </w:r>
      <w:proofErr w:type="spellStart"/>
      <w:r w:rsidR="00877E7D">
        <w:rPr>
          <w:sz w:val="16"/>
          <w:szCs w:val="16"/>
        </w:rPr>
        <w:t>Graw</w:t>
      </w:r>
      <w:proofErr w:type="spellEnd"/>
      <w:r w:rsidR="00877E7D">
        <w:rPr>
          <w:sz w:val="16"/>
          <w:szCs w:val="16"/>
        </w:rPr>
        <w:t>-Hill; 2015; 2694-98.</w:t>
      </w:r>
    </w:p>
    <w:p w:rsidR="00C37540" w:rsidRDefault="00C37540" w:rsidP="00BC54AD">
      <w:pPr>
        <w:pStyle w:val="ListParagraph"/>
        <w:numPr>
          <w:ilvl w:val="0"/>
          <w:numId w:val="1"/>
        </w:numPr>
        <w:jc w:val="both"/>
        <w:rPr>
          <w:sz w:val="16"/>
          <w:szCs w:val="16"/>
        </w:rPr>
      </w:pPr>
      <w:proofErr w:type="spellStart"/>
      <w:r>
        <w:rPr>
          <w:sz w:val="16"/>
          <w:szCs w:val="16"/>
        </w:rPr>
        <w:t>Ropper</w:t>
      </w:r>
      <w:proofErr w:type="spellEnd"/>
      <w:r>
        <w:rPr>
          <w:sz w:val="16"/>
          <w:szCs w:val="16"/>
        </w:rPr>
        <w:t xml:space="preserve"> AH, Samuels MA, Klein JP; </w:t>
      </w:r>
      <w:r w:rsidR="00BC54AD">
        <w:rPr>
          <w:sz w:val="16"/>
          <w:szCs w:val="16"/>
        </w:rPr>
        <w:t>Adams and Victor’s Principles of Neurology, 10</w:t>
      </w:r>
      <w:r w:rsidR="00BC54AD" w:rsidRPr="00BC54AD">
        <w:rPr>
          <w:sz w:val="16"/>
          <w:szCs w:val="16"/>
          <w:vertAlign w:val="superscript"/>
        </w:rPr>
        <w:t>th</w:t>
      </w:r>
      <w:r w:rsidR="00BC54AD">
        <w:rPr>
          <w:sz w:val="16"/>
          <w:szCs w:val="16"/>
        </w:rPr>
        <w:t xml:space="preserve"> ed.; New York; </w:t>
      </w:r>
      <w:proofErr w:type="spellStart"/>
      <w:r w:rsidR="00BC54AD">
        <w:rPr>
          <w:sz w:val="16"/>
          <w:szCs w:val="16"/>
        </w:rPr>
        <w:t>Mc</w:t>
      </w:r>
      <w:proofErr w:type="spellEnd"/>
      <w:r w:rsidR="00BC54AD">
        <w:rPr>
          <w:sz w:val="16"/>
          <w:szCs w:val="16"/>
        </w:rPr>
        <w:t xml:space="preserve"> </w:t>
      </w:r>
      <w:proofErr w:type="spellStart"/>
      <w:r w:rsidR="00BC54AD">
        <w:rPr>
          <w:sz w:val="16"/>
          <w:szCs w:val="16"/>
        </w:rPr>
        <w:t>Graw</w:t>
      </w:r>
      <w:proofErr w:type="spellEnd"/>
      <w:r w:rsidR="00BC54AD">
        <w:rPr>
          <w:sz w:val="16"/>
          <w:szCs w:val="16"/>
        </w:rPr>
        <w:t xml:space="preserve">-Hill; 2014; 46; </w:t>
      </w:r>
      <w:r w:rsidR="00EF17BE">
        <w:rPr>
          <w:sz w:val="16"/>
          <w:szCs w:val="16"/>
        </w:rPr>
        <w:t>1322-30.</w:t>
      </w:r>
    </w:p>
    <w:p w:rsidR="00EF17BE" w:rsidRDefault="00EF17BE" w:rsidP="00BC54AD">
      <w:pPr>
        <w:pStyle w:val="ListParagraph"/>
        <w:numPr>
          <w:ilvl w:val="0"/>
          <w:numId w:val="1"/>
        </w:numPr>
        <w:jc w:val="both"/>
        <w:rPr>
          <w:sz w:val="16"/>
          <w:szCs w:val="16"/>
        </w:rPr>
      </w:pPr>
      <w:proofErr w:type="spellStart"/>
      <w:r>
        <w:rPr>
          <w:sz w:val="16"/>
          <w:szCs w:val="16"/>
        </w:rPr>
        <w:t>Sinha</w:t>
      </w:r>
      <w:proofErr w:type="spellEnd"/>
      <w:r>
        <w:rPr>
          <w:sz w:val="16"/>
          <w:szCs w:val="16"/>
        </w:rPr>
        <w:t xml:space="preserve"> S, Prasad KN, Jain D, </w:t>
      </w:r>
      <w:proofErr w:type="spellStart"/>
      <w:r>
        <w:rPr>
          <w:sz w:val="16"/>
          <w:szCs w:val="16"/>
        </w:rPr>
        <w:t>Pandey</w:t>
      </w:r>
      <w:proofErr w:type="spellEnd"/>
      <w:r>
        <w:rPr>
          <w:sz w:val="16"/>
          <w:szCs w:val="16"/>
        </w:rPr>
        <w:t xml:space="preserve"> CM, </w:t>
      </w:r>
      <w:proofErr w:type="spellStart"/>
      <w:r>
        <w:rPr>
          <w:sz w:val="16"/>
          <w:szCs w:val="16"/>
        </w:rPr>
        <w:t>Jha</w:t>
      </w:r>
      <w:proofErr w:type="spellEnd"/>
      <w:r>
        <w:rPr>
          <w:sz w:val="16"/>
          <w:szCs w:val="16"/>
        </w:rPr>
        <w:t xml:space="preserve"> S, </w:t>
      </w:r>
      <w:proofErr w:type="spellStart"/>
      <w:r>
        <w:rPr>
          <w:sz w:val="16"/>
          <w:szCs w:val="16"/>
        </w:rPr>
        <w:t>Pradhan</w:t>
      </w:r>
      <w:proofErr w:type="spellEnd"/>
      <w:r>
        <w:rPr>
          <w:sz w:val="16"/>
          <w:szCs w:val="16"/>
        </w:rPr>
        <w:t xml:space="preserve"> S; Preceding infections and </w:t>
      </w:r>
      <w:proofErr w:type="spellStart"/>
      <w:r>
        <w:rPr>
          <w:sz w:val="16"/>
          <w:szCs w:val="16"/>
        </w:rPr>
        <w:t>gangliosides</w:t>
      </w:r>
      <w:proofErr w:type="spellEnd"/>
      <w:r>
        <w:rPr>
          <w:sz w:val="16"/>
          <w:szCs w:val="16"/>
        </w:rPr>
        <w:t xml:space="preserve"> antibodies in patients with </w:t>
      </w:r>
      <w:proofErr w:type="spellStart"/>
      <w:r>
        <w:rPr>
          <w:sz w:val="16"/>
          <w:szCs w:val="16"/>
        </w:rPr>
        <w:t>Guilla</w:t>
      </w:r>
      <w:r w:rsidR="00F24425">
        <w:rPr>
          <w:sz w:val="16"/>
          <w:szCs w:val="16"/>
        </w:rPr>
        <w:t>i</w:t>
      </w:r>
      <w:r w:rsidR="00023E40">
        <w:rPr>
          <w:sz w:val="16"/>
          <w:szCs w:val="16"/>
        </w:rPr>
        <w:t>n-</w:t>
      </w:r>
      <w:r>
        <w:rPr>
          <w:sz w:val="16"/>
          <w:szCs w:val="16"/>
        </w:rPr>
        <w:t>Barré</w:t>
      </w:r>
      <w:proofErr w:type="spellEnd"/>
      <w:r>
        <w:rPr>
          <w:sz w:val="16"/>
          <w:szCs w:val="16"/>
        </w:rPr>
        <w:t xml:space="preserve"> syndrome : A single </w:t>
      </w:r>
      <w:proofErr w:type="spellStart"/>
      <w:r>
        <w:rPr>
          <w:sz w:val="16"/>
          <w:szCs w:val="16"/>
        </w:rPr>
        <w:t>center</w:t>
      </w:r>
      <w:proofErr w:type="spellEnd"/>
      <w:r>
        <w:rPr>
          <w:sz w:val="16"/>
          <w:szCs w:val="16"/>
        </w:rPr>
        <w:t xml:space="preserve"> prospective case-control study ; </w:t>
      </w:r>
      <w:proofErr w:type="spellStart"/>
      <w:r>
        <w:rPr>
          <w:sz w:val="16"/>
          <w:szCs w:val="16"/>
        </w:rPr>
        <w:t>Clin</w:t>
      </w:r>
      <w:proofErr w:type="spellEnd"/>
      <w:r>
        <w:rPr>
          <w:sz w:val="16"/>
          <w:szCs w:val="16"/>
        </w:rPr>
        <w:t>. Microbial Infect.</w:t>
      </w:r>
      <w:proofErr w:type="gramStart"/>
      <w:r>
        <w:rPr>
          <w:sz w:val="16"/>
          <w:szCs w:val="16"/>
        </w:rPr>
        <w:t>;2007</w:t>
      </w:r>
      <w:proofErr w:type="gramEnd"/>
      <w:r>
        <w:rPr>
          <w:sz w:val="16"/>
          <w:szCs w:val="16"/>
        </w:rPr>
        <w:t xml:space="preserve"> ; 13 : 334-7.</w:t>
      </w:r>
    </w:p>
    <w:p w:rsidR="00EF17BE" w:rsidRDefault="00EF17BE" w:rsidP="00BC54AD">
      <w:pPr>
        <w:pStyle w:val="ListParagraph"/>
        <w:numPr>
          <w:ilvl w:val="0"/>
          <w:numId w:val="1"/>
        </w:numPr>
        <w:jc w:val="both"/>
        <w:rPr>
          <w:sz w:val="16"/>
          <w:szCs w:val="16"/>
        </w:rPr>
      </w:pPr>
      <w:proofErr w:type="spellStart"/>
      <w:r>
        <w:rPr>
          <w:sz w:val="16"/>
          <w:szCs w:val="16"/>
        </w:rPr>
        <w:t>Akbayram</w:t>
      </w:r>
      <w:proofErr w:type="spellEnd"/>
      <w:r>
        <w:rPr>
          <w:sz w:val="16"/>
          <w:szCs w:val="16"/>
        </w:rPr>
        <w:t xml:space="preserve"> S, </w:t>
      </w:r>
      <w:proofErr w:type="spellStart"/>
      <w:r>
        <w:rPr>
          <w:sz w:val="16"/>
          <w:szCs w:val="16"/>
        </w:rPr>
        <w:t>Dogan</w:t>
      </w:r>
      <w:proofErr w:type="spellEnd"/>
      <w:r>
        <w:rPr>
          <w:sz w:val="16"/>
          <w:szCs w:val="16"/>
        </w:rPr>
        <w:t xml:space="preserve"> M, </w:t>
      </w:r>
      <w:proofErr w:type="spellStart"/>
      <w:r w:rsidR="005F6770">
        <w:rPr>
          <w:sz w:val="16"/>
          <w:szCs w:val="16"/>
        </w:rPr>
        <w:t>Akgün</w:t>
      </w:r>
      <w:proofErr w:type="spellEnd"/>
      <w:r w:rsidR="005F6770">
        <w:rPr>
          <w:sz w:val="16"/>
          <w:szCs w:val="16"/>
        </w:rPr>
        <w:t xml:space="preserve"> C, </w:t>
      </w:r>
      <w:proofErr w:type="spellStart"/>
      <w:r w:rsidR="005F6770">
        <w:rPr>
          <w:sz w:val="16"/>
          <w:szCs w:val="16"/>
        </w:rPr>
        <w:t>Peker</w:t>
      </w:r>
      <w:proofErr w:type="spellEnd"/>
      <w:r w:rsidR="005F6770">
        <w:rPr>
          <w:sz w:val="16"/>
          <w:szCs w:val="16"/>
        </w:rPr>
        <w:t xml:space="preserve"> E, </w:t>
      </w:r>
      <w:proofErr w:type="spellStart"/>
      <w:r w:rsidR="005F6770">
        <w:rPr>
          <w:sz w:val="16"/>
          <w:szCs w:val="16"/>
        </w:rPr>
        <w:t>Sayin</w:t>
      </w:r>
      <w:proofErr w:type="spellEnd"/>
      <w:r w:rsidR="005F6770">
        <w:rPr>
          <w:sz w:val="16"/>
          <w:szCs w:val="16"/>
        </w:rPr>
        <w:t xml:space="preserve"> R and </w:t>
      </w:r>
      <w:proofErr w:type="spellStart"/>
      <w:r w:rsidR="005F6770">
        <w:rPr>
          <w:sz w:val="16"/>
          <w:szCs w:val="16"/>
        </w:rPr>
        <w:t>Aktar</w:t>
      </w:r>
      <w:proofErr w:type="spellEnd"/>
      <w:r w:rsidR="005F6770">
        <w:rPr>
          <w:sz w:val="16"/>
          <w:szCs w:val="16"/>
        </w:rPr>
        <w:t xml:space="preserve"> F; Clinical features and prognosis of </w:t>
      </w:r>
      <w:proofErr w:type="spellStart"/>
      <w:r w:rsidR="005F6770">
        <w:rPr>
          <w:sz w:val="16"/>
          <w:szCs w:val="16"/>
        </w:rPr>
        <w:t>Guilla</w:t>
      </w:r>
      <w:r w:rsidR="00F24425">
        <w:rPr>
          <w:sz w:val="16"/>
          <w:szCs w:val="16"/>
        </w:rPr>
        <w:t>i</w:t>
      </w:r>
      <w:r w:rsidR="00023E40">
        <w:rPr>
          <w:sz w:val="16"/>
          <w:szCs w:val="16"/>
        </w:rPr>
        <w:t>n-</w:t>
      </w:r>
      <w:r w:rsidR="005F6770">
        <w:rPr>
          <w:sz w:val="16"/>
          <w:szCs w:val="16"/>
        </w:rPr>
        <w:t>Barré</w:t>
      </w:r>
      <w:proofErr w:type="spellEnd"/>
      <w:r w:rsidR="005F6770">
        <w:rPr>
          <w:sz w:val="16"/>
          <w:szCs w:val="16"/>
        </w:rPr>
        <w:t xml:space="preserve"> syndrome ; Annals of Ind. Academy of Neurology, Vol. 14 No.2; 2011 ; 98-102.</w:t>
      </w:r>
    </w:p>
    <w:p w:rsidR="005F6770" w:rsidRDefault="005F6770" w:rsidP="00BC54AD">
      <w:pPr>
        <w:pStyle w:val="ListParagraph"/>
        <w:numPr>
          <w:ilvl w:val="0"/>
          <w:numId w:val="1"/>
        </w:numPr>
        <w:jc w:val="both"/>
        <w:rPr>
          <w:sz w:val="16"/>
          <w:szCs w:val="16"/>
        </w:rPr>
      </w:pPr>
      <w:r>
        <w:rPr>
          <w:sz w:val="16"/>
          <w:szCs w:val="16"/>
        </w:rPr>
        <w:t xml:space="preserve">Sharma G, </w:t>
      </w:r>
      <w:proofErr w:type="spellStart"/>
      <w:r>
        <w:rPr>
          <w:sz w:val="16"/>
          <w:szCs w:val="16"/>
        </w:rPr>
        <w:t>Sood</w:t>
      </w:r>
      <w:proofErr w:type="spellEnd"/>
      <w:r>
        <w:rPr>
          <w:sz w:val="16"/>
          <w:szCs w:val="16"/>
        </w:rPr>
        <w:t xml:space="preserve"> S, Sharma S ; Seasonal, age and gender variation of </w:t>
      </w:r>
      <w:proofErr w:type="spellStart"/>
      <w:r>
        <w:rPr>
          <w:sz w:val="16"/>
          <w:szCs w:val="16"/>
        </w:rPr>
        <w:t>Guilla</w:t>
      </w:r>
      <w:r w:rsidR="00F24425">
        <w:rPr>
          <w:sz w:val="16"/>
          <w:szCs w:val="16"/>
        </w:rPr>
        <w:t>i</w:t>
      </w:r>
      <w:r w:rsidR="00023E40">
        <w:rPr>
          <w:sz w:val="16"/>
          <w:szCs w:val="16"/>
        </w:rPr>
        <w:t>n-</w:t>
      </w:r>
      <w:r>
        <w:rPr>
          <w:sz w:val="16"/>
          <w:szCs w:val="16"/>
        </w:rPr>
        <w:t>Barré</w:t>
      </w:r>
      <w:proofErr w:type="spellEnd"/>
      <w:r>
        <w:rPr>
          <w:sz w:val="16"/>
          <w:szCs w:val="16"/>
        </w:rPr>
        <w:t xml:space="preserve"> syndrome in a tertiary Referral </w:t>
      </w:r>
      <w:proofErr w:type="spellStart"/>
      <w:r>
        <w:rPr>
          <w:sz w:val="16"/>
          <w:szCs w:val="16"/>
        </w:rPr>
        <w:t>center</w:t>
      </w:r>
      <w:proofErr w:type="spellEnd"/>
      <w:r>
        <w:rPr>
          <w:sz w:val="16"/>
          <w:szCs w:val="16"/>
        </w:rPr>
        <w:t xml:space="preserve"> in India ; Neuroscience &amp; Medicine; 2013; 4 ; 23-28.</w:t>
      </w:r>
    </w:p>
    <w:p w:rsidR="005F6770" w:rsidRDefault="003B5787" w:rsidP="00BC54AD">
      <w:pPr>
        <w:pStyle w:val="ListParagraph"/>
        <w:numPr>
          <w:ilvl w:val="0"/>
          <w:numId w:val="1"/>
        </w:numPr>
        <w:jc w:val="both"/>
        <w:rPr>
          <w:sz w:val="16"/>
          <w:szCs w:val="16"/>
        </w:rPr>
      </w:pPr>
      <w:r>
        <w:rPr>
          <w:sz w:val="16"/>
          <w:szCs w:val="16"/>
        </w:rPr>
        <w:t>Inés González-</w:t>
      </w:r>
      <w:proofErr w:type="spellStart"/>
      <w:r>
        <w:rPr>
          <w:sz w:val="16"/>
          <w:szCs w:val="16"/>
        </w:rPr>
        <w:t>Suárez</w:t>
      </w:r>
      <w:proofErr w:type="spellEnd"/>
      <w:r>
        <w:rPr>
          <w:sz w:val="16"/>
          <w:szCs w:val="16"/>
        </w:rPr>
        <w:t xml:space="preserve">, Irene </w:t>
      </w:r>
      <w:proofErr w:type="spellStart"/>
      <w:r>
        <w:rPr>
          <w:sz w:val="16"/>
          <w:szCs w:val="16"/>
        </w:rPr>
        <w:t>Sanz</w:t>
      </w:r>
      <w:proofErr w:type="spellEnd"/>
      <w:r>
        <w:rPr>
          <w:sz w:val="16"/>
          <w:szCs w:val="16"/>
        </w:rPr>
        <w:t xml:space="preserve"> </w:t>
      </w:r>
      <w:proofErr w:type="spellStart"/>
      <w:r>
        <w:rPr>
          <w:sz w:val="16"/>
          <w:szCs w:val="16"/>
        </w:rPr>
        <w:t>Gallego</w:t>
      </w:r>
      <w:proofErr w:type="spellEnd"/>
      <w:r>
        <w:rPr>
          <w:sz w:val="16"/>
          <w:szCs w:val="16"/>
        </w:rPr>
        <w:t xml:space="preserve">, </w:t>
      </w:r>
      <w:proofErr w:type="spellStart"/>
      <w:r>
        <w:rPr>
          <w:sz w:val="16"/>
          <w:szCs w:val="16"/>
        </w:rPr>
        <w:t>F.J.R.di</w:t>
      </w:r>
      <w:proofErr w:type="spellEnd"/>
      <w:r>
        <w:rPr>
          <w:sz w:val="16"/>
          <w:szCs w:val="16"/>
        </w:rPr>
        <w:t xml:space="preserve"> Rivera, Javier </w:t>
      </w:r>
      <w:proofErr w:type="spellStart"/>
      <w:proofErr w:type="gramStart"/>
      <w:r>
        <w:rPr>
          <w:sz w:val="16"/>
          <w:szCs w:val="16"/>
        </w:rPr>
        <w:t>Arpa</w:t>
      </w:r>
      <w:proofErr w:type="spellEnd"/>
      <w:r>
        <w:rPr>
          <w:sz w:val="16"/>
          <w:szCs w:val="16"/>
        </w:rPr>
        <w:t xml:space="preserve"> ;</w:t>
      </w:r>
      <w:proofErr w:type="gramEnd"/>
      <w:r>
        <w:rPr>
          <w:sz w:val="16"/>
          <w:szCs w:val="16"/>
        </w:rPr>
        <w:t xml:space="preserve"> </w:t>
      </w:r>
      <w:proofErr w:type="spellStart"/>
      <w:r>
        <w:rPr>
          <w:sz w:val="16"/>
          <w:szCs w:val="16"/>
        </w:rPr>
        <w:t>Guilla</w:t>
      </w:r>
      <w:r w:rsidR="00F24425">
        <w:rPr>
          <w:sz w:val="16"/>
          <w:szCs w:val="16"/>
        </w:rPr>
        <w:t>i</w:t>
      </w:r>
      <w:r w:rsidR="00023E40">
        <w:rPr>
          <w:sz w:val="16"/>
          <w:szCs w:val="16"/>
        </w:rPr>
        <w:t>n-</w:t>
      </w:r>
      <w:r>
        <w:rPr>
          <w:sz w:val="16"/>
          <w:szCs w:val="16"/>
        </w:rPr>
        <w:t>Barré</w:t>
      </w:r>
      <w:proofErr w:type="spellEnd"/>
      <w:r>
        <w:rPr>
          <w:sz w:val="16"/>
          <w:szCs w:val="16"/>
        </w:rPr>
        <w:t xml:space="preserve"> syndrome : Natural History and prognostic factors : a retrospective review of 106 cases ; BMC Neurology ; Jul, 2013 ; 13: 95.</w:t>
      </w:r>
    </w:p>
    <w:p w:rsidR="003B5787" w:rsidRDefault="003B5787" w:rsidP="00BC54AD">
      <w:pPr>
        <w:pStyle w:val="ListParagraph"/>
        <w:numPr>
          <w:ilvl w:val="0"/>
          <w:numId w:val="1"/>
        </w:numPr>
        <w:jc w:val="both"/>
        <w:rPr>
          <w:sz w:val="16"/>
          <w:szCs w:val="16"/>
        </w:rPr>
      </w:pPr>
      <w:proofErr w:type="spellStart"/>
      <w:r>
        <w:rPr>
          <w:sz w:val="16"/>
          <w:szCs w:val="16"/>
        </w:rPr>
        <w:t>Chio</w:t>
      </w:r>
      <w:proofErr w:type="spellEnd"/>
      <w:r>
        <w:rPr>
          <w:sz w:val="16"/>
          <w:szCs w:val="16"/>
        </w:rPr>
        <w:t xml:space="preserve"> A, </w:t>
      </w:r>
      <w:proofErr w:type="spellStart"/>
      <w:r>
        <w:rPr>
          <w:sz w:val="16"/>
          <w:szCs w:val="16"/>
        </w:rPr>
        <w:t>Cocito</w:t>
      </w:r>
      <w:proofErr w:type="spellEnd"/>
      <w:r>
        <w:rPr>
          <w:sz w:val="16"/>
          <w:szCs w:val="16"/>
        </w:rPr>
        <w:t xml:space="preserve"> D, Leone M, </w:t>
      </w:r>
      <w:proofErr w:type="spellStart"/>
      <w:r>
        <w:rPr>
          <w:sz w:val="16"/>
          <w:szCs w:val="16"/>
        </w:rPr>
        <w:t>Giordana</w:t>
      </w:r>
      <w:proofErr w:type="spellEnd"/>
      <w:r>
        <w:rPr>
          <w:sz w:val="16"/>
          <w:szCs w:val="16"/>
        </w:rPr>
        <w:t xml:space="preserve"> MT, Mora G, </w:t>
      </w:r>
      <w:proofErr w:type="spellStart"/>
      <w:r>
        <w:rPr>
          <w:sz w:val="16"/>
          <w:szCs w:val="16"/>
        </w:rPr>
        <w:t>Mutani</w:t>
      </w:r>
      <w:proofErr w:type="spellEnd"/>
      <w:r>
        <w:rPr>
          <w:sz w:val="16"/>
          <w:szCs w:val="16"/>
        </w:rPr>
        <w:t xml:space="preserve"> R ;</w:t>
      </w:r>
      <w:r w:rsidR="00023E40">
        <w:rPr>
          <w:sz w:val="16"/>
          <w:szCs w:val="16"/>
        </w:rPr>
        <w:t xml:space="preserve"> </w:t>
      </w:r>
      <w:proofErr w:type="spellStart"/>
      <w:r w:rsidR="00023E40">
        <w:rPr>
          <w:sz w:val="16"/>
          <w:szCs w:val="16"/>
        </w:rPr>
        <w:t>Guillain-</w:t>
      </w:r>
      <w:r w:rsidR="00F24425">
        <w:rPr>
          <w:sz w:val="16"/>
          <w:szCs w:val="16"/>
        </w:rPr>
        <w:t>Barré</w:t>
      </w:r>
      <w:proofErr w:type="spellEnd"/>
      <w:r w:rsidR="00F24425">
        <w:rPr>
          <w:sz w:val="16"/>
          <w:szCs w:val="16"/>
        </w:rPr>
        <w:t xml:space="preserve"> syndrome : a prospective, population-based incidence and outcome survey ; Neurology ; Apr.2003 ; 60 (7) ; 1146-50.</w:t>
      </w:r>
    </w:p>
    <w:p w:rsidR="000D1CDB" w:rsidRDefault="000D1CDB" w:rsidP="00BC54AD">
      <w:pPr>
        <w:pStyle w:val="ListParagraph"/>
        <w:numPr>
          <w:ilvl w:val="0"/>
          <w:numId w:val="1"/>
        </w:numPr>
        <w:jc w:val="both"/>
        <w:rPr>
          <w:sz w:val="16"/>
          <w:szCs w:val="16"/>
        </w:rPr>
      </w:pPr>
      <w:proofErr w:type="spellStart"/>
      <w:r>
        <w:rPr>
          <w:sz w:val="16"/>
          <w:szCs w:val="16"/>
        </w:rPr>
        <w:t>Kalita</w:t>
      </w:r>
      <w:proofErr w:type="spellEnd"/>
      <w:r>
        <w:rPr>
          <w:sz w:val="16"/>
          <w:szCs w:val="16"/>
        </w:rPr>
        <w:t xml:space="preserve"> J, </w:t>
      </w:r>
      <w:proofErr w:type="spellStart"/>
      <w:r>
        <w:rPr>
          <w:sz w:val="16"/>
          <w:szCs w:val="16"/>
        </w:rPr>
        <w:t>Mis</w:t>
      </w:r>
      <w:r w:rsidR="00023E40">
        <w:rPr>
          <w:sz w:val="16"/>
          <w:szCs w:val="16"/>
        </w:rPr>
        <w:t>ra</w:t>
      </w:r>
      <w:proofErr w:type="spellEnd"/>
      <w:r w:rsidR="00023E40">
        <w:rPr>
          <w:sz w:val="16"/>
          <w:szCs w:val="16"/>
        </w:rPr>
        <w:t xml:space="preserve"> UK, </w:t>
      </w:r>
      <w:proofErr w:type="spellStart"/>
      <w:r w:rsidR="00023E40">
        <w:rPr>
          <w:sz w:val="16"/>
          <w:szCs w:val="16"/>
        </w:rPr>
        <w:t>Goyal</w:t>
      </w:r>
      <w:proofErr w:type="spellEnd"/>
      <w:r w:rsidR="00023E40">
        <w:rPr>
          <w:sz w:val="16"/>
          <w:szCs w:val="16"/>
        </w:rPr>
        <w:t xml:space="preserve"> </w:t>
      </w:r>
      <w:proofErr w:type="spellStart"/>
      <w:r w:rsidR="00023E40">
        <w:rPr>
          <w:sz w:val="16"/>
          <w:szCs w:val="16"/>
        </w:rPr>
        <w:t>G</w:t>
      </w:r>
      <w:proofErr w:type="gramStart"/>
      <w:r w:rsidR="00023E40">
        <w:rPr>
          <w:sz w:val="16"/>
          <w:szCs w:val="16"/>
        </w:rPr>
        <w:t>,Das</w:t>
      </w:r>
      <w:proofErr w:type="spellEnd"/>
      <w:proofErr w:type="gramEnd"/>
      <w:r w:rsidR="00023E40">
        <w:rPr>
          <w:sz w:val="16"/>
          <w:szCs w:val="16"/>
        </w:rPr>
        <w:t xml:space="preserve"> M ; </w:t>
      </w:r>
      <w:proofErr w:type="spellStart"/>
      <w:r w:rsidR="00023E40">
        <w:rPr>
          <w:sz w:val="16"/>
          <w:szCs w:val="16"/>
        </w:rPr>
        <w:t>Guillain-</w:t>
      </w:r>
      <w:r>
        <w:rPr>
          <w:sz w:val="16"/>
          <w:szCs w:val="16"/>
        </w:rPr>
        <w:t>Barré</w:t>
      </w:r>
      <w:proofErr w:type="spellEnd"/>
      <w:r>
        <w:rPr>
          <w:sz w:val="16"/>
          <w:szCs w:val="16"/>
        </w:rPr>
        <w:t xml:space="preserve"> syndrome : subtypes and predictors of outcome from India ; J. </w:t>
      </w:r>
      <w:proofErr w:type="spellStart"/>
      <w:r>
        <w:rPr>
          <w:sz w:val="16"/>
          <w:szCs w:val="16"/>
        </w:rPr>
        <w:t>Peripher</w:t>
      </w:r>
      <w:proofErr w:type="spellEnd"/>
      <w:r>
        <w:rPr>
          <w:sz w:val="16"/>
          <w:szCs w:val="16"/>
        </w:rPr>
        <w:t xml:space="preserve">. </w:t>
      </w:r>
      <w:proofErr w:type="spellStart"/>
      <w:r>
        <w:rPr>
          <w:sz w:val="16"/>
          <w:szCs w:val="16"/>
        </w:rPr>
        <w:t>Nerv</w:t>
      </w:r>
      <w:proofErr w:type="spellEnd"/>
      <w:r>
        <w:rPr>
          <w:sz w:val="16"/>
          <w:szCs w:val="16"/>
        </w:rPr>
        <w:t xml:space="preserve">. Syst.; Mar </w:t>
      </w:r>
      <w:proofErr w:type="gramStart"/>
      <w:r>
        <w:rPr>
          <w:sz w:val="16"/>
          <w:szCs w:val="16"/>
        </w:rPr>
        <w:t>2014 ;</w:t>
      </w:r>
      <w:proofErr w:type="gramEnd"/>
      <w:r>
        <w:rPr>
          <w:sz w:val="16"/>
          <w:szCs w:val="16"/>
        </w:rPr>
        <w:t xml:space="preserve"> 19(1) ; 36-43.</w:t>
      </w:r>
    </w:p>
    <w:p w:rsidR="000D1CDB" w:rsidRDefault="000D1CDB" w:rsidP="00BC54AD">
      <w:pPr>
        <w:pStyle w:val="ListParagraph"/>
        <w:numPr>
          <w:ilvl w:val="0"/>
          <w:numId w:val="1"/>
        </w:numPr>
        <w:jc w:val="both"/>
        <w:rPr>
          <w:sz w:val="16"/>
          <w:szCs w:val="16"/>
        </w:rPr>
      </w:pPr>
      <w:r>
        <w:rPr>
          <w:sz w:val="16"/>
          <w:szCs w:val="16"/>
        </w:rPr>
        <w:t xml:space="preserve">Van </w:t>
      </w:r>
      <w:proofErr w:type="spellStart"/>
      <w:r>
        <w:rPr>
          <w:sz w:val="16"/>
          <w:szCs w:val="16"/>
        </w:rPr>
        <w:t>Koningsveld</w:t>
      </w:r>
      <w:proofErr w:type="spellEnd"/>
      <w:r>
        <w:rPr>
          <w:sz w:val="16"/>
          <w:szCs w:val="16"/>
        </w:rPr>
        <w:t xml:space="preserve"> R, </w:t>
      </w:r>
      <w:proofErr w:type="spellStart"/>
      <w:r>
        <w:rPr>
          <w:sz w:val="16"/>
          <w:szCs w:val="16"/>
        </w:rPr>
        <w:t>Steyerberg</w:t>
      </w:r>
      <w:proofErr w:type="spellEnd"/>
      <w:r>
        <w:rPr>
          <w:sz w:val="16"/>
          <w:szCs w:val="16"/>
        </w:rPr>
        <w:t xml:space="preserve"> EW, Hughes RA, Swan AV, Van </w:t>
      </w:r>
      <w:proofErr w:type="spellStart"/>
      <w:r>
        <w:rPr>
          <w:sz w:val="16"/>
          <w:szCs w:val="16"/>
        </w:rPr>
        <w:t>Doorn</w:t>
      </w:r>
      <w:proofErr w:type="spellEnd"/>
      <w:r>
        <w:rPr>
          <w:sz w:val="16"/>
          <w:szCs w:val="16"/>
        </w:rPr>
        <w:t xml:space="preserve"> PA, Jacobs BC ; A clinical prognostic scoring system for </w:t>
      </w:r>
      <w:proofErr w:type="spellStart"/>
      <w:r>
        <w:rPr>
          <w:sz w:val="16"/>
          <w:szCs w:val="16"/>
        </w:rPr>
        <w:t>Guillain</w:t>
      </w:r>
      <w:r w:rsidR="00023E40">
        <w:rPr>
          <w:sz w:val="16"/>
          <w:szCs w:val="16"/>
        </w:rPr>
        <w:t>-</w:t>
      </w:r>
      <w:r>
        <w:rPr>
          <w:sz w:val="16"/>
          <w:szCs w:val="16"/>
        </w:rPr>
        <w:t>Barré</w:t>
      </w:r>
      <w:proofErr w:type="spellEnd"/>
      <w:r>
        <w:rPr>
          <w:sz w:val="16"/>
          <w:szCs w:val="16"/>
        </w:rPr>
        <w:t xml:space="preserve"> syndrome</w:t>
      </w:r>
      <w:r w:rsidR="00023E40">
        <w:rPr>
          <w:sz w:val="16"/>
          <w:szCs w:val="16"/>
        </w:rPr>
        <w:t xml:space="preserve"> ; Lancet Neurol. ; 2007 ; 6 : 589-594.</w:t>
      </w:r>
    </w:p>
    <w:p w:rsidR="00023E40" w:rsidRDefault="00023E40" w:rsidP="00BC54AD">
      <w:pPr>
        <w:pStyle w:val="ListParagraph"/>
        <w:numPr>
          <w:ilvl w:val="0"/>
          <w:numId w:val="1"/>
        </w:numPr>
        <w:jc w:val="both"/>
        <w:rPr>
          <w:sz w:val="16"/>
          <w:szCs w:val="16"/>
        </w:rPr>
      </w:pPr>
      <w:proofErr w:type="spellStart"/>
      <w:r>
        <w:rPr>
          <w:sz w:val="16"/>
          <w:szCs w:val="16"/>
        </w:rPr>
        <w:t>Verma</w:t>
      </w:r>
      <w:proofErr w:type="spellEnd"/>
      <w:r>
        <w:rPr>
          <w:sz w:val="16"/>
          <w:szCs w:val="16"/>
        </w:rPr>
        <w:t xml:space="preserve"> R, </w:t>
      </w:r>
      <w:proofErr w:type="spellStart"/>
      <w:r>
        <w:rPr>
          <w:sz w:val="16"/>
          <w:szCs w:val="16"/>
        </w:rPr>
        <w:t>Chaudhuri</w:t>
      </w:r>
      <w:proofErr w:type="spellEnd"/>
      <w:r>
        <w:rPr>
          <w:sz w:val="16"/>
          <w:szCs w:val="16"/>
        </w:rPr>
        <w:t xml:space="preserve"> TS, </w:t>
      </w:r>
      <w:proofErr w:type="spellStart"/>
      <w:r>
        <w:rPr>
          <w:sz w:val="16"/>
          <w:szCs w:val="16"/>
        </w:rPr>
        <w:t>Raut</w:t>
      </w:r>
      <w:proofErr w:type="spellEnd"/>
      <w:r>
        <w:rPr>
          <w:sz w:val="16"/>
          <w:szCs w:val="16"/>
        </w:rPr>
        <w:t xml:space="preserve"> TP, </w:t>
      </w:r>
      <w:proofErr w:type="spellStart"/>
      <w:r>
        <w:rPr>
          <w:sz w:val="16"/>
          <w:szCs w:val="16"/>
        </w:rPr>
        <w:t>Garg</w:t>
      </w:r>
      <w:proofErr w:type="spellEnd"/>
      <w:r>
        <w:rPr>
          <w:sz w:val="16"/>
          <w:szCs w:val="16"/>
        </w:rPr>
        <w:t xml:space="preserve"> RK ; </w:t>
      </w:r>
      <w:proofErr w:type="spellStart"/>
      <w:r>
        <w:rPr>
          <w:sz w:val="16"/>
          <w:szCs w:val="16"/>
        </w:rPr>
        <w:t>Clinico</w:t>
      </w:r>
      <w:proofErr w:type="spellEnd"/>
      <w:r>
        <w:rPr>
          <w:sz w:val="16"/>
          <w:szCs w:val="16"/>
        </w:rPr>
        <w:t xml:space="preserve">-electrophysiological profile and predictors of functional outcome in </w:t>
      </w:r>
      <w:proofErr w:type="spellStart"/>
      <w:r>
        <w:rPr>
          <w:sz w:val="16"/>
          <w:szCs w:val="16"/>
        </w:rPr>
        <w:t>Guillain</w:t>
      </w:r>
      <w:proofErr w:type="spellEnd"/>
      <w:r>
        <w:rPr>
          <w:sz w:val="16"/>
          <w:szCs w:val="16"/>
        </w:rPr>
        <w:t xml:space="preserve">- </w:t>
      </w:r>
      <w:proofErr w:type="spellStart"/>
      <w:r>
        <w:rPr>
          <w:sz w:val="16"/>
          <w:szCs w:val="16"/>
        </w:rPr>
        <w:t>Barré</w:t>
      </w:r>
      <w:proofErr w:type="spellEnd"/>
      <w:r>
        <w:rPr>
          <w:sz w:val="16"/>
          <w:szCs w:val="16"/>
        </w:rPr>
        <w:t xml:space="preserve"> syndrome</w:t>
      </w:r>
    </w:p>
    <w:p w:rsidR="00023E40" w:rsidRDefault="00023E40" w:rsidP="00BC54AD">
      <w:pPr>
        <w:pStyle w:val="ListParagraph"/>
        <w:numPr>
          <w:ilvl w:val="0"/>
          <w:numId w:val="1"/>
        </w:numPr>
        <w:jc w:val="both"/>
        <w:rPr>
          <w:sz w:val="16"/>
          <w:szCs w:val="16"/>
        </w:rPr>
      </w:pPr>
      <w:r>
        <w:rPr>
          <w:sz w:val="16"/>
          <w:szCs w:val="16"/>
        </w:rPr>
        <w:t>Plasma Exchange/</w:t>
      </w:r>
      <w:proofErr w:type="spellStart"/>
      <w:r>
        <w:rPr>
          <w:sz w:val="16"/>
          <w:szCs w:val="16"/>
        </w:rPr>
        <w:t>Sandoglobulin</w:t>
      </w:r>
      <w:proofErr w:type="spellEnd"/>
      <w:r>
        <w:rPr>
          <w:sz w:val="16"/>
          <w:szCs w:val="16"/>
        </w:rPr>
        <w:t xml:space="preserve"> </w:t>
      </w:r>
      <w:proofErr w:type="spellStart"/>
      <w:r>
        <w:rPr>
          <w:sz w:val="16"/>
          <w:szCs w:val="16"/>
        </w:rPr>
        <w:t>Guillain-Barré</w:t>
      </w:r>
      <w:proofErr w:type="spellEnd"/>
      <w:r>
        <w:rPr>
          <w:sz w:val="16"/>
          <w:szCs w:val="16"/>
        </w:rPr>
        <w:t xml:space="preserve"> Syndrome Trial Group (no authors listed</w:t>
      </w:r>
      <w:proofErr w:type="gramStart"/>
      <w:r>
        <w:rPr>
          <w:sz w:val="16"/>
          <w:szCs w:val="16"/>
        </w:rPr>
        <w:t>) ;</w:t>
      </w:r>
      <w:proofErr w:type="gramEnd"/>
      <w:r>
        <w:rPr>
          <w:sz w:val="16"/>
          <w:szCs w:val="16"/>
        </w:rPr>
        <w:t xml:space="preserve"> Randomised trial of plasma exchange</w:t>
      </w:r>
      <w:r w:rsidR="009E0185">
        <w:rPr>
          <w:sz w:val="16"/>
          <w:szCs w:val="16"/>
        </w:rPr>
        <w:t xml:space="preserve">, intravenous immunoglobulin, and combined treatments in </w:t>
      </w:r>
      <w:proofErr w:type="spellStart"/>
      <w:r w:rsidR="009E0185">
        <w:rPr>
          <w:sz w:val="16"/>
          <w:szCs w:val="16"/>
        </w:rPr>
        <w:t>Guillain-Barré</w:t>
      </w:r>
      <w:proofErr w:type="spellEnd"/>
      <w:r w:rsidR="009E0185">
        <w:rPr>
          <w:sz w:val="16"/>
          <w:szCs w:val="16"/>
        </w:rPr>
        <w:t xml:space="preserve"> syndrome ; Lancet ; Jan 25, 1997 ; 349 (9047) :225-230.</w:t>
      </w:r>
    </w:p>
    <w:p w:rsidR="009E0185" w:rsidRDefault="00F8453B" w:rsidP="00BC54AD">
      <w:pPr>
        <w:pStyle w:val="ListParagraph"/>
        <w:numPr>
          <w:ilvl w:val="0"/>
          <w:numId w:val="1"/>
        </w:numPr>
        <w:jc w:val="both"/>
        <w:rPr>
          <w:sz w:val="16"/>
          <w:szCs w:val="16"/>
        </w:rPr>
      </w:pPr>
      <w:r>
        <w:rPr>
          <w:sz w:val="16"/>
          <w:szCs w:val="16"/>
        </w:rPr>
        <w:t xml:space="preserve">Asbury AK, </w:t>
      </w:r>
      <w:proofErr w:type="spellStart"/>
      <w:r>
        <w:rPr>
          <w:sz w:val="16"/>
          <w:szCs w:val="16"/>
        </w:rPr>
        <w:t>Cornblath</w:t>
      </w:r>
      <w:proofErr w:type="spellEnd"/>
      <w:r>
        <w:rPr>
          <w:sz w:val="16"/>
          <w:szCs w:val="16"/>
        </w:rPr>
        <w:t xml:space="preserve"> DR; Assessment of current diagnostic criteria for </w:t>
      </w:r>
      <w:proofErr w:type="spellStart"/>
      <w:r>
        <w:rPr>
          <w:sz w:val="16"/>
          <w:szCs w:val="16"/>
        </w:rPr>
        <w:t>Guillain-Barré</w:t>
      </w:r>
      <w:proofErr w:type="spellEnd"/>
      <w:r>
        <w:rPr>
          <w:sz w:val="16"/>
          <w:szCs w:val="16"/>
        </w:rPr>
        <w:t xml:space="preserve"> syndrome ; Ann. Neurol. ; 1990; 27 : 521-4</w:t>
      </w:r>
    </w:p>
    <w:p w:rsidR="00F8453B" w:rsidRDefault="00F8453B" w:rsidP="00BC54AD">
      <w:pPr>
        <w:pStyle w:val="ListParagraph"/>
        <w:numPr>
          <w:ilvl w:val="0"/>
          <w:numId w:val="1"/>
        </w:numPr>
        <w:jc w:val="both"/>
        <w:rPr>
          <w:sz w:val="16"/>
          <w:szCs w:val="16"/>
        </w:rPr>
      </w:pPr>
      <w:proofErr w:type="spellStart"/>
      <w:r>
        <w:rPr>
          <w:sz w:val="16"/>
          <w:szCs w:val="16"/>
        </w:rPr>
        <w:t>Kleyweg</w:t>
      </w:r>
      <w:proofErr w:type="spellEnd"/>
      <w:r>
        <w:rPr>
          <w:sz w:val="16"/>
          <w:szCs w:val="16"/>
        </w:rPr>
        <w:t xml:space="preserve"> RP, van der </w:t>
      </w:r>
      <w:proofErr w:type="spellStart"/>
      <w:r>
        <w:rPr>
          <w:sz w:val="16"/>
          <w:szCs w:val="16"/>
        </w:rPr>
        <w:t>Meché</w:t>
      </w:r>
      <w:proofErr w:type="spellEnd"/>
      <w:r>
        <w:rPr>
          <w:sz w:val="16"/>
          <w:szCs w:val="16"/>
        </w:rPr>
        <w:t xml:space="preserve"> FG, Schmitz PI ; Inter-observer agreement in the assessment of muscle strength</w:t>
      </w:r>
      <w:r w:rsidR="000738F5">
        <w:rPr>
          <w:sz w:val="16"/>
          <w:szCs w:val="16"/>
        </w:rPr>
        <w:t xml:space="preserve"> and functional abilities in </w:t>
      </w:r>
      <w:proofErr w:type="spellStart"/>
      <w:r w:rsidR="000738F5">
        <w:rPr>
          <w:sz w:val="16"/>
          <w:szCs w:val="16"/>
        </w:rPr>
        <w:t>Guillain-Barré</w:t>
      </w:r>
      <w:proofErr w:type="spellEnd"/>
      <w:r w:rsidR="000738F5">
        <w:rPr>
          <w:sz w:val="16"/>
          <w:szCs w:val="16"/>
        </w:rPr>
        <w:t xml:space="preserve"> syndrome ; Muscle Nerve ; Nov 1991 ; 14 (11) : 1103-09.</w:t>
      </w:r>
    </w:p>
    <w:p w:rsidR="000738F5" w:rsidRPr="00C37540" w:rsidRDefault="000738F5" w:rsidP="00BC54AD">
      <w:pPr>
        <w:pStyle w:val="ListParagraph"/>
        <w:numPr>
          <w:ilvl w:val="0"/>
          <w:numId w:val="1"/>
        </w:numPr>
        <w:jc w:val="both"/>
        <w:rPr>
          <w:sz w:val="16"/>
          <w:szCs w:val="16"/>
        </w:rPr>
      </w:pPr>
      <w:r>
        <w:rPr>
          <w:sz w:val="16"/>
          <w:szCs w:val="16"/>
        </w:rPr>
        <w:t>Hughes RA, Newsom-Davis JM, Perkin GD, Pierce JM ; Controlled trial prednisolone in acute polyneuropathy ; Lancet ; 1978 ; 2 : 750-53.</w:t>
      </w:r>
    </w:p>
    <w:sectPr w:rsidR="000738F5" w:rsidRPr="00C37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2FB"/>
    <w:multiLevelType w:val="hybridMultilevel"/>
    <w:tmpl w:val="56EE6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DF"/>
    <w:rsid w:val="00023E40"/>
    <w:rsid w:val="00035EDF"/>
    <w:rsid w:val="000738F5"/>
    <w:rsid w:val="00097C49"/>
    <w:rsid w:val="000D1CDB"/>
    <w:rsid w:val="00114ECD"/>
    <w:rsid w:val="00193138"/>
    <w:rsid w:val="001A62E5"/>
    <w:rsid w:val="001C1CEE"/>
    <w:rsid w:val="001D23AE"/>
    <w:rsid w:val="002042EB"/>
    <w:rsid w:val="00246017"/>
    <w:rsid w:val="00256EE8"/>
    <w:rsid w:val="002C1208"/>
    <w:rsid w:val="002C32EF"/>
    <w:rsid w:val="002F0716"/>
    <w:rsid w:val="003161DC"/>
    <w:rsid w:val="003165F8"/>
    <w:rsid w:val="003256BB"/>
    <w:rsid w:val="0034315E"/>
    <w:rsid w:val="003A7CD9"/>
    <w:rsid w:val="003B5787"/>
    <w:rsid w:val="00435DF1"/>
    <w:rsid w:val="00456D89"/>
    <w:rsid w:val="00497A6E"/>
    <w:rsid w:val="004A505C"/>
    <w:rsid w:val="004E720E"/>
    <w:rsid w:val="00592A47"/>
    <w:rsid w:val="005F6770"/>
    <w:rsid w:val="00666B92"/>
    <w:rsid w:val="00724EC8"/>
    <w:rsid w:val="00734D72"/>
    <w:rsid w:val="00786338"/>
    <w:rsid w:val="00794DE2"/>
    <w:rsid w:val="007D3982"/>
    <w:rsid w:val="007D5652"/>
    <w:rsid w:val="007F4289"/>
    <w:rsid w:val="008337B4"/>
    <w:rsid w:val="0087668E"/>
    <w:rsid w:val="00877E7D"/>
    <w:rsid w:val="00932EDF"/>
    <w:rsid w:val="00933EA0"/>
    <w:rsid w:val="00941887"/>
    <w:rsid w:val="00956473"/>
    <w:rsid w:val="009946C3"/>
    <w:rsid w:val="009A091A"/>
    <w:rsid w:val="009A67A5"/>
    <w:rsid w:val="009D3BDF"/>
    <w:rsid w:val="009E0185"/>
    <w:rsid w:val="009F3910"/>
    <w:rsid w:val="00A807D3"/>
    <w:rsid w:val="00A83BE3"/>
    <w:rsid w:val="00B03213"/>
    <w:rsid w:val="00B5623F"/>
    <w:rsid w:val="00B606D3"/>
    <w:rsid w:val="00B70526"/>
    <w:rsid w:val="00B772A6"/>
    <w:rsid w:val="00BC54AD"/>
    <w:rsid w:val="00C22583"/>
    <w:rsid w:val="00C2565E"/>
    <w:rsid w:val="00C30291"/>
    <w:rsid w:val="00C37540"/>
    <w:rsid w:val="00C74472"/>
    <w:rsid w:val="00CA0105"/>
    <w:rsid w:val="00CC2FE4"/>
    <w:rsid w:val="00D254F6"/>
    <w:rsid w:val="00D416F0"/>
    <w:rsid w:val="00D601F9"/>
    <w:rsid w:val="00E2747B"/>
    <w:rsid w:val="00E52182"/>
    <w:rsid w:val="00E8761F"/>
    <w:rsid w:val="00EC0718"/>
    <w:rsid w:val="00EC2968"/>
    <w:rsid w:val="00EC7DD3"/>
    <w:rsid w:val="00EF17BE"/>
    <w:rsid w:val="00F06128"/>
    <w:rsid w:val="00F24425"/>
    <w:rsid w:val="00F24EF2"/>
    <w:rsid w:val="00F67211"/>
    <w:rsid w:val="00F8453B"/>
    <w:rsid w:val="00F86F19"/>
    <w:rsid w:val="00FB16DB"/>
    <w:rsid w:val="00FD31D3"/>
    <w:rsid w:val="00FF59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473"/>
    <w:rPr>
      <w:color w:val="0000FF" w:themeColor="hyperlink"/>
      <w:u w:val="single"/>
    </w:rPr>
  </w:style>
  <w:style w:type="table" w:styleId="TableGrid">
    <w:name w:val="Table Grid"/>
    <w:basedOn w:val="TableNormal"/>
    <w:uiPriority w:val="59"/>
    <w:rsid w:val="00E27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21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473"/>
    <w:rPr>
      <w:color w:val="0000FF" w:themeColor="hyperlink"/>
      <w:u w:val="single"/>
    </w:rPr>
  </w:style>
  <w:style w:type="table" w:styleId="TableGrid">
    <w:name w:val="Table Grid"/>
    <w:basedOn w:val="TableNormal"/>
    <w:uiPriority w:val="59"/>
    <w:rsid w:val="00E27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2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ttadipen6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2016-06-03T18:57:00Z</dcterms:created>
  <dcterms:modified xsi:type="dcterms:W3CDTF">2016-06-07T17:19:00Z</dcterms:modified>
</cp:coreProperties>
</file>