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10" w14:textId="77777777" w:rsidR="0006055B" w:rsidRPr="00CC6848" w:rsidRDefault="0006055B" w:rsidP="00CC6848">
      <w:pPr>
        <w:spacing w:line="360" w:lineRule="auto"/>
        <w:jc w:val="center"/>
        <w:rPr>
          <w:rFonts w:ascii="Times New Roman" w:hAnsi="Times New Roman" w:cs="Times New Roman"/>
          <w:b/>
          <w:bCs/>
          <w:sz w:val="28"/>
          <w:szCs w:val="28"/>
        </w:rPr>
      </w:pPr>
      <w:r w:rsidRPr="00CC6848">
        <w:rPr>
          <w:rFonts w:ascii="Times New Roman" w:hAnsi="Times New Roman" w:cs="Times New Roman"/>
          <w:b/>
          <w:bCs/>
          <w:sz w:val="28"/>
          <w:szCs w:val="28"/>
        </w:rPr>
        <w:t>Title: A Retrospective analysis of Adverse Drug Reactions before the Covid-19 infection era (One-Year Study) in a Tertiary Care Teaching Hospital in North India</w:t>
      </w:r>
    </w:p>
    <w:p w14:paraId="0EDF36C8" w14:textId="77777777" w:rsidR="0006055B" w:rsidRPr="00CC6848" w:rsidRDefault="0006055B" w:rsidP="00CC6848">
      <w:pPr>
        <w:spacing w:line="360" w:lineRule="auto"/>
        <w:jc w:val="center"/>
        <w:rPr>
          <w:rFonts w:ascii="Times New Roman" w:hAnsi="Times New Roman" w:cs="Times New Roman"/>
          <w:b/>
          <w:bCs/>
          <w:sz w:val="28"/>
          <w:szCs w:val="28"/>
        </w:rPr>
      </w:pPr>
    </w:p>
    <w:p w14:paraId="24455393" w14:textId="77777777" w:rsidR="0006055B" w:rsidRPr="00CC6848" w:rsidRDefault="0006055B" w:rsidP="00CC6848">
      <w:pPr>
        <w:spacing w:line="360" w:lineRule="auto"/>
        <w:jc w:val="center"/>
        <w:rPr>
          <w:rFonts w:ascii="Times New Roman" w:hAnsi="Times New Roman" w:cs="Times New Roman"/>
          <w:b/>
          <w:bCs/>
          <w:sz w:val="28"/>
          <w:szCs w:val="28"/>
        </w:rPr>
      </w:pPr>
      <w:r w:rsidRPr="00CC6848">
        <w:rPr>
          <w:rFonts w:ascii="Times New Roman" w:hAnsi="Times New Roman" w:cs="Times New Roman"/>
          <w:b/>
          <w:bCs/>
          <w:sz w:val="28"/>
          <w:szCs w:val="28"/>
        </w:rPr>
        <w:t>ABSTRACT</w:t>
      </w:r>
    </w:p>
    <w:p w14:paraId="12A3FBBB" w14:textId="77777777" w:rsidR="0006055B" w:rsidRPr="00CC6848" w:rsidRDefault="0006055B" w:rsidP="00CC6848">
      <w:p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 xml:space="preserve">Background: </w:t>
      </w:r>
      <w:r w:rsidRPr="00CC6848">
        <w:rPr>
          <w:rFonts w:ascii="Times New Roman" w:hAnsi="Times New Roman" w:cs="Times New Roman"/>
          <w:sz w:val="24"/>
          <w:szCs w:val="24"/>
        </w:rPr>
        <w:t>Adverse drug reactions (ADRs) represent a significant healthcare problem, contributing to patient morbidity and resource utilisation. This present study aimed to characterise the pattern of ADRs reported at a tertiary care hospital in Dehradun, Uttarakhand, India.</w:t>
      </w:r>
    </w:p>
    <w:p w14:paraId="37FCF9CB" w14:textId="77777777" w:rsidR="0006055B" w:rsidRPr="00CC6848" w:rsidRDefault="0006055B" w:rsidP="00CC6848">
      <w:p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 xml:space="preserve">Methods: </w:t>
      </w:r>
      <w:r w:rsidRPr="00CC6848">
        <w:rPr>
          <w:rFonts w:ascii="Times New Roman" w:hAnsi="Times New Roman" w:cs="Times New Roman"/>
          <w:sz w:val="24"/>
          <w:szCs w:val="24"/>
        </w:rPr>
        <w:t xml:space="preserve">A retrospective observational study was carried out by the Department of Pharmacology, Shri Guru Ram Rai Institute of Medical &amp; Health Sciences from June 2017 to May 2018. A total of 156 completed forms were </w:t>
      </w:r>
      <w:proofErr w:type="spellStart"/>
      <w:r w:rsidRPr="00CC6848">
        <w:rPr>
          <w:rFonts w:ascii="Times New Roman" w:hAnsi="Times New Roman" w:cs="Times New Roman"/>
          <w:sz w:val="24"/>
          <w:szCs w:val="24"/>
        </w:rPr>
        <w:t>analyzed</w:t>
      </w:r>
      <w:proofErr w:type="spellEnd"/>
      <w:r w:rsidRPr="00CC6848">
        <w:rPr>
          <w:rFonts w:ascii="Times New Roman" w:hAnsi="Times New Roman" w:cs="Times New Roman"/>
          <w:sz w:val="24"/>
          <w:szCs w:val="24"/>
        </w:rPr>
        <w:t>, with data on patient demographics, affected system-organ classes, implicated drug classes, and causality assessed according to the WHO-UMC criteria.</w:t>
      </w:r>
    </w:p>
    <w:p w14:paraId="7F07B7CF" w14:textId="77777777" w:rsidR="0006055B" w:rsidRPr="00CC6848" w:rsidRDefault="0006055B" w:rsidP="00CC6848">
      <w:p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 xml:space="preserve">Results: </w:t>
      </w:r>
      <w:r w:rsidRPr="00CC6848">
        <w:rPr>
          <w:rFonts w:ascii="Times New Roman" w:hAnsi="Times New Roman" w:cs="Times New Roman"/>
          <w:sz w:val="24"/>
          <w:szCs w:val="24"/>
        </w:rPr>
        <w:t>Males accounted for 60.3% of the 156 ADRs, while females made up 39.7%. The age distribution revealed that the majority of people were between the ages of 19 and 60 (82.1%), followed by those over 60 (12.8%), those between the ages of 13 and 18 (3.3%), and those under the age of 12 (1.8%). The gastrointestinal system was primarily affected (42.9%), followed by the cutaneous system (32.1%), the central nervous system (15.4%), and other systems. Antimicrobials were the main implicated class of drug (59.6%), followed by CNS drugs (9.6%), analgesics (8.3%). Causality assessment showed 85.3% probable/likely, 10.9% possible, and 3.8% uncertain.</w:t>
      </w:r>
    </w:p>
    <w:p w14:paraId="662382F2" w14:textId="77777777" w:rsidR="0006055B" w:rsidRPr="00CC6848" w:rsidRDefault="0006055B" w:rsidP="00CC6848">
      <w:p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 xml:space="preserve">Conclusions: </w:t>
      </w:r>
      <w:r w:rsidRPr="00CC6848">
        <w:rPr>
          <w:rFonts w:ascii="Times New Roman" w:hAnsi="Times New Roman" w:cs="Times New Roman"/>
          <w:sz w:val="24"/>
          <w:szCs w:val="24"/>
        </w:rPr>
        <w:t>Among males of working age, antimicrobials were found to be the primary cause of adverse drug reactions (ADRs), primarily affecting the gastrointestinal and skin systems. To reduce the burden of adverse drug reactions (ADRs) and encourage safer prescribing practices, pharmacovigilance must be improved through consistent reporting and education.</w:t>
      </w:r>
    </w:p>
    <w:p w14:paraId="32B658E6" w14:textId="09327887" w:rsidR="0006055B" w:rsidRDefault="0006055B" w:rsidP="00CC6848">
      <w:pPr>
        <w:spacing w:line="360" w:lineRule="auto"/>
        <w:jc w:val="both"/>
        <w:rPr>
          <w:rFonts w:ascii="Times New Roman" w:hAnsi="Times New Roman" w:cs="Times New Roman"/>
          <w:sz w:val="24"/>
          <w:szCs w:val="24"/>
        </w:rPr>
      </w:pPr>
      <w:r w:rsidRPr="00CC6848">
        <w:rPr>
          <w:rFonts w:ascii="Times New Roman" w:hAnsi="Times New Roman" w:cs="Times New Roman"/>
          <w:b/>
          <w:bCs/>
          <w:sz w:val="24"/>
          <w:szCs w:val="24"/>
        </w:rPr>
        <w:t xml:space="preserve">Keywords: </w:t>
      </w:r>
      <w:r w:rsidRPr="00CC6848">
        <w:rPr>
          <w:rFonts w:ascii="Times New Roman" w:hAnsi="Times New Roman" w:cs="Times New Roman"/>
          <w:sz w:val="24"/>
          <w:szCs w:val="24"/>
        </w:rPr>
        <w:t>WHO-UMC causality assessment, antimicrobials, gastrointestinal reactions, adverse drug reactions, Pharmacovigilance Programme of India</w:t>
      </w:r>
    </w:p>
    <w:p w14:paraId="6A3174E2" w14:textId="77777777" w:rsidR="00CC6848" w:rsidRPr="00CC6848" w:rsidRDefault="00CC6848" w:rsidP="00CC6848">
      <w:pPr>
        <w:spacing w:line="360" w:lineRule="auto"/>
        <w:jc w:val="both"/>
        <w:rPr>
          <w:rFonts w:ascii="Times New Roman" w:hAnsi="Times New Roman" w:cs="Times New Roman"/>
          <w:sz w:val="24"/>
          <w:szCs w:val="24"/>
        </w:rPr>
      </w:pPr>
    </w:p>
    <w:p w14:paraId="187D4666" w14:textId="77777777" w:rsidR="0006055B" w:rsidRPr="00CC6848" w:rsidRDefault="0006055B"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lastRenderedPageBreak/>
        <w:t>Introduction</w:t>
      </w:r>
    </w:p>
    <w:p w14:paraId="19027E8A" w14:textId="77777777" w:rsidR="0006055B" w:rsidRPr="00CC6848" w:rsidRDefault="0006055B"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Adverse drug reactions (ADRs) are defined by the World Health Organisation (WHO) as a response to a drug that is harmful and unintended, occurring at doses typically used in humans for the prevention, diagnosis, or treatment of disease, or for altering physiological functions.</w:t>
      </w:r>
      <w:r w:rsidRPr="00CC6848">
        <w:rPr>
          <w:rFonts w:ascii="Times New Roman" w:hAnsi="Times New Roman" w:cs="Times New Roman"/>
          <w:sz w:val="24"/>
          <w:szCs w:val="24"/>
          <w:vertAlign w:val="superscript"/>
        </w:rPr>
        <w:t>1</w:t>
      </w:r>
      <w:r w:rsidRPr="00CC6848">
        <w:rPr>
          <w:rFonts w:ascii="Times New Roman" w:hAnsi="Times New Roman" w:cs="Times New Roman"/>
          <w:sz w:val="24"/>
          <w:szCs w:val="24"/>
        </w:rPr>
        <w:t xml:space="preserve"> </w:t>
      </w:r>
    </w:p>
    <w:p w14:paraId="19B13395" w14:textId="09291C61" w:rsidR="00A164E5" w:rsidRPr="00CC6848" w:rsidRDefault="0006055B"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It is an appreciably harmful or unpleasant reaction, resulting from an intervention related to the use of a medicinal product, which predicts hazard from future administration and warrants specific treatment, or alteration of the dosage regimen, or withdrawal of the product.</w:t>
      </w:r>
      <w:r w:rsidRPr="00CC6848">
        <w:rPr>
          <w:rFonts w:ascii="Times New Roman" w:hAnsi="Times New Roman" w:cs="Times New Roman"/>
          <w:sz w:val="24"/>
          <w:szCs w:val="24"/>
          <w:vertAlign w:val="superscript"/>
        </w:rPr>
        <w:t>2</w:t>
      </w:r>
    </w:p>
    <w:p w14:paraId="4B97AC8D" w14:textId="409FCE38" w:rsidR="001837E1" w:rsidRPr="00CC6848" w:rsidRDefault="0006055B" w:rsidP="00CC6848">
      <w:pPr>
        <w:spacing w:line="360" w:lineRule="auto"/>
        <w:jc w:val="both"/>
        <w:rPr>
          <w:rFonts w:ascii="Times New Roman" w:hAnsi="Times New Roman" w:cs="Times New Roman"/>
          <w:sz w:val="24"/>
          <w:szCs w:val="24"/>
          <w:vertAlign w:val="superscript"/>
        </w:rPr>
      </w:pPr>
      <w:r w:rsidRPr="00CC6848">
        <w:rPr>
          <w:rFonts w:ascii="Times New Roman" w:hAnsi="Times New Roman" w:cs="Times New Roman"/>
          <w:sz w:val="24"/>
          <w:szCs w:val="24"/>
        </w:rPr>
        <w:t>The Pharmacovigilance Programme of India (</w:t>
      </w:r>
      <w:proofErr w:type="spellStart"/>
      <w:r w:rsidRPr="00CC6848">
        <w:rPr>
          <w:rFonts w:ascii="Times New Roman" w:hAnsi="Times New Roman" w:cs="Times New Roman"/>
          <w:sz w:val="24"/>
          <w:szCs w:val="24"/>
        </w:rPr>
        <w:t>PvPI</w:t>
      </w:r>
      <w:proofErr w:type="spellEnd"/>
      <w:r w:rsidRPr="00CC6848">
        <w:rPr>
          <w:rFonts w:ascii="Times New Roman" w:hAnsi="Times New Roman" w:cs="Times New Roman"/>
          <w:sz w:val="24"/>
          <w:szCs w:val="24"/>
        </w:rPr>
        <w:t>), which was started in 2010 has greatly improved spontaneous reporting, but under-reporting still remains a challenge. Spontaneous ADR Reporting from tertiary care hospitals offer</w:t>
      </w:r>
      <w:r w:rsidR="00E00292" w:rsidRPr="00CC6848">
        <w:rPr>
          <w:rFonts w:ascii="Times New Roman" w:hAnsi="Times New Roman" w:cs="Times New Roman"/>
          <w:sz w:val="24"/>
          <w:szCs w:val="24"/>
        </w:rPr>
        <w:t>s important real-world data on local patterns, which may differ from local trends due to differences in disease rates, prescribing habits and genetic factors.</w:t>
      </w:r>
      <w:r w:rsidR="001837E1" w:rsidRPr="00CC6848">
        <w:rPr>
          <w:rFonts w:ascii="Times New Roman" w:hAnsi="Times New Roman" w:cs="Times New Roman"/>
          <w:sz w:val="24"/>
          <w:szCs w:val="24"/>
        </w:rPr>
        <w:t xml:space="preserve"> In developing nations like India, this problem is worse due to issues like polypharmacy, self-medication, an increased rate of infectious diseases, leading to an excessive use of antimicrobials and limited systems for monitoring drug safety.</w:t>
      </w:r>
      <w:r w:rsidR="001837E1" w:rsidRPr="00CC6848">
        <w:rPr>
          <w:rFonts w:ascii="Times New Roman" w:hAnsi="Times New Roman" w:cs="Times New Roman"/>
          <w:sz w:val="24"/>
          <w:szCs w:val="24"/>
          <w:vertAlign w:val="superscript"/>
        </w:rPr>
        <w:t>3,4</w:t>
      </w:r>
    </w:p>
    <w:p w14:paraId="42C8ECCD" w14:textId="5DA853CE" w:rsidR="001837E1" w:rsidRPr="00CC6848" w:rsidRDefault="001837E1" w:rsidP="00CC6848">
      <w:pPr>
        <w:spacing w:line="360" w:lineRule="auto"/>
        <w:jc w:val="both"/>
        <w:rPr>
          <w:rFonts w:ascii="Times New Roman" w:hAnsi="Times New Roman" w:cs="Times New Roman"/>
          <w:sz w:val="28"/>
          <w:szCs w:val="28"/>
        </w:rPr>
      </w:pPr>
      <w:r w:rsidRPr="00CC6848">
        <w:rPr>
          <w:rFonts w:ascii="Times New Roman" w:hAnsi="Times New Roman" w:cs="Times New Roman"/>
          <w:sz w:val="24"/>
          <w:szCs w:val="24"/>
        </w:rPr>
        <w:t xml:space="preserve">Various studies throughout India consistently have shown that antimicrobials are the most common offenders, often causing skin or stomach issues. </w:t>
      </w:r>
      <w:r w:rsidR="00F5766E" w:rsidRPr="00CC6848">
        <w:rPr>
          <w:rFonts w:ascii="Times New Roman" w:hAnsi="Times New Roman" w:cs="Times New Roman"/>
          <w:sz w:val="24"/>
          <w:szCs w:val="24"/>
        </w:rPr>
        <w:t>However,</w:t>
      </w:r>
      <w:r w:rsidRPr="00CC6848">
        <w:rPr>
          <w:rFonts w:ascii="Times New Roman" w:hAnsi="Times New Roman" w:cs="Times New Roman"/>
          <w:sz w:val="24"/>
          <w:szCs w:val="24"/>
        </w:rPr>
        <w:t xml:space="preserve"> there is limited data available in northern hilly regions like Uttarakhand. </w:t>
      </w:r>
      <w:r w:rsidR="00F5766E" w:rsidRPr="00CC6848">
        <w:rPr>
          <w:rFonts w:ascii="Times New Roman" w:hAnsi="Times New Roman" w:cs="Times New Roman"/>
          <w:sz w:val="24"/>
          <w:szCs w:val="24"/>
        </w:rPr>
        <w:t>Therefore,</w:t>
      </w:r>
      <w:r w:rsidRPr="00CC6848">
        <w:rPr>
          <w:rFonts w:ascii="Times New Roman" w:hAnsi="Times New Roman" w:cs="Times New Roman"/>
          <w:sz w:val="24"/>
          <w:szCs w:val="24"/>
        </w:rPr>
        <w:t xml:space="preserve"> this present study aims to describe the most affected systems</w:t>
      </w:r>
      <w:r w:rsidR="00F5766E" w:rsidRPr="00CC6848">
        <w:rPr>
          <w:rFonts w:ascii="Times New Roman" w:hAnsi="Times New Roman" w:cs="Times New Roman"/>
          <w:sz w:val="24"/>
          <w:szCs w:val="24"/>
        </w:rPr>
        <w:t>, the classes of drug responsible for ADRs and the level of causality.</w:t>
      </w:r>
    </w:p>
    <w:p w14:paraId="337AF981" w14:textId="77777777" w:rsidR="00F5766E" w:rsidRPr="00CC6848" w:rsidRDefault="00F5766E" w:rsidP="00CC6848">
      <w:pPr>
        <w:spacing w:line="360" w:lineRule="auto"/>
        <w:jc w:val="both"/>
        <w:rPr>
          <w:rFonts w:ascii="Times New Roman" w:hAnsi="Times New Roman" w:cs="Times New Roman"/>
          <w:sz w:val="28"/>
          <w:szCs w:val="28"/>
        </w:rPr>
      </w:pPr>
    </w:p>
    <w:p w14:paraId="36B4A661" w14:textId="77777777" w:rsidR="00CC6848" w:rsidRDefault="00CC6848" w:rsidP="00CC6848">
      <w:pPr>
        <w:spacing w:line="360" w:lineRule="auto"/>
        <w:jc w:val="both"/>
        <w:rPr>
          <w:rFonts w:ascii="Times New Roman" w:hAnsi="Times New Roman" w:cs="Times New Roman"/>
          <w:b/>
          <w:bCs/>
          <w:sz w:val="28"/>
          <w:szCs w:val="28"/>
        </w:rPr>
      </w:pPr>
    </w:p>
    <w:p w14:paraId="327AAE08" w14:textId="77777777" w:rsidR="00CC6848" w:rsidRDefault="00CC6848" w:rsidP="00CC6848">
      <w:pPr>
        <w:spacing w:line="360" w:lineRule="auto"/>
        <w:jc w:val="both"/>
        <w:rPr>
          <w:rFonts w:ascii="Times New Roman" w:hAnsi="Times New Roman" w:cs="Times New Roman"/>
          <w:b/>
          <w:bCs/>
          <w:sz w:val="28"/>
          <w:szCs w:val="28"/>
        </w:rPr>
      </w:pPr>
    </w:p>
    <w:p w14:paraId="0A89D9EF" w14:textId="77777777" w:rsidR="00CC6848" w:rsidRDefault="00CC6848" w:rsidP="00CC6848">
      <w:pPr>
        <w:spacing w:line="360" w:lineRule="auto"/>
        <w:jc w:val="both"/>
        <w:rPr>
          <w:rFonts w:ascii="Times New Roman" w:hAnsi="Times New Roman" w:cs="Times New Roman"/>
          <w:b/>
          <w:bCs/>
          <w:sz w:val="28"/>
          <w:szCs w:val="28"/>
        </w:rPr>
      </w:pPr>
    </w:p>
    <w:p w14:paraId="23B7BA04" w14:textId="77777777" w:rsidR="00CC6848" w:rsidRDefault="00CC6848" w:rsidP="00CC6848">
      <w:pPr>
        <w:spacing w:line="360" w:lineRule="auto"/>
        <w:jc w:val="both"/>
        <w:rPr>
          <w:rFonts w:ascii="Times New Roman" w:hAnsi="Times New Roman" w:cs="Times New Roman"/>
          <w:b/>
          <w:bCs/>
          <w:sz w:val="28"/>
          <w:szCs w:val="28"/>
        </w:rPr>
      </w:pPr>
    </w:p>
    <w:p w14:paraId="5EF6F596" w14:textId="77777777" w:rsidR="00CC6848" w:rsidRDefault="00CC6848" w:rsidP="00CC6848">
      <w:pPr>
        <w:spacing w:line="360" w:lineRule="auto"/>
        <w:jc w:val="both"/>
        <w:rPr>
          <w:rFonts w:ascii="Times New Roman" w:hAnsi="Times New Roman" w:cs="Times New Roman"/>
          <w:b/>
          <w:bCs/>
          <w:sz w:val="28"/>
          <w:szCs w:val="28"/>
        </w:rPr>
      </w:pPr>
    </w:p>
    <w:p w14:paraId="6672E9EA" w14:textId="77777777" w:rsidR="00CC6848" w:rsidRDefault="00CC6848" w:rsidP="00CC6848">
      <w:pPr>
        <w:spacing w:line="360" w:lineRule="auto"/>
        <w:jc w:val="both"/>
        <w:rPr>
          <w:rFonts w:ascii="Times New Roman" w:hAnsi="Times New Roman" w:cs="Times New Roman"/>
          <w:b/>
          <w:bCs/>
          <w:sz w:val="28"/>
          <w:szCs w:val="28"/>
        </w:rPr>
      </w:pPr>
    </w:p>
    <w:p w14:paraId="39BF7944" w14:textId="77777777" w:rsidR="00CC6848" w:rsidRDefault="00CC6848" w:rsidP="00CC6848">
      <w:pPr>
        <w:spacing w:line="360" w:lineRule="auto"/>
        <w:jc w:val="both"/>
        <w:rPr>
          <w:rFonts w:ascii="Times New Roman" w:hAnsi="Times New Roman" w:cs="Times New Roman"/>
          <w:b/>
          <w:bCs/>
          <w:sz w:val="28"/>
          <w:szCs w:val="28"/>
        </w:rPr>
      </w:pPr>
    </w:p>
    <w:p w14:paraId="35322E8D" w14:textId="6184ABCB" w:rsidR="00F5766E" w:rsidRPr="00CC6848" w:rsidRDefault="00F5766E"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lastRenderedPageBreak/>
        <w:t>Aim</w:t>
      </w:r>
    </w:p>
    <w:p w14:paraId="73790FB0" w14:textId="7B0B35AC" w:rsidR="00F5766E" w:rsidRPr="00CC6848" w:rsidRDefault="00F5766E"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To describe the patterns of Adverse Drug Reactions reported in a tertiary care teaching hospital in Dehradun, Uttarakhand, India.</w:t>
      </w:r>
    </w:p>
    <w:p w14:paraId="22F6E612" w14:textId="647ED997" w:rsidR="00F5766E" w:rsidRPr="00CC6848" w:rsidRDefault="00F5766E"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Objectives</w:t>
      </w:r>
    </w:p>
    <w:p w14:paraId="3044ADB7" w14:textId="4F73E5B6" w:rsidR="00F5766E" w:rsidRPr="00CC6848" w:rsidRDefault="00F5766E" w:rsidP="00CC6848">
      <w:pPr>
        <w:pStyle w:val="ListParagraph"/>
        <w:numPr>
          <w:ilvl w:val="0"/>
          <w:numId w:val="1"/>
        </w:num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To analyse the demographic profile (age and gender distribution) of patients experiencing ADRs.</w:t>
      </w:r>
    </w:p>
    <w:p w14:paraId="38E1EA86" w14:textId="77C1BD73" w:rsidR="00F5766E" w:rsidRDefault="00F5766E" w:rsidP="00CC6848">
      <w:pPr>
        <w:pStyle w:val="ListParagraph"/>
        <w:numPr>
          <w:ilvl w:val="0"/>
          <w:numId w:val="1"/>
        </w:num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To determine the most common organ systems affected by ADRs.</w:t>
      </w:r>
    </w:p>
    <w:p w14:paraId="5A3BB02E" w14:textId="77777777" w:rsidR="00CC6848" w:rsidRPr="00CC6848" w:rsidRDefault="00CC6848" w:rsidP="00CC6848">
      <w:pPr>
        <w:pStyle w:val="ListParagraph"/>
        <w:spacing w:line="360" w:lineRule="auto"/>
        <w:jc w:val="both"/>
        <w:rPr>
          <w:rFonts w:ascii="Times New Roman" w:hAnsi="Times New Roman" w:cs="Times New Roman"/>
          <w:sz w:val="24"/>
          <w:szCs w:val="24"/>
        </w:rPr>
      </w:pPr>
    </w:p>
    <w:p w14:paraId="038DCED5" w14:textId="2905893B" w:rsidR="00F5766E" w:rsidRPr="00CC6848" w:rsidRDefault="00F5766E"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Materials and Methods</w:t>
      </w:r>
    </w:p>
    <w:p w14:paraId="2BB3B900" w14:textId="3FD9EC38" w:rsidR="00F5766E" w:rsidRPr="00CC6848" w:rsidRDefault="00F5766E"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Study Design and Setting</w:t>
      </w:r>
    </w:p>
    <w:p w14:paraId="344CB81D" w14:textId="2A109A6B" w:rsidR="00F5766E" w:rsidRPr="00CC6848" w:rsidRDefault="00F5766E"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This was a retrospective, observational study carried out at the ADR monitoring Centre in the Department of Pharmacology, SGRRIM&amp;HS, Dehradun, Uttarakhand.</w:t>
      </w:r>
    </w:p>
    <w:p w14:paraId="68FF090D" w14:textId="4DA47776" w:rsidR="00F5766E" w:rsidRPr="00CC6848" w:rsidRDefault="00F5766E"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Data Source</w:t>
      </w:r>
    </w:p>
    <w:p w14:paraId="29F87695" w14:textId="29DE8807" w:rsidR="00F5766E" w:rsidRPr="00CC6848" w:rsidRDefault="00F5766E"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A total of 156 ADR forms received by the ADR monitoring Centre from various clinical departments during June 2017 to May 2018 were included and analysed.</w:t>
      </w:r>
    </w:p>
    <w:p w14:paraId="5898D717" w14:textId="2CC1E036" w:rsidR="00F5766E" w:rsidRPr="00CC6848" w:rsidRDefault="007B61BA"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Data collection and Analysis</w:t>
      </w:r>
    </w:p>
    <w:p w14:paraId="700B2CDD" w14:textId="06735E6E" w:rsidR="007B61BA" w:rsidRPr="00CC6848" w:rsidRDefault="007B61BA" w:rsidP="00CC6848">
      <w:pPr>
        <w:spacing w:line="360" w:lineRule="auto"/>
        <w:jc w:val="both"/>
        <w:rPr>
          <w:rFonts w:ascii="Times New Roman" w:hAnsi="Times New Roman" w:cs="Times New Roman"/>
          <w:sz w:val="24"/>
          <w:szCs w:val="24"/>
          <w:vertAlign w:val="superscript"/>
        </w:rPr>
      </w:pPr>
      <w:r w:rsidRPr="00CC6848">
        <w:rPr>
          <w:rFonts w:ascii="Times New Roman" w:hAnsi="Times New Roman" w:cs="Times New Roman"/>
          <w:sz w:val="24"/>
          <w:szCs w:val="24"/>
        </w:rPr>
        <w:t>Data included patient demographics (age, gender), drugs causing ADRs, organ system classes affected and the Causality assessment, which was performed using the WHO-UMC criteria.</w:t>
      </w:r>
      <w:r w:rsidRPr="00CC6848">
        <w:rPr>
          <w:rFonts w:ascii="Times New Roman" w:hAnsi="Times New Roman" w:cs="Times New Roman"/>
          <w:sz w:val="24"/>
          <w:szCs w:val="24"/>
          <w:vertAlign w:val="superscript"/>
        </w:rPr>
        <w:t xml:space="preserve">5 </w:t>
      </w:r>
    </w:p>
    <w:p w14:paraId="55C58050" w14:textId="03C26CCA" w:rsidR="007B61BA" w:rsidRPr="00CC6848" w:rsidRDefault="007B61BA"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Descriptive statistics (percentages, frequencies) were used. Graphs and charts were interpreted for visual representation.</w:t>
      </w:r>
    </w:p>
    <w:p w14:paraId="6C55C995" w14:textId="60FB4512" w:rsidR="007B61BA" w:rsidRPr="00CC6848" w:rsidRDefault="007B61BA"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Ethical Considerations</w:t>
      </w:r>
    </w:p>
    <w:p w14:paraId="5D5FABD6" w14:textId="62EA5BDA" w:rsidR="007B61BA" w:rsidRPr="00CC6848" w:rsidRDefault="007B61BA"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This study was approved by the Institutional Ethics Committee.</w:t>
      </w:r>
    </w:p>
    <w:p w14:paraId="336C72DB" w14:textId="77777777" w:rsidR="00CC6848" w:rsidRPr="00CC6848" w:rsidRDefault="00CC6848" w:rsidP="00CC6848">
      <w:pPr>
        <w:spacing w:line="360" w:lineRule="auto"/>
        <w:jc w:val="both"/>
        <w:rPr>
          <w:rFonts w:ascii="Times New Roman" w:hAnsi="Times New Roman" w:cs="Times New Roman"/>
          <w:sz w:val="28"/>
          <w:szCs w:val="28"/>
        </w:rPr>
      </w:pPr>
    </w:p>
    <w:p w14:paraId="58316E78" w14:textId="77777777" w:rsidR="00CC6848" w:rsidRDefault="00CC6848" w:rsidP="00CC6848">
      <w:pPr>
        <w:spacing w:line="360" w:lineRule="auto"/>
        <w:jc w:val="both"/>
        <w:rPr>
          <w:rFonts w:ascii="Times New Roman" w:hAnsi="Times New Roman" w:cs="Times New Roman"/>
          <w:b/>
          <w:bCs/>
          <w:sz w:val="28"/>
          <w:szCs w:val="28"/>
        </w:rPr>
      </w:pPr>
    </w:p>
    <w:p w14:paraId="5A360477" w14:textId="77777777" w:rsidR="00CC6848" w:rsidRDefault="00CC6848" w:rsidP="00CC6848">
      <w:pPr>
        <w:spacing w:line="360" w:lineRule="auto"/>
        <w:jc w:val="both"/>
        <w:rPr>
          <w:rFonts w:ascii="Times New Roman" w:hAnsi="Times New Roman" w:cs="Times New Roman"/>
          <w:b/>
          <w:bCs/>
          <w:sz w:val="28"/>
          <w:szCs w:val="28"/>
        </w:rPr>
      </w:pPr>
    </w:p>
    <w:p w14:paraId="2D22B740" w14:textId="7B67DA7E" w:rsidR="007B61BA" w:rsidRPr="00CC6848" w:rsidRDefault="007B61BA"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lastRenderedPageBreak/>
        <w:t>Results</w:t>
      </w:r>
    </w:p>
    <w:p w14:paraId="26A791BD" w14:textId="6EAAADB8" w:rsidR="007B61BA" w:rsidRPr="00CC6848" w:rsidRDefault="007B61BA"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Demographic profile</w:t>
      </w:r>
    </w:p>
    <w:p w14:paraId="7813B19F" w14:textId="2083C6F3" w:rsidR="007B61BA" w:rsidRPr="00CC6848" w:rsidRDefault="007B61BA"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Out of 156 patients experiencing ADRs, Males accounted for 60.3% of all cases, while females accounted for 39.7%</w:t>
      </w:r>
      <w:r w:rsidR="00795DC9">
        <w:rPr>
          <w:rFonts w:ascii="Times New Roman" w:hAnsi="Times New Roman" w:cs="Times New Roman"/>
          <w:sz w:val="24"/>
          <w:szCs w:val="24"/>
        </w:rPr>
        <w:t xml:space="preserve"> as s</w:t>
      </w:r>
      <w:r w:rsidR="00E653BF">
        <w:rPr>
          <w:rFonts w:ascii="Times New Roman" w:hAnsi="Times New Roman" w:cs="Times New Roman"/>
          <w:sz w:val="24"/>
          <w:szCs w:val="24"/>
        </w:rPr>
        <w:t>een</w:t>
      </w:r>
      <w:r w:rsidR="00795DC9">
        <w:rPr>
          <w:rFonts w:ascii="Times New Roman" w:hAnsi="Times New Roman" w:cs="Times New Roman"/>
          <w:sz w:val="24"/>
          <w:szCs w:val="24"/>
        </w:rPr>
        <w:t xml:space="preserve"> in Figure 1.</w:t>
      </w:r>
    </w:p>
    <w:p w14:paraId="312945FE" w14:textId="176EEDDA" w:rsidR="007B61BA" w:rsidRPr="00CC6848" w:rsidRDefault="007B61BA" w:rsidP="00CC6848">
      <w:pPr>
        <w:spacing w:line="360" w:lineRule="auto"/>
        <w:jc w:val="both"/>
        <w:rPr>
          <w:rFonts w:ascii="Times New Roman" w:hAnsi="Times New Roman" w:cs="Times New Roman"/>
          <w:sz w:val="28"/>
          <w:szCs w:val="28"/>
        </w:rPr>
      </w:pPr>
      <w:r w:rsidRPr="00CC6848">
        <w:rPr>
          <w:rFonts w:ascii="Times New Roman" w:hAnsi="Times New Roman" w:cs="Times New Roman"/>
          <w:noProof/>
          <w:sz w:val="28"/>
          <w:szCs w:val="28"/>
        </w:rPr>
        <w:drawing>
          <wp:inline distT="0" distB="0" distL="0" distR="0" wp14:anchorId="15A7901A" wp14:editId="782207CB">
            <wp:extent cx="5867400" cy="2804160"/>
            <wp:effectExtent l="0" t="0" r="0" b="15240"/>
            <wp:docPr id="12581231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984D6D1" w14:textId="48DDB391" w:rsidR="007B61BA" w:rsidRPr="00CC6848" w:rsidRDefault="007B61BA"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Age Distribution</w:t>
      </w:r>
    </w:p>
    <w:p w14:paraId="09E67CDC" w14:textId="3F5191C2" w:rsidR="007B61BA" w:rsidRPr="00CC6848" w:rsidRDefault="007B61BA"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The majority of patients lay in the working age adult group of 19-60 years (82.1%), followed by elderly &gt; 60 years (12.8%), 13-18 years (3.3%) and 0-12 years (1.8%) respectively</w:t>
      </w:r>
      <w:r w:rsidR="00795DC9">
        <w:rPr>
          <w:rFonts w:ascii="Times New Roman" w:hAnsi="Times New Roman" w:cs="Times New Roman"/>
          <w:sz w:val="24"/>
          <w:szCs w:val="24"/>
        </w:rPr>
        <w:t xml:space="preserve"> shown in Figure 2.</w:t>
      </w:r>
    </w:p>
    <w:p w14:paraId="0D22E5AE" w14:textId="338A1AE3" w:rsidR="007B61BA" w:rsidRPr="00CC6848" w:rsidRDefault="007B61BA" w:rsidP="0024048D">
      <w:pPr>
        <w:spacing w:line="360" w:lineRule="auto"/>
        <w:jc w:val="both"/>
        <w:rPr>
          <w:rFonts w:ascii="Times New Roman" w:hAnsi="Times New Roman" w:cs="Times New Roman"/>
          <w:sz w:val="28"/>
          <w:szCs w:val="28"/>
        </w:rPr>
      </w:pPr>
      <w:r w:rsidRPr="00CC6848">
        <w:rPr>
          <w:rFonts w:ascii="Times New Roman" w:hAnsi="Times New Roman" w:cs="Times New Roman"/>
          <w:noProof/>
          <w:sz w:val="28"/>
          <w:szCs w:val="28"/>
        </w:rPr>
        <w:drawing>
          <wp:inline distT="0" distB="0" distL="0" distR="0" wp14:anchorId="251B0F14" wp14:editId="57F0B346">
            <wp:extent cx="5631180" cy="3025140"/>
            <wp:effectExtent l="0" t="0" r="7620" b="3810"/>
            <wp:docPr id="154461669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87DC0F" w14:textId="4164C19A" w:rsidR="007B61BA" w:rsidRPr="00CC6848" w:rsidRDefault="007B61BA" w:rsidP="00CC6848">
      <w:pPr>
        <w:spacing w:line="360" w:lineRule="auto"/>
        <w:jc w:val="both"/>
        <w:rPr>
          <w:rFonts w:ascii="Times New Roman" w:hAnsi="Times New Roman" w:cs="Times New Roman"/>
          <w:b/>
          <w:bCs/>
          <w:sz w:val="28"/>
          <w:szCs w:val="28"/>
        </w:rPr>
      </w:pPr>
      <w:proofErr w:type="spellStart"/>
      <w:r w:rsidRPr="00CC6848">
        <w:rPr>
          <w:rFonts w:ascii="Times New Roman" w:hAnsi="Times New Roman" w:cs="Times New Roman"/>
          <w:b/>
          <w:bCs/>
          <w:sz w:val="28"/>
          <w:szCs w:val="28"/>
        </w:rPr>
        <w:lastRenderedPageBreak/>
        <w:t>Sy</w:t>
      </w:r>
      <w:r w:rsidR="00B52AF7">
        <w:rPr>
          <w:rFonts w:ascii="Times New Roman" w:hAnsi="Times New Roman" w:cs="Times New Roman"/>
          <w:b/>
          <w:bCs/>
          <w:sz w:val="28"/>
          <w:szCs w:val="28"/>
        </w:rPr>
        <w:t>s</w:t>
      </w:r>
      <w:r w:rsidRPr="00CC6848">
        <w:rPr>
          <w:rFonts w:ascii="Times New Roman" w:hAnsi="Times New Roman" w:cs="Times New Roman"/>
          <w:b/>
          <w:bCs/>
          <w:sz w:val="28"/>
          <w:szCs w:val="28"/>
        </w:rPr>
        <w:t>temwise</w:t>
      </w:r>
      <w:proofErr w:type="spellEnd"/>
      <w:r w:rsidRPr="00CC6848">
        <w:rPr>
          <w:rFonts w:ascii="Times New Roman" w:hAnsi="Times New Roman" w:cs="Times New Roman"/>
          <w:b/>
          <w:bCs/>
          <w:sz w:val="28"/>
          <w:szCs w:val="28"/>
        </w:rPr>
        <w:t xml:space="preserve"> ADRs Reported</w:t>
      </w:r>
    </w:p>
    <w:p w14:paraId="0D32229D" w14:textId="51F58346" w:rsidR="009855C6" w:rsidRPr="00CC6848" w:rsidRDefault="009855C6"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The gastrointestinal system was most commonly involved (42.9%), followed by Cutaneous (32.1%), Central nervous system (15.4%), Respiratory (3.2%), CVS (2.6%), Ophthalmology (1.9%), Haematology (1.3%) and Musculoskeletal system (0.6), respectively</w:t>
      </w:r>
      <w:r w:rsidR="00E653BF">
        <w:rPr>
          <w:rFonts w:ascii="Times New Roman" w:hAnsi="Times New Roman" w:cs="Times New Roman"/>
          <w:sz w:val="24"/>
          <w:szCs w:val="24"/>
        </w:rPr>
        <w:t xml:space="preserve"> as seen in Figure 3.</w:t>
      </w:r>
    </w:p>
    <w:p w14:paraId="2F332766" w14:textId="3B64244A" w:rsidR="009855C6" w:rsidRPr="00CC6848" w:rsidRDefault="009855C6" w:rsidP="00CC6848">
      <w:pPr>
        <w:spacing w:line="360" w:lineRule="auto"/>
        <w:jc w:val="both"/>
        <w:rPr>
          <w:rFonts w:ascii="Times New Roman" w:hAnsi="Times New Roman" w:cs="Times New Roman"/>
          <w:sz w:val="28"/>
          <w:szCs w:val="28"/>
        </w:rPr>
      </w:pPr>
      <w:r w:rsidRPr="00CC6848">
        <w:rPr>
          <w:rFonts w:ascii="Times New Roman" w:hAnsi="Times New Roman" w:cs="Times New Roman"/>
          <w:noProof/>
          <w:sz w:val="28"/>
          <w:szCs w:val="28"/>
        </w:rPr>
        <w:drawing>
          <wp:inline distT="0" distB="0" distL="0" distR="0" wp14:anchorId="0BD109BF" wp14:editId="456E157A">
            <wp:extent cx="5631180" cy="3200400"/>
            <wp:effectExtent l="0" t="0" r="7620" b="0"/>
            <wp:docPr id="132952823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A02ECC" w14:textId="77777777" w:rsidR="00CC6848" w:rsidRDefault="00CC6848" w:rsidP="00CC6848">
      <w:pPr>
        <w:spacing w:line="360" w:lineRule="auto"/>
        <w:jc w:val="both"/>
        <w:rPr>
          <w:rFonts w:ascii="Times New Roman" w:hAnsi="Times New Roman" w:cs="Times New Roman"/>
          <w:b/>
          <w:bCs/>
          <w:sz w:val="28"/>
          <w:szCs w:val="28"/>
        </w:rPr>
      </w:pPr>
    </w:p>
    <w:p w14:paraId="46FBC5CE" w14:textId="65562A43" w:rsidR="009855C6" w:rsidRPr="00CC6848" w:rsidRDefault="009855C6"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Drug Classes Causing ADRs</w:t>
      </w:r>
    </w:p>
    <w:p w14:paraId="43E03BD0" w14:textId="53AD06FF" w:rsidR="009855C6" w:rsidRPr="00CC6848" w:rsidRDefault="009855C6"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Antimicrobials were implicated in the majority of cases (59.6%), followed by CNS drugs (9.6%), Analgesics (8.3%), CVS drugs (7.7%), GI drugs (4.5%), Miscellaneous Drugs (3.9%), Endocrine Drugs (3.2%), MV &amp; supplements (1.9%) and Respiratory drugs (1.3%)</w:t>
      </w:r>
      <w:r w:rsidR="00E653BF">
        <w:rPr>
          <w:rFonts w:ascii="Times New Roman" w:hAnsi="Times New Roman" w:cs="Times New Roman"/>
          <w:sz w:val="24"/>
          <w:szCs w:val="24"/>
        </w:rPr>
        <w:t xml:space="preserve"> as shown in Figure 4.</w:t>
      </w:r>
    </w:p>
    <w:p w14:paraId="38A20F4B" w14:textId="5D301582" w:rsidR="009855C6" w:rsidRPr="00CC6848" w:rsidRDefault="009855C6" w:rsidP="00CC6848">
      <w:pPr>
        <w:spacing w:line="360" w:lineRule="auto"/>
        <w:jc w:val="both"/>
        <w:rPr>
          <w:rFonts w:ascii="Times New Roman" w:hAnsi="Times New Roman" w:cs="Times New Roman"/>
          <w:sz w:val="28"/>
          <w:szCs w:val="28"/>
        </w:rPr>
      </w:pPr>
      <w:r w:rsidRPr="00CC6848">
        <w:rPr>
          <w:rFonts w:ascii="Times New Roman" w:hAnsi="Times New Roman" w:cs="Times New Roman"/>
          <w:noProof/>
          <w:sz w:val="36"/>
          <w:szCs w:val="36"/>
        </w:rPr>
        <w:lastRenderedPageBreak/>
        <w:drawing>
          <wp:inline distT="0" distB="0" distL="0" distR="0" wp14:anchorId="0C9DC4D8" wp14:editId="7437A657">
            <wp:extent cx="5731510" cy="3291437"/>
            <wp:effectExtent l="0" t="0" r="2540" b="4445"/>
            <wp:docPr id="40293108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AF5792" w14:textId="77F978F4" w:rsidR="009855C6" w:rsidRPr="00CC6848" w:rsidRDefault="009855C6"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Causality Assessment (WHO-UMC Criteria)</w:t>
      </w:r>
    </w:p>
    <w:p w14:paraId="0F1483B6" w14:textId="1728BBDA" w:rsidR="000032B9" w:rsidRPr="000032B9" w:rsidRDefault="000032B9" w:rsidP="000032B9">
      <w:pPr>
        <w:spacing w:line="360" w:lineRule="auto"/>
        <w:jc w:val="both"/>
        <w:rPr>
          <w:rFonts w:ascii="Times New Roman" w:hAnsi="Times New Roman" w:cs="Times New Roman"/>
          <w:sz w:val="24"/>
          <w:szCs w:val="24"/>
        </w:rPr>
      </w:pPr>
      <w:r w:rsidRPr="000032B9">
        <w:rPr>
          <w:rFonts w:ascii="Times New Roman" w:hAnsi="Times New Roman" w:cs="Times New Roman"/>
          <w:sz w:val="24"/>
          <w:szCs w:val="24"/>
        </w:rPr>
        <w:t>According to the WHO-UMC causality assessment, Probable/</w:t>
      </w:r>
      <w:r w:rsidR="00911F04" w:rsidRPr="000032B9">
        <w:rPr>
          <w:rFonts w:ascii="Times New Roman" w:hAnsi="Times New Roman" w:cs="Times New Roman"/>
          <w:sz w:val="24"/>
          <w:szCs w:val="24"/>
        </w:rPr>
        <w:t>Likely (</w:t>
      </w:r>
      <w:r w:rsidRPr="000032B9">
        <w:rPr>
          <w:rFonts w:ascii="Times New Roman" w:hAnsi="Times New Roman" w:cs="Times New Roman"/>
          <w:sz w:val="24"/>
          <w:szCs w:val="24"/>
        </w:rPr>
        <w:t>85.3%) accounted for the majority of cases, followed by Possible (10.9%) and Uncertain (3.8%)</w:t>
      </w:r>
      <w:r w:rsidR="008C4E16">
        <w:rPr>
          <w:rFonts w:ascii="Times New Roman" w:hAnsi="Times New Roman" w:cs="Times New Roman"/>
          <w:sz w:val="24"/>
          <w:szCs w:val="24"/>
        </w:rPr>
        <w:t>,</w:t>
      </w:r>
      <w:r w:rsidRPr="000032B9">
        <w:rPr>
          <w:rFonts w:ascii="Times New Roman" w:hAnsi="Times New Roman" w:cs="Times New Roman"/>
          <w:sz w:val="24"/>
          <w:szCs w:val="24"/>
        </w:rPr>
        <w:t xml:space="preserve"> respectively</w:t>
      </w:r>
      <w:r w:rsidR="00E653BF">
        <w:rPr>
          <w:rFonts w:ascii="Times New Roman" w:hAnsi="Times New Roman" w:cs="Times New Roman"/>
          <w:sz w:val="24"/>
          <w:szCs w:val="24"/>
        </w:rPr>
        <w:t xml:space="preserve"> as seen in Figure 5.</w:t>
      </w:r>
    </w:p>
    <w:p w14:paraId="432E563E" w14:textId="677E69AE" w:rsidR="009855C6" w:rsidRPr="00CC6848" w:rsidRDefault="009855C6" w:rsidP="00CC6848">
      <w:pPr>
        <w:spacing w:line="360" w:lineRule="auto"/>
        <w:jc w:val="both"/>
        <w:rPr>
          <w:rFonts w:ascii="Times New Roman" w:hAnsi="Times New Roman" w:cs="Times New Roman"/>
          <w:sz w:val="28"/>
          <w:szCs w:val="28"/>
        </w:rPr>
      </w:pPr>
      <w:r w:rsidRPr="00CC6848">
        <w:rPr>
          <w:rFonts w:ascii="Times New Roman" w:hAnsi="Times New Roman" w:cs="Times New Roman"/>
          <w:noProof/>
          <w:sz w:val="28"/>
          <w:szCs w:val="28"/>
        </w:rPr>
        <w:drawing>
          <wp:inline distT="0" distB="0" distL="0" distR="0" wp14:anchorId="77A92BF9" wp14:editId="2C1046AD">
            <wp:extent cx="5593080" cy="3360420"/>
            <wp:effectExtent l="0" t="0" r="7620" b="11430"/>
            <wp:docPr id="50192659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C0391A" w14:textId="77777777" w:rsidR="00FB037F" w:rsidRDefault="00FB037F" w:rsidP="00CC6848">
      <w:pPr>
        <w:spacing w:line="360" w:lineRule="auto"/>
        <w:jc w:val="both"/>
        <w:rPr>
          <w:rFonts w:ascii="Times New Roman" w:hAnsi="Times New Roman" w:cs="Times New Roman"/>
          <w:b/>
          <w:bCs/>
          <w:sz w:val="28"/>
          <w:szCs w:val="28"/>
        </w:rPr>
      </w:pPr>
    </w:p>
    <w:p w14:paraId="7B02B3D3" w14:textId="4957A776" w:rsidR="009855C6" w:rsidRPr="00CC6848" w:rsidRDefault="009855C6"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lastRenderedPageBreak/>
        <w:t>Discussion</w:t>
      </w:r>
    </w:p>
    <w:p w14:paraId="4F3F91F2" w14:textId="72C89114" w:rsidR="009855C6" w:rsidRPr="00CC6848" w:rsidRDefault="009855C6"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The predominance of ADRs in males reflects higher hospital attendance and exposure to high-risk drugs (e.g., antimicrobials for infections). The peak seen in 19-60 years (63.5%) reflects the economically active population who have greater access to healthcare and have more infectious disease burden.</w:t>
      </w:r>
    </w:p>
    <w:p w14:paraId="1C3ADF07" w14:textId="03DF0E4B" w:rsidR="00A579C0" w:rsidRPr="00CC6848" w:rsidRDefault="009855C6"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The gastrointestinal system is the most common organ system affected (42.9%) in this study, which is consistent with reports where antimicrobials disrupt gut flora and irritate the GI mucosa. Antimicrobials being the leading class (59.6%) mirrors national and global trends in tertiary care hospitals, which are attributed to rampant empirical use, especially of drugs like Cephalosporins and Fluoroquinolones.</w:t>
      </w:r>
      <w:r w:rsidR="00A579C0" w:rsidRPr="00CC6848">
        <w:rPr>
          <w:rFonts w:ascii="Times New Roman" w:hAnsi="Times New Roman" w:cs="Times New Roman"/>
          <w:sz w:val="24"/>
          <w:szCs w:val="24"/>
        </w:rPr>
        <w:t xml:space="preserve"> High </w:t>
      </w:r>
      <w:r w:rsidRPr="00CC6848">
        <w:rPr>
          <w:rFonts w:ascii="Times New Roman" w:hAnsi="Times New Roman" w:cs="Times New Roman"/>
          <w:sz w:val="24"/>
          <w:szCs w:val="24"/>
        </w:rPr>
        <w:t>‘Probable/Likely’ (85.3%)</w:t>
      </w:r>
      <w:r w:rsidR="00A579C0" w:rsidRPr="00CC6848">
        <w:rPr>
          <w:rFonts w:ascii="Times New Roman" w:hAnsi="Times New Roman" w:cs="Times New Roman"/>
          <w:sz w:val="24"/>
          <w:szCs w:val="24"/>
        </w:rPr>
        <w:t xml:space="preserve"> in the present study emphasises the need for ongoing clinician education of </w:t>
      </w:r>
      <w:proofErr w:type="spellStart"/>
      <w:r w:rsidR="00A579C0" w:rsidRPr="00CC6848">
        <w:rPr>
          <w:rFonts w:ascii="Times New Roman" w:hAnsi="Times New Roman" w:cs="Times New Roman"/>
          <w:sz w:val="24"/>
          <w:szCs w:val="24"/>
        </w:rPr>
        <w:t>PvPI</w:t>
      </w:r>
      <w:proofErr w:type="spellEnd"/>
      <w:r w:rsidR="00A579C0" w:rsidRPr="00CC6848">
        <w:rPr>
          <w:rFonts w:ascii="Times New Roman" w:hAnsi="Times New Roman" w:cs="Times New Roman"/>
          <w:sz w:val="24"/>
          <w:szCs w:val="24"/>
        </w:rPr>
        <w:t xml:space="preserve"> reporting. </w:t>
      </w:r>
    </w:p>
    <w:p w14:paraId="7DBE4D96" w14:textId="4DEC3D8C" w:rsidR="00A579C0" w:rsidRPr="00CC6848" w:rsidRDefault="00A579C0" w:rsidP="00CC6848">
      <w:pPr>
        <w:spacing w:line="360" w:lineRule="auto"/>
        <w:jc w:val="both"/>
        <w:rPr>
          <w:rFonts w:ascii="Times New Roman" w:hAnsi="Times New Roman" w:cs="Times New Roman"/>
          <w:sz w:val="24"/>
          <w:szCs w:val="24"/>
          <w:vertAlign w:val="superscript"/>
        </w:rPr>
      </w:pPr>
      <w:r w:rsidRPr="00CC6848">
        <w:rPr>
          <w:rFonts w:ascii="Times New Roman" w:hAnsi="Times New Roman" w:cs="Times New Roman"/>
          <w:sz w:val="24"/>
          <w:szCs w:val="24"/>
        </w:rPr>
        <w:t xml:space="preserve">Dutta S et al in 2015 showed the highest incidence in 16-30 years age group (40.65%) while our data shows the peak in 19-60 years age group (82.1%), reflecting a shift towards older adults over time, due to evolving burdens of the disease as well as improved reporting among the population. Antimicrobials were the leading causative class in both studies; however, our study showed a more pronounced contribution (59.6%) as compared to </w:t>
      </w:r>
      <w:r w:rsidR="003E54A9" w:rsidRPr="00CC6848">
        <w:rPr>
          <w:rFonts w:ascii="Times New Roman" w:hAnsi="Times New Roman" w:cs="Times New Roman"/>
          <w:sz w:val="24"/>
          <w:szCs w:val="24"/>
        </w:rPr>
        <w:t>the previous study showing the role of NSAIDS (28.45%) followed by Fluoroquinolones (24.39%), thus underscoring the greater role of antimicrobials while also highlighting potential reductions in NSAID-related ADRs via targeted interventions.</w:t>
      </w:r>
      <w:r w:rsidR="003E54A9" w:rsidRPr="00CC6848">
        <w:rPr>
          <w:rFonts w:ascii="Times New Roman" w:hAnsi="Times New Roman" w:cs="Times New Roman"/>
          <w:sz w:val="24"/>
          <w:szCs w:val="24"/>
          <w:vertAlign w:val="superscript"/>
        </w:rPr>
        <w:t>6</w:t>
      </w:r>
    </w:p>
    <w:p w14:paraId="42231DF0" w14:textId="17C98EE6" w:rsidR="003E54A9" w:rsidRPr="00CC6848" w:rsidRDefault="003E54A9" w:rsidP="00CC6848">
      <w:pPr>
        <w:spacing w:line="360" w:lineRule="auto"/>
        <w:jc w:val="both"/>
        <w:rPr>
          <w:rFonts w:ascii="Times New Roman" w:hAnsi="Times New Roman" w:cs="Times New Roman"/>
          <w:b/>
          <w:bCs/>
          <w:sz w:val="28"/>
          <w:szCs w:val="28"/>
        </w:rPr>
      </w:pPr>
      <w:r w:rsidRPr="00CC6848">
        <w:rPr>
          <w:rFonts w:ascii="Times New Roman" w:hAnsi="Times New Roman" w:cs="Times New Roman"/>
          <w:b/>
          <w:bCs/>
          <w:sz w:val="28"/>
          <w:szCs w:val="28"/>
        </w:rPr>
        <w:t>Conclusion</w:t>
      </w:r>
    </w:p>
    <w:p w14:paraId="6C6EF61F" w14:textId="2014A604" w:rsidR="003E54A9" w:rsidRDefault="003E54A9"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This present one-year study showed that ADRs predominantly affected adult males in the age group of 19-60 years, with Gastrointestinal being the most commonly affected organ systems</w:t>
      </w:r>
      <w:r w:rsidR="00CC6848" w:rsidRPr="00CC6848">
        <w:rPr>
          <w:rFonts w:ascii="Times New Roman" w:hAnsi="Times New Roman" w:cs="Times New Roman"/>
          <w:sz w:val="24"/>
          <w:szCs w:val="24"/>
        </w:rPr>
        <w:t>. Antimicrobials were the most common drugs associated with causing ADRs, and most of the reactions were probable/likely as per WHO-UMC criteria. ADR monitoring has to be an ongoing process, and strengthening pharmacovigilance through awareness, training and feedback is essential for safer drug use and rational prescribing.</w:t>
      </w:r>
    </w:p>
    <w:p w14:paraId="550CED95" w14:textId="77777777" w:rsidR="00E653BF" w:rsidRDefault="00E653BF" w:rsidP="00CC6848">
      <w:pPr>
        <w:spacing w:line="360" w:lineRule="auto"/>
        <w:jc w:val="both"/>
        <w:rPr>
          <w:rFonts w:ascii="Times New Roman" w:hAnsi="Times New Roman" w:cs="Times New Roman"/>
          <w:sz w:val="24"/>
          <w:szCs w:val="24"/>
        </w:rPr>
      </w:pPr>
    </w:p>
    <w:p w14:paraId="53847840" w14:textId="77777777" w:rsidR="00E653BF" w:rsidRDefault="00E653BF" w:rsidP="00CC6848">
      <w:pPr>
        <w:spacing w:line="360" w:lineRule="auto"/>
        <w:jc w:val="both"/>
        <w:rPr>
          <w:rFonts w:ascii="Times New Roman" w:hAnsi="Times New Roman" w:cs="Times New Roman"/>
          <w:sz w:val="24"/>
          <w:szCs w:val="24"/>
        </w:rPr>
      </w:pPr>
    </w:p>
    <w:p w14:paraId="2EBA077A" w14:textId="77777777" w:rsidR="00E653BF" w:rsidRDefault="00E653BF" w:rsidP="00CC6848">
      <w:pPr>
        <w:spacing w:line="360" w:lineRule="auto"/>
        <w:jc w:val="both"/>
        <w:rPr>
          <w:rFonts w:ascii="Times New Roman" w:hAnsi="Times New Roman" w:cs="Times New Roman"/>
          <w:sz w:val="24"/>
          <w:szCs w:val="24"/>
        </w:rPr>
      </w:pPr>
    </w:p>
    <w:p w14:paraId="4D2D9052" w14:textId="77777777" w:rsidR="001B5CE7" w:rsidRDefault="001B5CE7" w:rsidP="00CC6848">
      <w:pPr>
        <w:spacing w:line="360" w:lineRule="auto"/>
        <w:jc w:val="both"/>
        <w:rPr>
          <w:rFonts w:ascii="Times New Roman" w:hAnsi="Times New Roman" w:cs="Times New Roman"/>
          <w:b/>
          <w:bCs/>
          <w:sz w:val="28"/>
          <w:szCs w:val="28"/>
        </w:rPr>
      </w:pPr>
    </w:p>
    <w:p w14:paraId="52EE237B" w14:textId="64E2002C" w:rsidR="00E653BF" w:rsidRDefault="00E653BF" w:rsidP="00CC6848">
      <w:pPr>
        <w:spacing w:line="360" w:lineRule="auto"/>
        <w:jc w:val="both"/>
        <w:rPr>
          <w:rFonts w:ascii="Times New Roman" w:hAnsi="Times New Roman" w:cs="Times New Roman"/>
          <w:b/>
          <w:bCs/>
          <w:sz w:val="28"/>
          <w:szCs w:val="28"/>
        </w:rPr>
      </w:pPr>
      <w:r w:rsidRPr="00E653BF">
        <w:rPr>
          <w:rFonts w:ascii="Times New Roman" w:hAnsi="Times New Roman" w:cs="Times New Roman"/>
          <w:b/>
          <w:bCs/>
          <w:sz w:val="28"/>
          <w:szCs w:val="28"/>
        </w:rPr>
        <w:lastRenderedPageBreak/>
        <w:t>Conflict of Interest</w:t>
      </w:r>
    </w:p>
    <w:p w14:paraId="32A64A76" w14:textId="7B1AEF3D" w:rsidR="00911F04" w:rsidRDefault="00E653BF" w:rsidP="00E653BF">
      <w:pPr>
        <w:spacing w:line="360" w:lineRule="auto"/>
        <w:jc w:val="both"/>
        <w:rPr>
          <w:rFonts w:ascii="Times New Roman" w:hAnsi="Times New Roman" w:cs="Times New Roman"/>
          <w:sz w:val="24"/>
          <w:szCs w:val="24"/>
        </w:rPr>
      </w:pPr>
      <w:r w:rsidRPr="00E653BF">
        <w:rPr>
          <w:rFonts w:ascii="Times New Roman" w:hAnsi="Times New Roman" w:cs="Times New Roman"/>
          <w:sz w:val="24"/>
          <w:szCs w:val="24"/>
        </w:rPr>
        <w:t>No conflict of Interest</w:t>
      </w:r>
    </w:p>
    <w:p w14:paraId="17C30050" w14:textId="77777777" w:rsidR="00E653BF" w:rsidRPr="00E653BF" w:rsidRDefault="00E653BF" w:rsidP="00E653BF">
      <w:pPr>
        <w:spacing w:line="360" w:lineRule="auto"/>
        <w:jc w:val="both"/>
        <w:rPr>
          <w:rFonts w:ascii="Times New Roman" w:hAnsi="Times New Roman" w:cs="Times New Roman"/>
          <w:sz w:val="24"/>
          <w:szCs w:val="24"/>
        </w:rPr>
      </w:pPr>
    </w:p>
    <w:p w14:paraId="24E823F8" w14:textId="73522D71" w:rsidR="00CC6848" w:rsidRPr="00CC6848" w:rsidRDefault="00CC6848" w:rsidP="00CC6848">
      <w:p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REFERENCES</w:t>
      </w:r>
    </w:p>
    <w:p w14:paraId="78B894A4" w14:textId="77777777" w:rsidR="00CC6848" w:rsidRPr="00CC6848" w:rsidRDefault="00CC6848" w:rsidP="00CC6848">
      <w:pPr>
        <w:pStyle w:val="ListParagraph"/>
        <w:numPr>
          <w:ilvl w:val="0"/>
          <w:numId w:val="3"/>
        </w:num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 xml:space="preserve">World Health Organization. Safety of medicines – adverse drug reactions: briefing note. Geneva: World Health Organization; 2018 Jun [cited 2025 Nov 22]. Available from: </w:t>
      </w:r>
      <w:hyperlink r:id="rId10" w:tgtFrame="_new" w:history="1">
        <w:r w:rsidRPr="00CC6848">
          <w:rPr>
            <w:rFonts w:ascii="Times New Roman" w:hAnsi="Times New Roman" w:cs="Times New Roman"/>
            <w:color w:val="0000FF"/>
            <w:sz w:val="24"/>
            <w:szCs w:val="24"/>
            <w:u w:val="single"/>
          </w:rPr>
          <w:t>https://www.who.int/docs/default-source/medicines/safety-of-medicines--adverse-drug-reactions-jun18.pdf</w:t>
        </w:r>
      </w:hyperlink>
      <w:r w:rsidRPr="00CC6848">
        <w:rPr>
          <w:rFonts w:ascii="Times New Roman" w:hAnsi="Times New Roman" w:cs="Times New Roman"/>
          <w:sz w:val="24"/>
          <w:szCs w:val="24"/>
        </w:rPr>
        <w:t>.</w:t>
      </w:r>
    </w:p>
    <w:p w14:paraId="5C2B5695" w14:textId="77777777" w:rsidR="00CC6848" w:rsidRPr="00CC6848" w:rsidRDefault="00CC6848" w:rsidP="00CC6848">
      <w:pPr>
        <w:pStyle w:val="ListParagraph"/>
        <w:numPr>
          <w:ilvl w:val="0"/>
          <w:numId w:val="3"/>
        </w:numPr>
        <w:spacing w:line="360" w:lineRule="auto"/>
        <w:jc w:val="both"/>
        <w:rPr>
          <w:rFonts w:ascii="Times New Roman" w:hAnsi="Times New Roman" w:cs="Times New Roman"/>
          <w:sz w:val="24"/>
          <w:szCs w:val="24"/>
        </w:rPr>
      </w:pPr>
      <w:r w:rsidRPr="00CC6848">
        <w:rPr>
          <w:rFonts w:ascii="Times New Roman" w:hAnsi="Times New Roman" w:cs="Times New Roman"/>
          <w:b/>
          <w:bCs/>
          <w:sz w:val="24"/>
          <w:szCs w:val="24"/>
        </w:rPr>
        <w:t>Edwards IR, Aronson JK.</w:t>
      </w:r>
      <w:r w:rsidRPr="00CC6848">
        <w:rPr>
          <w:rFonts w:ascii="Times New Roman" w:hAnsi="Times New Roman" w:cs="Times New Roman"/>
          <w:sz w:val="24"/>
          <w:szCs w:val="24"/>
        </w:rPr>
        <w:t xml:space="preserve"> Adverse drug reactions: definitions, diagnosis, and management. Lancet. 2000;356(9237):1255-9.</w:t>
      </w:r>
    </w:p>
    <w:p w14:paraId="05A5677A" w14:textId="77777777" w:rsidR="00CC6848" w:rsidRPr="00CC6848" w:rsidRDefault="00CC6848" w:rsidP="00CC6848">
      <w:pPr>
        <w:pStyle w:val="ListParagraph"/>
        <w:numPr>
          <w:ilvl w:val="0"/>
          <w:numId w:val="3"/>
        </w:num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Kalaiselvan V, Prasad T, Bisht A, Singh S, Singh GN. Adverse drug reactions reporting culture in Pharmacovigilance Programme of India. Indian J Med Res. 2013;140(4):563</w:t>
      </w:r>
    </w:p>
    <w:p w14:paraId="357F6287" w14:textId="77777777" w:rsidR="00CC6848" w:rsidRPr="00CC6848" w:rsidRDefault="00CC6848" w:rsidP="00CC6848">
      <w:pPr>
        <w:pStyle w:val="ListParagraph"/>
        <w:numPr>
          <w:ilvl w:val="0"/>
          <w:numId w:val="3"/>
        </w:numPr>
        <w:spacing w:line="360" w:lineRule="auto"/>
        <w:jc w:val="both"/>
        <w:rPr>
          <w:rFonts w:ascii="Times New Roman" w:hAnsi="Times New Roman" w:cs="Times New Roman"/>
          <w:sz w:val="24"/>
          <w:szCs w:val="24"/>
        </w:rPr>
      </w:pPr>
      <w:proofErr w:type="spellStart"/>
      <w:r w:rsidRPr="00CC6848">
        <w:rPr>
          <w:rFonts w:ascii="Times New Roman" w:hAnsi="Times New Roman" w:cs="Times New Roman"/>
          <w:sz w:val="24"/>
          <w:szCs w:val="24"/>
        </w:rPr>
        <w:t>Ayukekbong</w:t>
      </w:r>
      <w:proofErr w:type="spellEnd"/>
      <w:r w:rsidRPr="00CC6848">
        <w:rPr>
          <w:rFonts w:ascii="Times New Roman" w:hAnsi="Times New Roman" w:cs="Times New Roman"/>
          <w:sz w:val="24"/>
          <w:szCs w:val="24"/>
        </w:rPr>
        <w:t xml:space="preserve"> JA, </w:t>
      </w:r>
      <w:proofErr w:type="spellStart"/>
      <w:r w:rsidRPr="00CC6848">
        <w:rPr>
          <w:rFonts w:ascii="Times New Roman" w:hAnsi="Times New Roman" w:cs="Times New Roman"/>
          <w:sz w:val="24"/>
          <w:szCs w:val="24"/>
        </w:rPr>
        <w:t>Ntemgwa</w:t>
      </w:r>
      <w:proofErr w:type="spellEnd"/>
      <w:r w:rsidRPr="00CC6848">
        <w:rPr>
          <w:rFonts w:ascii="Times New Roman" w:hAnsi="Times New Roman" w:cs="Times New Roman"/>
          <w:sz w:val="24"/>
          <w:szCs w:val="24"/>
        </w:rPr>
        <w:t xml:space="preserve"> M, </w:t>
      </w:r>
      <w:proofErr w:type="spellStart"/>
      <w:r w:rsidRPr="00CC6848">
        <w:rPr>
          <w:rFonts w:ascii="Times New Roman" w:hAnsi="Times New Roman" w:cs="Times New Roman"/>
          <w:sz w:val="24"/>
          <w:szCs w:val="24"/>
        </w:rPr>
        <w:t>Atabe</w:t>
      </w:r>
      <w:proofErr w:type="spellEnd"/>
      <w:r w:rsidRPr="00CC6848">
        <w:rPr>
          <w:rFonts w:ascii="Times New Roman" w:hAnsi="Times New Roman" w:cs="Times New Roman"/>
          <w:sz w:val="24"/>
          <w:szCs w:val="24"/>
        </w:rPr>
        <w:t xml:space="preserve"> AN. The threat of antimicrobial resistance in developing countries: causes and control strategies. Antimicrobial Resistance &amp; Infection Control. 2017 May 15;6(1):47.</w:t>
      </w:r>
    </w:p>
    <w:p w14:paraId="72F39926" w14:textId="77777777" w:rsidR="00CC6848" w:rsidRPr="00CC6848" w:rsidRDefault="00CC6848" w:rsidP="00CC6848">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C6848">
        <w:rPr>
          <w:rFonts w:ascii="Times New Roman" w:eastAsia="Times New Roman" w:hAnsi="Times New Roman" w:cs="Times New Roman"/>
          <w:kern w:val="0"/>
          <w:sz w:val="24"/>
          <w:szCs w:val="24"/>
          <w:lang w:eastAsia="en-IN"/>
          <w14:ligatures w14:val="none"/>
        </w:rPr>
        <w:t xml:space="preserve">The use of the WHO-UMC system for standardised case causality assessment [Internet]. Uppsala: Uppsala Monitoring Centre; [cited 2025 Nov 24]. Available from: </w:t>
      </w:r>
      <w:hyperlink r:id="rId11" w:history="1">
        <w:r w:rsidRPr="00CC6848">
          <w:rPr>
            <w:rStyle w:val="Hyperlink"/>
            <w:rFonts w:ascii="Times New Roman" w:eastAsia="Times New Roman" w:hAnsi="Times New Roman" w:cs="Times New Roman"/>
            <w:kern w:val="0"/>
            <w:sz w:val="24"/>
            <w:szCs w:val="24"/>
            <w:lang w:eastAsia="en-IN"/>
            <w14:ligatures w14:val="none"/>
          </w:rPr>
          <w:t>https://who-umc.org/media/u4gjgxvv/who-umc-causality-assessment_new-logo.pdf</w:t>
        </w:r>
      </w:hyperlink>
      <w:r w:rsidRPr="00CC6848">
        <w:rPr>
          <w:rFonts w:ascii="Times New Roman" w:eastAsia="Times New Roman" w:hAnsi="Times New Roman" w:cs="Times New Roman"/>
          <w:kern w:val="0"/>
          <w:sz w:val="24"/>
          <w:szCs w:val="24"/>
          <w:lang w:eastAsia="en-IN"/>
          <w14:ligatures w14:val="none"/>
        </w:rPr>
        <w:t>.</w:t>
      </w:r>
    </w:p>
    <w:p w14:paraId="06474B48" w14:textId="77777777" w:rsidR="00CC6848" w:rsidRPr="00CC6848" w:rsidRDefault="00CC6848" w:rsidP="00CC6848">
      <w:pPr>
        <w:pStyle w:val="ListParagraph"/>
        <w:numPr>
          <w:ilvl w:val="0"/>
          <w:numId w:val="3"/>
        </w:num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 xml:space="preserve">Dutta SB, Beg MA, Bawa S, </w:t>
      </w:r>
      <w:proofErr w:type="spellStart"/>
      <w:r w:rsidRPr="00CC6848">
        <w:rPr>
          <w:rFonts w:ascii="Times New Roman" w:hAnsi="Times New Roman" w:cs="Times New Roman"/>
          <w:sz w:val="24"/>
          <w:szCs w:val="24"/>
        </w:rPr>
        <w:t>Anjoom</w:t>
      </w:r>
      <w:proofErr w:type="spellEnd"/>
      <w:r w:rsidRPr="00CC6848">
        <w:rPr>
          <w:rFonts w:ascii="Times New Roman" w:hAnsi="Times New Roman" w:cs="Times New Roman"/>
          <w:sz w:val="24"/>
          <w:szCs w:val="24"/>
        </w:rPr>
        <w:t xml:space="preserve"> M, Varma A, Singh NK, Mehta AK, Kudesia SK. A retrospective analysis of adverse drug reactions in a tertiary care teaching hospital at Dehradun, Uttarakhand. Int J Basic Clin </w:t>
      </w:r>
      <w:proofErr w:type="spellStart"/>
      <w:r w:rsidRPr="00CC6848">
        <w:rPr>
          <w:rFonts w:ascii="Times New Roman" w:hAnsi="Times New Roman" w:cs="Times New Roman"/>
          <w:sz w:val="24"/>
          <w:szCs w:val="24"/>
        </w:rPr>
        <w:t>Pharmacol</w:t>
      </w:r>
      <w:proofErr w:type="spellEnd"/>
      <w:r w:rsidRPr="00CC6848">
        <w:rPr>
          <w:rFonts w:ascii="Times New Roman" w:hAnsi="Times New Roman" w:cs="Times New Roman"/>
          <w:sz w:val="24"/>
          <w:szCs w:val="24"/>
        </w:rPr>
        <w:t>. 2015 Jan;4(1):121-4.</w:t>
      </w:r>
    </w:p>
    <w:p w14:paraId="781FC206" w14:textId="77777777" w:rsidR="00CC6848" w:rsidRPr="00CC6848" w:rsidRDefault="00CC6848" w:rsidP="00CC6848">
      <w:pPr>
        <w:spacing w:line="360" w:lineRule="auto"/>
        <w:jc w:val="both"/>
        <w:rPr>
          <w:rFonts w:ascii="Times New Roman" w:hAnsi="Times New Roman" w:cs="Times New Roman"/>
          <w:sz w:val="24"/>
          <w:szCs w:val="24"/>
        </w:rPr>
      </w:pPr>
    </w:p>
    <w:p w14:paraId="75635B36" w14:textId="77777777" w:rsidR="00CC6848" w:rsidRPr="00CC6848" w:rsidRDefault="00CC6848" w:rsidP="00CC6848">
      <w:pPr>
        <w:spacing w:line="360" w:lineRule="auto"/>
        <w:jc w:val="both"/>
        <w:rPr>
          <w:rFonts w:ascii="Times New Roman" w:hAnsi="Times New Roman" w:cs="Times New Roman"/>
          <w:sz w:val="24"/>
          <w:szCs w:val="24"/>
        </w:rPr>
      </w:pPr>
    </w:p>
    <w:p w14:paraId="7FAF0A58" w14:textId="77777777" w:rsidR="00CC6848" w:rsidRPr="00CC6848" w:rsidRDefault="00CC6848" w:rsidP="00CC6848">
      <w:pPr>
        <w:spacing w:line="360" w:lineRule="auto"/>
        <w:jc w:val="both"/>
        <w:rPr>
          <w:rFonts w:ascii="Times New Roman" w:hAnsi="Times New Roman" w:cs="Times New Roman"/>
          <w:sz w:val="24"/>
          <w:szCs w:val="24"/>
        </w:rPr>
      </w:pPr>
    </w:p>
    <w:p w14:paraId="792CC92D" w14:textId="77777777" w:rsidR="00CC6848" w:rsidRPr="00CC6848" w:rsidRDefault="00CC6848" w:rsidP="00CC6848">
      <w:pPr>
        <w:spacing w:line="360" w:lineRule="auto"/>
        <w:jc w:val="both"/>
        <w:rPr>
          <w:rFonts w:ascii="Times New Roman" w:hAnsi="Times New Roman" w:cs="Times New Roman"/>
          <w:sz w:val="24"/>
          <w:szCs w:val="24"/>
        </w:rPr>
      </w:pPr>
    </w:p>
    <w:p w14:paraId="3D53AB68" w14:textId="77777777" w:rsidR="00911F04" w:rsidRDefault="00911F04" w:rsidP="00CC6848">
      <w:pPr>
        <w:spacing w:line="360" w:lineRule="auto"/>
        <w:jc w:val="both"/>
        <w:rPr>
          <w:rFonts w:ascii="Times New Roman" w:hAnsi="Times New Roman" w:cs="Times New Roman"/>
          <w:b/>
          <w:bCs/>
          <w:sz w:val="24"/>
          <w:szCs w:val="24"/>
        </w:rPr>
      </w:pPr>
    </w:p>
    <w:p w14:paraId="2FC625B5" w14:textId="77777777" w:rsidR="00911F04" w:rsidRDefault="00911F04" w:rsidP="00CC6848">
      <w:pPr>
        <w:spacing w:line="360" w:lineRule="auto"/>
        <w:jc w:val="both"/>
        <w:rPr>
          <w:rFonts w:ascii="Times New Roman" w:hAnsi="Times New Roman" w:cs="Times New Roman"/>
          <w:b/>
          <w:bCs/>
          <w:sz w:val="24"/>
          <w:szCs w:val="24"/>
        </w:rPr>
      </w:pPr>
    </w:p>
    <w:p w14:paraId="4E2CDEC5" w14:textId="77777777" w:rsidR="00911F04" w:rsidRDefault="00911F04" w:rsidP="00CC6848">
      <w:pPr>
        <w:spacing w:line="360" w:lineRule="auto"/>
        <w:jc w:val="both"/>
        <w:rPr>
          <w:rFonts w:ascii="Times New Roman" w:hAnsi="Times New Roman" w:cs="Times New Roman"/>
          <w:b/>
          <w:bCs/>
          <w:sz w:val="24"/>
          <w:szCs w:val="24"/>
        </w:rPr>
      </w:pPr>
    </w:p>
    <w:p w14:paraId="6B23499C" w14:textId="77777777" w:rsidR="00B02583" w:rsidRDefault="00B02583" w:rsidP="00CC6848">
      <w:pPr>
        <w:spacing w:line="360" w:lineRule="auto"/>
        <w:jc w:val="both"/>
        <w:rPr>
          <w:rFonts w:ascii="Times New Roman" w:hAnsi="Times New Roman" w:cs="Times New Roman"/>
          <w:b/>
          <w:bCs/>
          <w:sz w:val="24"/>
          <w:szCs w:val="24"/>
        </w:rPr>
      </w:pPr>
    </w:p>
    <w:p w14:paraId="0B054A7E" w14:textId="56F75FCE" w:rsidR="00CC6848" w:rsidRPr="00CC6848" w:rsidRDefault="00CC6848" w:rsidP="00CC6848">
      <w:p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lastRenderedPageBreak/>
        <w:t>AUTHORS DETAILS</w:t>
      </w:r>
    </w:p>
    <w:p w14:paraId="650767E3" w14:textId="77777777" w:rsidR="00CC6848" w:rsidRPr="00CC6848" w:rsidRDefault="00CC6848" w:rsidP="00CC6848">
      <w:pPr>
        <w:pStyle w:val="ListParagraph"/>
        <w:numPr>
          <w:ilvl w:val="0"/>
          <w:numId w:val="4"/>
        </w:num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Dr Shakti Bala Dutta, Professor and Head of Department, Pharmacology, SGRRIM&amp;HS, Dehradun</w:t>
      </w:r>
    </w:p>
    <w:p w14:paraId="68295E6E" w14:textId="1AB0B1BF" w:rsidR="00CC6848" w:rsidRPr="00CC6848" w:rsidRDefault="00CC6848" w:rsidP="00CC6848">
      <w:pPr>
        <w:pStyle w:val="ListParagraph"/>
        <w:numPr>
          <w:ilvl w:val="0"/>
          <w:numId w:val="4"/>
        </w:num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 xml:space="preserve">Dr Srihari Dutta, Senior Health &amp; Immunisation Specialist (Supply Chain &amp; Primary Healthcare), Senior Public Health Specialist, United Nations </w:t>
      </w:r>
      <w:proofErr w:type="spellStart"/>
      <w:r w:rsidRPr="00CC6848">
        <w:rPr>
          <w:rFonts w:ascii="Times New Roman" w:hAnsi="Times New Roman" w:cs="Times New Roman"/>
          <w:b/>
          <w:bCs/>
          <w:sz w:val="24"/>
          <w:szCs w:val="24"/>
        </w:rPr>
        <w:t>Childrens</w:t>
      </w:r>
      <w:proofErr w:type="spellEnd"/>
      <w:r w:rsidRPr="00CC6848">
        <w:rPr>
          <w:rFonts w:ascii="Times New Roman" w:hAnsi="Times New Roman" w:cs="Times New Roman"/>
          <w:b/>
          <w:bCs/>
          <w:sz w:val="24"/>
          <w:szCs w:val="24"/>
        </w:rPr>
        <w:t xml:space="preserve"> Emergency Fund, MENARO, Amman</w:t>
      </w:r>
    </w:p>
    <w:p w14:paraId="1618A28A" w14:textId="77777777" w:rsidR="00CC6848" w:rsidRPr="00CC6848" w:rsidRDefault="00CC6848" w:rsidP="00CC6848">
      <w:pPr>
        <w:pStyle w:val="ListParagraph"/>
        <w:numPr>
          <w:ilvl w:val="0"/>
          <w:numId w:val="4"/>
        </w:num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Dr Sushrut Sharma, PG-III Year, Department of Pharmacology, SGRRIM&amp;HS, Dehradun</w:t>
      </w:r>
    </w:p>
    <w:p w14:paraId="4A205648" w14:textId="77777777" w:rsidR="00CC6848" w:rsidRPr="00CC6848" w:rsidRDefault="00CC6848" w:rsidP="00CC6848">
      <w:pPr>
        <w:pStyle w:val="ListParagraph"/>
        <w:numPr>
          <w:ilvl w:val="0"/>
          <w:numId w:val="4"/>
        </w:num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Dr Suman Bala, Professor, Department of Pharmacology, SGRRIM&amp;HS, Dehradun</w:t>
      </w:r>
    </w:p>
    <w:p w14:paraId="559AF34D" w14:textId="77777777" w:rsidR="00CC6848" w:rsidRPr="00CC6848" w:rsidRDefault="00CC6848" w:rsidP="00CC6848">
      <w:pPr>
        <w:pStyle w:val="ListParagraph"/>
        <w:numPr>
          <w:ilvl w:val="0"/>
          <w:numId w:val="4"/>
        </w:num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Dr Pallavi Panwar, PG-III Year, Department of Pharmacology, SGRRIM&amp;HS, Dehradun</w:t>
      </w:r>
    </w:p>
    <w:p w14:paraId="3474C76F" w14:textId="77777777" w:rsidR="00CC6848" w:rsidRDefault="00CC6848" w:rsidP="00CC6848">
      <w:pPr>
        <w:pStyle w:val="ListParagraph"/>
        <w:numPr>
          <w:ilvl w:val="0"/>
          <w:numId w:val="4"/>
        </w:numPr>
        <w:spacing w:line="360" w:lineRule="auto"/>
        <w:jc w:val="both"/>
        <w:rPr>
          <w:rFonts w:ascii="Times New Roman" w:hAnsi="Times New Roman" w:cs="Times New Roman"/>
          <w:b/>
          <w:bCs/>
          <w:sz w:val="24"/>
          <w:szCs w:val="24"/>
        </w:rPr>
      </w:pPr>
      <w:r w:rsidRPr="00CC6848">
        <w:rPr>
          <w:rFonts w:ascii="Times New Roman" w:hAnsi="Times New Roman" w:cs="Times New Roman"/>
          <w:b/>
          <w:bCs/>
          <w:sz w:val="24"/>
          <w:szCs w:val="24"/>
        </w:rPr>
        <w:t>Dr M.A Beg, Professor, Department of Pharmacology, F.H Medical College, Agra</w:t>
      </w:r>
    </w:p>
    <w:p w14:paraId="34F81E1B" w14:textId="77777777" w:rsidR="00445028" w:rsidRPr="00CC6848" w:rsidRDefault="00445028" w:rsidP="00445028">
      <w:pPr>
        <w:pStyle w:val="ListParagraph"/>
        <w:spacing w:line="360" w:lineRule="auto"/>
        <w:jc w:val="both"/>
        <w:rPr>
          <w:rFonts w:ascii="Times New Roman" w:hAnsi="Times New Roman" w:cs="Times New Roman"/>
          <w:b/>
          <w:bCs/>
          <w:sz w:val="24"/>
          <w:szCs w:val="24"/>
        </w:rPr>
      </w:pPr>
    </w:p>
    <w:p w14:paraId="7F13CDD4" w14:textId="77777777" w:rsidR="00CC6848" w:rsidRPr="00CC6848" w:rsidRDefault="00CC6848" w:rsidP="00CC6848">
      <w:pPr>
        <w:spacing w:line="360" w:lineRule="auto"/>
        <w:jc w:val="both"/>
        <w:rPr>
          <w:rFonts w:ascii="Times New Roman" w:hAnsi="Times New Roman" w:cs="Times New Roman"/>
          <w:sz w:val="24"/>
          <w:szCs w:val="24"/>
        </w:rPr>
      </w:pPr>
      <w:r w:rsidRPr="00CC6848">
        <w:rPr>
          <w:rFonts w:ascii="Times New Roman" w:hAnsi="Times New Roman" w:cs="Times New Roman"/>
          <w:sz w:val="24"/>
          <w:szCs w:val="24"/>
        </w:rPr>
        <w:t>*</w:t>
      </w:r>
      <w:r w:rsidRPr="00CC6848">
        <w:rPr>
          <w:rFonts w:ascii="Times New Roman" w:hAnsi="Times New Roman" w:cs="Times New Roman"/>
          <w:b/>
          <w:bCs/>
          <w:sz w:val="24"/>
          <w:szCs w:val="24"/>
        </w:rPr>
        <w:t>Corresponding Author:</w:t>
      </w:r>
      <w:r w:rsidRPr="00CC6848">
        <w:rPr>
          <w:rFonts w:ascii="Times New Roman" w:hAnsi="Times New Roman" w:cs="Times New Roman"/>
          <w:sz w:val="24"/>
          <w:szCs w:val="24"/>
        </w:rPr>
        <w:t xml:space="preserve"> </w:t>
      </w:r>
      <w:r w:rsidRPr="00CC6848">
        <w:rPr>
          <w:rFonts w:ascii="Times New Roman" w:hAnsi="Times New Roman" w:cs="Times New Roman"/>
          <w:b/>
          <w:bCs/>
          <w:sz w:val="24"/>
          <w:szCs w:val="24"/>
        </w:rPr>
        <w:t>Dr Sushrut Sharma</w:t>
      </w:r>
      <w:r w:rsidRPr="00CC6848">
        <w:rPr>
          <w:rFonts w:ascii="Times New Roman" w:hAnsi="Times New Roman" w:cs="Times New Roman"/>
          <w:sz w:val="24"/>
          <w:szCs w:val="24"/>
        </w:rPr>
        <w:t>, Final Year Post Graduate, Pharmacology, Research Scholar, SGRRIM&amp;HS, Dehradun, SGRRU.</w:t>
      </w:r>
    </w:p>
    <w:p w14:paraId="35CC3C6C" w14:textId="77777777" w:rsidR="00CC6848" w:rsidRPr="00CC6848" w:rsidRDefault="00CC6848" w:rsidP="00CC6848">
      <w:pPr>
        <w:spacing w:line="360" w:lineRule="auto"/>
        <w:jc w:val="both"/>
        <w:rPr>
          <w:rFonts w:ascii="Times New Roman" w:hAnsi="Times New Roman" w:cs="Times New Roman"/>
          <w:sz w:val="24"/>
          <w:szCs w:val="24"/>
        </w:rPr>
      </w:pPr>
      <w:r w:rsidRPr="00CC6848">
        <w:rPr>
          <w:rFonts w:ascii="Times New Roman" w:hAnsi="Times New Roman" w:cs="Times New Roman"/>
          <w:b/>
          <w:bCs/>
          <w:sz w:val="24"/>
          <w:szCs w:val="24"/>
        </w:rPr>
        <w:t>Contact Details:</w:t>
      </w:r>
      <w:r w:rsidRPr="00CC6848">
        <w:rPr>
          <w:rFonts w:ascii="Times New Roman" w:hAnsi="Times New Roman" w:cs="Times New Roman"/>
          <w:sz w:val="24"/>
          <w:szCs w:val="24"/>
        </w:rPr>
        <w:t xml:space="preserve"> 8295408782</w:t>
      </w:r>
    </w:p>
    <w:p w14:paraId="7736BF31" w14:textId="77777777" w:rsidR="00CC6848" w:rsidRPr="00CC6848" w:rsidRDefault="00CC6848" w:rsidP="00CC6848">
      <w:pPr>
        <w:spacing w:line="360" w:lineRule="auto"/>
        <w:jc w:val="both"/>
        <w:rPr>
          <w:rFonts w:ascii="Times New Roman" w:hAnsi="Times New Roman" w:cs="Times New Roman"/>
          <w:sz w:val="24"/>
          <w:szCs w:val="24"/>
        </w:rPr>
      </w:pPr>
      <w:r w:rsidRPr="00CC6848">
        <w:rPr>
          <w:rFonts w:ascii="Times New Roman" w:hAnsi="Times New Roman" w:cs="Times New Roman"/>
          <w:b/>
          <w:bCs/>
          <w:sz w:val="24"/>
          <w:szCs w:val="24"/>
        </w:rPr>
        <w:t>Email Address:</w:t>
      </w:r>
      <w:r w:rsidRPr="00CC6848">
        <w:rPr>
          <w:rFonts w:ascii="Times New Roman" w:hAnsi="Times New Roman" w:cs="Times New Roman"/>
          <w:sz w:val="24"/>
          <w:szCs w:val="24"/>
        </w:rPr>
        <w:t xml:space="preserve"> sushrutsharma1997@gmail.com</w:t>
      </w:r>
    </w:p>
    <w:p w14:paraId="0A51B157" w14:textId="77777777" w:rsidR="00CC6848" w:rsidRPr="00CC6848" w:rsidRDefault="00CC6848" w:rsidP="00CC6848">
      <w:pPr>
        <w:spacing w:line="360" w:lineRule="auto"/>
        <w:jc w:val="both"/>
        <w:rPr>
          <w:rFonts w:ascii="Times New Roman" w:hAnsi="Times New Roman" w:cs="Times New Roman"/>
          <w:sz w:val="24"/>
          <w:szCs w:val="24"/>
        </w:rPr>
      </w:pPr>
      <w:r w:rsidRPr="00CC6848">
        <w:rPr>
          <w:rFonts w:ascii="Times New Roman" w:hAnsi="Times New Roman" w:cs="Times New Roman"/>
          <w:b/>
          <w:bCs/>
          <w:sz w:val="24"/>
          <w:szCs w:val="24"/>
        </w:rPr>
        <w:t>ACKNOWLEDGMENTS</w:t>
      </w:r>
      <w:r w:rsidRPr="00CC6848">
        <w:rPr>
          <w:rFonts w:ascii="Times New Roman" w:hAnsi="Times New Roman" w:cs="Times New Roman"/>
          <w:sz w:val="24"/>
          <w:szCs w:val="24"/>
        </w:rPr>
        <w:br/>
        <w:t>We are very grateful to the faculty, SR, JRs and the staff of the Department of Pharmacology, SGRRIM&amp;HS, for their moral support in completing this research.</w:t>
      </w:r>
    </w:p>
    <w:p w14:paraId="058BD1ED" w14:textId="77777777" w:rsidR="00CC6848" w:rsidRPr="00CC6848" w:rsidRDefault="00CC6848" w:rsidP="00CC6848">
      <w:pPr>
        <w:spacing w:line="360" w:lineRule="auto"/>
        <w:jc w:val="both"/>
        <w:rPr>
          <w:rFonts w:ascii="Times New Roman" w:hAnsi="Times New Roman" w:cs="Times New Roman"/>
          <w:sz w:val="28"/>
          <w:szCs w:val="28"/>
        </w:rPr>
      </w:pPr>
    </w:p>
    <w:sectPr w:rsidR="00CC6848" w:rsidRPr="00CC6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995"/>
    <w:multiLevelType w:val="hybridMultilevel"/>
    <w:tmpl w:val="5C06CFDE"/>
    <w:lvl w:ilvl="0" w:tplc="F6AA7E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A1202C"/>
    <w:multiLevelType w:val="hybridMultilevel"/>
    <w:tmpl w:val="64404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595417"/>
    <w:multiLevelType w:val="hybridMultilevel"/>
    <w:tmpl w:val="E3E09A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DA1702"/>
    <w:multiLevelType w:val="multilevel"/>
    <w:tmpl w:val="C44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826962">
    <w:abstractNumId w:val="2"/>
  </w:num>
  <w:num w:numId="2" w16cid:durableId="2040081844">
    <w:abstractNumId w:val="3"/>
  </w:num>
  <w:num w:numId="3" w16cid:durableId="1698461366">
    <w:abstractNumId w:val="0"/>
  </w:num>
  <w:num w:numId="4" w16cid:durableId="47981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5B"/>
    <w:rsid w:val="000032B9"/>
    <w:rsid w:val="0006055B"/>
    <w:rsid w:val="001837E1"/>
    <w:rsid w:val="001B5CE7"/>
    <w:rsid w:val="0024048D"/>
    <w:rsid w:val="003D7869"/>
    <w:rsid w:val="003E54A9"/>
    <w:rsid w:val="00445028"/>
    <w:rsid w:val="00742598"/>
    <w:rsid w:val="00795DC9"/>
    <w:rsid w:val="007B61BA"/>
    <w:rsid w:val="008C4E16"/>
    <w:rsid w:val="00911F04"/>
    <w:rsid w:val="009855C6"/>
    <w:rsid w:val="009874A2"/>
    <w:rsid w:val="00A164E5"/>
    <w:rsid w:val="00A579C0"/>
    <w:rsid w:val="00B02583"/>
    <w:rsid w:val="00B52AF7"/>
    <w:rsid w:val="00C85FFC"/>
    <w:rsid w:val="00CC6848"/>
    <w:rsid w:val="00E00292"/>
    <w:rsid w:val="00E653BF"/>
    <w:rsid w:val="00F5766E"/>
    <w:rsid w:val="00FB03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0381"/>
  <w15:chartTrackingRefBased/>
  <w15:docId w15:val="{2B576B97-1AAE-4F32-9E65-66145EF0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55B"/>
  </w:style>
  <w:style w:type="paragraph" w:styleId="Heading1">
    <w:name w:val="heading 1"/>
    <w:basedOn w:val="Normal"/>
    <w:next w:val="Normal"/>
    <w:link w:val="Heading1Char"/>
    <w:uiPriority w:val="9"/>
    <w:qFormat/>
    <w:rsid w:val="00060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55B"/>
    <w:rPr>
      <w:rFonts w:eastAsiaTheme="majorEastAsia" w:cstheme="majorBidi"/>
      <w:color w:val="272727" w:themeColor="text1" w:themeTint="D8"/>
    </w:rPr>
  </w:style>
  <w:style w:type="paragraph" w:styleId="Title">
    <w:name w:val="Title"/>
    <w:basedOn w:val="Normal"/>
    <w:next w:val="Normal"/>
    <w:link w:val="TitleChar"/>
    <w:uiPriority w:val="10"/>
    <w:qFormat/>
    <w:rsid w:val="00060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55B"/>
    <w:pPr>
      <w:spacing w:before="160"/>
      <w:jc w:val="center"/>
    </w:pPr>
    <w:rPr>
      <w:i/>
      <w:iCs/>
      <w:color w:val="404040" w:themeColor="text1" w:themeTint="BF"/>
    </w:rPr>
  </w:style>
  <w:style w:type="character" w:customStyle="1" w:styleId="QuoteChar">
    <w:name w:val="Quote Char"/>
    <w:basedOn w:val="DefaultParagraphFont"/>
    <w:link w:val="Quote"/>
    <w:uiPriority w:val="29"/>
    <w:rsid w:val="0006055B"/>
    <w:rPr>
      <w:i/>
      <w:iCs/>
      <w:color w:val="404040" w:themeColor="text1" w:themeTint="BF"/>
    </w:rPr>
  </w:style>
  <w:style w:type="paragraph" w:styleId="ListParagraph">
    <w:name w:val="List Paragraph"/>
    <w:basedOn w:val="Normal"/>
    <w:uiPriority w:val="34"/>
    <w:qFormat/>
    <w:rsid w:val="0006055B"/>
    <w:pPr>
      <w:ind w:left="720"/>
      <w:contextualSpacing/>
    </w:pPr>
  </w:style>
  <w:style w:type="character" w:styleId="IntenseEmphasis">
    <w:name w:val="Intense Emphasis"/>
    <w:basedOn w:val="DefaultParagraphFont"/>
    <w:uiPriority w:val="21"/>
    <w:qFormat/>
    <w:rsid w:val="0006055B"/>
    <w:rPr>
      <w:i/>
      <w:iCs/>
      <w:color w:val="2F5496" w:themeColor="accent1" w:themeShade="BF"/>
    </w:rPr>
  </w:style>
  <w:style w:type="paragraph" w:styleId="IntenseQuote">
    <w:name w:val="Intense Quote"/>
    <w:basedOn w:val="Normal"/>
    <w:next w:val="Normal"/>
    <w:link w:val="IntenseQuoteChar"/>
    <w:uiPriority w:val="30"/>
    <w:qFormat/>
    <w:rsid w:val="00060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55B"/>
    <w:rPr>
      <w:i/>
      <w:iCs/>
      <w:color w:val="2F5496" w:themeColor="accent1" w:themeShade="BF"/>
    </w:rPr>
  </w:style>
  <w:style w:type="character" w:styleId="IntenseReference">
    <w:name w:val="Intense Reference"/>
    <w:basedOn w:val="DefaultParagraphFont"/>
    <w:uiPriority w:val="32"/>
    <w:qFormat/>
    <w:rsid w:val="0006055B"/>
    <w:rPr>
      <w:b/>
      <w:bCs/>
      <w:smallCaps/>
      <w:color w:val="2F5496" w:themeColor="accent1" w:themeShade="BF"/>
      <w:spacing w:val="5"/>
    </w:rPr>
  </w:style>
  <w:style w:type="character" w:styleId="Hyperlink">
    <w:name w:val="Hyperlink"/>
    <w:basedOn w:val="DefaultParagraphFont"/>
    <w:uiPriority w:val="99"/>
    <w:unhideWhenUsed/>
    <w:rsid w:val="00CC6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who-umc.org/media/u4gjgxvv/who-umc-causality-assessment_new-logo.pdf" TargetMode="External"/><Relationship Id="rId5" Type="http://schemas.openxmlformats.org/officeDocument/2006/relationships/chart" Target="charts/chart1.xml"/><Relationship Id="rId10" Type="http://schemas.openxmlformats.org/officeDocument/2006/relationships/hyperlink" Target="https://www.who.int/docs/default-source/medicines/safety-of-medicines--adverse-drug-reactions-jun18.pdf?utm_source=chatgpt.com" TargetMode="Externa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Figure 1: Demographic Profile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805-495E-8129-C10A07B3862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805-495E-8129-C10A07B38620}"/>
              </c:ext>
            </c:extLst>
          </c:dPt>
          <c:dLbls>
            <c:dLbl>
              <c:idx val="0"/>
              <c:layout>
                <c:manualLayout>
                  <c:x val="-0.13262501278249308"/>
                  <c:y val="-0.10196993038913622"/>
                </c:manualLayout>
              </c:layout>
              <c:tx>
                <c:rich>
                  <a:bodyPr/>
                  <a:lstStyle/>
                  <a:p>
                    <a:r>
                      <a:rPr lang="en-US" sz="1400" b="1">
                        <a:solidFill>
                          <a:schemeClr val="bg1"/>
                        </a:solidFill>
                        <a:latin typeface="Times New Roman" panose="02020603050405020304" pitchFamily="18" charset="0"/>
                        <a:cs typeface="Times New Roman" panose="02020603050405020304" pitchFamily="18" charset="0"/>
                      </a:rPr>
                      <a:t>60.3%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805-495E-8129-C10A07B38620}"/>
                </c:ext>
              </c:extLst>
            </c:dLbl>
            <c:dLbl>
              <c:idx val="1"/>
              <c:layout>
                <c:manualLayout>
                  <c:x val="0.1332020997375328"/>
                  <c:y val="6.5775490699532119E-2"/>
                </c:manualLayout>
              </c:layout>
              <c:tx>
                <c:rich>
                  <a:bodyPr/>
                  <a:lstStyle/>
                  <a:p>
                    <a:r>
                      <a:rPr lang="en-US" sz="1400" b="1">
                        <a:solidFill>
                          <a:schemeClr val="bg1"/>
                        </a:solidFill>
                        <a:latin typeface="Times New Roman" panose="02020603050405020304" pitchFamily="18" charset="0"/>
                        <a:cs typeface="Times New Roman" panose="02020603050405020304" pitchFamily="18" charset="0"/>
                      </a:rPr>
                      <a:t>39.7%</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805-495E-8129-C10A07B386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Sheet1!$A$2:$A$3</c:f>
              <c:strCache>
                <c:ptCount val="2"/>
                <c:pt idx="0">
                  <c:v>Males</c:v>
                </c:pt>
                <c:pt idx="1">
                  <c:v>Females</c:v>
                </c:pt>
              </c:strCache>
            </c:strRef>
          </c:cat>
          <c:val>
            <c:numRef>
              <c:f>Sheet1!$B$2:$B$3</c:f>
              <c:numCache>
                <c:formatCode>0.00%</c:formatCode>
                <c:ptCount val="2"/>
                <c:pt idx="0">
                  <c:v>0.60299999999999998</c:v>
                </c:pt>
                <c:pt idx="1">
                  <c:v>0.39700000000000002</c:v>
                </c:pt>
              </c:numCache>
            </c:numRef>
          </c:val>
          <c:extLst>
            <c:ext xmlns:c16="http://schemas.microsoft.com/office/drawing/2014/chart" uri="{C3380CC4-5D6E-409C-BE32-E72D297353CC}">
              <c16:uniqueId val="{00000004-8805-495E-8129-C10A07B3862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Figure 2: Age Distribution</a:t>
            </a:r>
          </a:p>
        </c:rich>
      </c:tx>
      <c:layout>
        <c:manualLayout>
          <c:xMode val="edge"/>
          <c:yMode val="edge"/>
          <c:x val="0.31393402448509905"/>
          <c:y val="1.984139577011311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6.7658998646820028E-3"/>
                  <c:y val="1.4733202430300747E-2"/>
                </c:manualLayout>
              </c:layout>
              <c:tx>
                <c:rich>
                  <a:bodyPr/>
                  <a:lstStyle/>
                  <a:p>
                    <a:r>
                      <a:rPr lang="en-US" sz="1200" b="1">
                        <a:latin typeface="Times New Roman" panose="02020603050405020304" pitchFamily="18" charset="0"/>
                        <a:cs typeface="Times New Roman" panose="02020603050405020304" pitchFamily="18" charset="0"/>
                      </a:rPr>
                      <a:t>1.8%</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985-4733-8B9E-A9EDE06A5B91}"/>
                </c:ext>
              </c:extLst>
            </c:dLbl>
            <c:dLbl>
              <c:idx val="1"/>
              <c:layout>
                <c:manualLayout>
                  <c:x val="6.7658998646819611E-3"/>
                  <c:y val="1.2306207316025044E-2"/>
                </c:manualLayout>
              </c:layout>
              <c:tx>
                <c:rich>
                  <a:bodyPr/>
                  <a:lstStyle/>
                  <a:p>
                    <a:r>
                      <a:rPr lang="en-US" sz="1200" b="1">
                        <a:latin typeface="Times New Roman" panose="02020603050405020304" pitchFamily="18" charset="0"/>
                        <a:cs typeface="Times New Roman" panose="02020603050405020304" pitchFamily="18" charset="0"/>
                      </a:rPr>
                      <a:t>3.3%</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985-4733-8B9E-A9EDE06A5B91}"/>
                </c:ext>
              </c:extLst>
            </c:dLbl>
            <c:dLbl>
              <c:idx val="2"/>
              <c:layout>
                <c:manualLayout>
                  <c:x val="4.5105999097879192E-3"/>
                  <c:y val="7.6472493834995681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t>82.1%</a:t>
                    </a:r>
                  </a:p>
                  <a:p>
                    <a:pPr>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8.6141270568513173E-2"/>
                      <c:h val="6.983643732190907E-2"/>
                    </c:manualLayout>
                  </c15:layout>
                  <c15:showDataLabelsRange val="0"/>
                </c:ext>
                <c:ext xmlns:c16="http://schemas.microsoft.com/office/drawing/2014/chart" uri="{C3380CC4-5D6E-409C-BE32-E72D297353CC}">
                  <c16:uniqueId val="{00000002-4985-4733-8B9E-A9EDE06A5B91}"/>
                </c:ext>
              </c:extLst>
            </c:dLbl>
            <c:dLbl>
              <c:idx val="3"/>
              <c:layout>
                <c:manualLayout>
                  <c:x val="2.2552999548941664E-3"/>
                  <c:y val="6.2223235949410607E-2"/>
                </c:manualLayout>
              </c:layout>
              <c:tx>
                <c:rich>
                  <a:bodyPr/>
                  <a:lstStyle/>
                  <a:p>
                    <a:r>
                      <a:rPr lang="en-US" sz="1200" b="1">
                        <a:latin typeface="Times New Roman" panose="02020603050405020304" pitchFamily="18" charset="0"/>
                        <a:cs typeface="Times New Roman" panose="02020603050405020304" pitchFamily="18" charset="0"/>
                      </a:rPr>
                      <a:t>12.8%</a:t>
                    </a:r>
                  </a:p>
                  <a:p>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985-4733-8B9E-A9EDE06A5B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0-12 Years</c:v>
                </c:pt>
                <c:pt idx="1">
                  <c:v>13-18 Years</c:v>
                </c:pt>
                <c:pt idx="2">
                  <c:v>19-60 Years</c:v>
                </c:pt>
                <c:pt idx="3">
                  <c:v>&gt;60 Years</c:v>
                </c:pt>
              </c:strCache>
            </c:strRef>
          </c:cat>
          <c:val>
            <c:numRef>
              <c:f>Sheet1!$B$2:$B$5</c:f>
              <c:numCache>
                <c:formatCode>0.00%</c:formatCode>
                <c:ptCount val="4"/>
                <c:pt idx="0">
                  <c:v>1.7999999999999999E-2</c:v>
                </c:pt>
                <c:pt idx="1">
                  <c:v>3.3000000000000002E-2</c:v>
                </c:pt>
                <c:pt idx="2">
                  <c:v>0.82099999999999995</c:v>
                </c:pt>
                <c:pt idx="3">
                  <c:v>0.128</c:v>
                </c:pt>
              </c:numCache>
            </c:numRef>
          </c:val>
          <c:extLst>
            <c:ext xmlns:c16="http://schemas.microsoft.com/office/drawing/2014/chart" uri="{C3380CC4-5D6E-409C-BE32-E72D297353CC}">
              <c16:uniqueId val="{00000004-4985-4733-8B9E-A9EDE06A5B91}"/>
            </c:ext>
          </c:extLst>
        </c:ser>
        <c:dLbls>
          <c:dLblPos val="inEnd"/>
          <c:showLegendKey val="0"/>
          <c:showVal val="1"/>
          <c:showCatName val="0"/>
          <c:showSerName val="0"/>
          <c:showPercent val="0"/>
          <c:showBubbleSize val="0"/>
        </c:dLbls>
        <c:gapWidth val="100"/>
        <c:overlap val="-24"/>
        <c:axId val="1690147487"/>
        <c:axId val="1690170527"/>
      </c:barChart>
      <c:catAx>
        <c:axId val="169014748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170527"/>
        <c:crosses val="autoZero"/>
        <c:auto val="1"/>
        <c:lblAlgn val="ctr"/>
        <c:lblOffset val="100"/>
        <c:noMultiLvlLbl val="0"/>
      </c:catAx>
      <c:valAx>
        <c:axId val="1690170527"/>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90147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Figure</a:t>
            </a:r>
            <a:r>
              <a:rPr lang="en-US" baseline="0"/>
              <a:t> 3: </a:t>
            </a:r>
            <a:r>
              <a:rPr lang="en-US"/>
              <a:t>Systemwise ADRs Reported (%age)</a:t>
            </a:r>
          </a:p>
        </c:rich>
      </c:tx>
      <c:layout>
        <c:manualLayout>
          <c:xMode val="edge"/>
          <c:yMode val="edge"/>
          <c:x val="0.21055942093841787"/>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rgbClr val="92D050"/>
            </a:solidFill>
            <a:ln>
              <a:noFill/>
            </a:ln>
            <a:effectLst/>
          </c:spPr>
          <c:invertIfNegative val="0"/>
          <c:dLbls>
            <c:dLbl>
              <c:idx val="0"/>
              <c:tx>
                <c:rich>
                  <a:bodyPr/>
                  <a:lstStyle/>
                  <a:p>
                    <a:r>
                      <a:rPr lang="en-US"/>
                      <a:t>42.9%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EC9-4DE4-9CFC-E9571C6F12A7}"/>
                </c:ext>
              </c:extLst>
            </c:dLbl>
            <c:dLbl>
              <c:idx val="1"/>
              <c:layout>
                <c:manualLayout>
                  <c:x val="6.765899864681982E-3"/>
                  <c:y val="3.9682539682539316E-3"/>
                </c:manualLayout>
              </c:layout>
              <c:tx>
                <c:rich>
                  <a:bodyPr/>
                  <a:lstStyle/>
                  <a:p>
                    <a:r>
                      <a:rPr lang="en-US"/>
                      <a:t>32.1%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EC9-4DE4-9CFC-E9571C6F12A7}"/>
                </c:ext>
              </c:extLst>
            </c:dLbl>
            <c:dLbl>
              <c:idx val="2"/>
              <c:layout>
                <c:manualLayout>
                  <c:x val="4.5105999097880016E-3"/>
                  <c:y val="0"/>
                </c:manualLayout>
              </c:layout>
              <c:tx>
                <c:rich>
                  <a:bodyPr/>
                  <a:lstStyle/>
                  <a:p>
                    <a:r>
                      <a:rPr lang="en-US"/>
                      <a:t>15.4%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EC9-4DE4-9CFC-E9571C6F12A7}"/>
                </c:ext>
              </c:extLst>
            </c:dLbl>
            <c:dLbl>
              <c:idx val="3"/>
              <c:layout>
                <c:manualLayout>
                  <c:x val="2.2552999548940008E-3"/>
                  <c:y val="7.275048233154282E-17"/>
                </c:manualLayout>
              </c:layout>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EC9-4DE4-9CFC-E9571C6F12A7}"/>
                </c:ext>
              </c:extLst>
            </c:dLbl>
            <c:dLbl>
              <c:idx val="4"/>
              <c:layout>
                <c:manualLayout>
                  <c:x val="2.2552999548940008E-3"/>
                  <c:y val="7.9365079365077904E-3"/>
                </c:manualLayout>
              </c:layout>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EC9-4DE4-9CFC-E9571C6F12A7}"/>
                </c:ext>
              </c:extLst>
            </c:dLbl>
            <c:dLbl>
              <c:idx val="5"/>
              <c:layout>
                <c:manualLayout>
                  <c:x val="-8.2693376398506038E-17"/>
                  <c:y val="3.968253968253968E-3"/>
                </c:manualLayout>
              </c:layout>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EC9-4DE4-9CFC-E9571C6F12A7}"/>
                </c:ext>
              </c:extLst>
            </c:dLbl>
            <c:dLbl>
              <c:idx val="6"/>
              <c:layout>
                <c:manualLayout>
                  <c:x val="0"/>
                  <c:y val="0"/>
                </c:manualLayout>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EC9-4DE4-9CFC-E9571C6F12A7}"/>
                </c:ext>
              </c:extLst>
            </c:dLbl>
            <c:dLbl>
              <c:idx val="7"/>
              <c:layout>
                <c:manualLayout>
                  <c:x val="4.5105999097880016E-3"/>
                  <c:y val="1.190491813523309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0.6%</a:t>
                    </a:r>
                  </a:p>
                  <a:p>
                    <a:pPr>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1456923770861524E-2"/>
                      <c:h val="7.8134920634920613E-2"/>
                    </c:manualLayout>
                  </c15:layout>
                  <c15:showDataLabelsRange val="0"/>
                </c:ext>
                <c:ext xmlns:c16="http://schemas.microsoft.com/office/drawing/2014/chart" uri="{C3380CC4-5D6E-409C-BE32-E72D297353CC}">
                  <c16:uniqueId val="{00000008-CEC9-4DE4-9CFC-E9571C6F12A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GIT</c:v>
                </c:pt>
                <c:pt idx="1">
                  <c:v>Cutaneous</c:v>
                </c:pt>
                <c:pt idx="2">
                  <c:v>CNS</c:v>
                </c:pt>
                <c:pt idx="3">
                  <c:v>Respiratory</c:v>
                </c:pt>
                <c:pt idx="4">
                  <c:v>CVS</c:v>
                </c:pt>
                <c:pt idx="5">
                  <c:v>Ophthalmology</c:v>
                </c:pt>
                <c:pt idx="6">
                  <c:v>Haematology</c:v>
                </c:pt>
                <c:pt idx="7">
                  <c:v>Musculoskeletal</c:v>
                </c:pt>
              </c:strCache>
            </c:strRef>
          </c:cat>
          <c:val>
            <c:numRef>
              <c:f>Sheet1!$B$2:$B$9</c:f>
              <c:numCache>
                <c:formatCode>0.00%</c:formatCode>
                <c:ptCount val="8"/>
                <c:pt idx="0">
                  <c:v>0.42899999999999999</c:v>
                </c:pt>
                <c:pt idx="1">
                  <c:v>0.32100000000000001</c:v>
                </c:pt>
                <c:pt idx="2">
                  <c:v>0.154</c:v>
                </c:pt>
                <c:pt idx="3">
                  <c:v>3.2000000000000001E-2</c:v>
                </c:pt>
                <c:pt idx="4">
                  <c:v>2.5999999999999999E-2</c:v>
                </c:pt>
                <c:pt idx="5">
                  <c:v>1.9E-2</c:v>
                </c:pt>
                <c:pt idx="6">
                  <c:v>1.2999999999999999E-2</c:v>
                </c:pt>
                <c:pt idx="7">
                  <c:v>6.0000000000000001E-3</c:v>
                </c:pt>
              </c:numCache>
            </c:numRef>
          </c:val>
          <c:extLst>
            <c:ext xmlns:c16="http://schemas.microsoft.com/office/drawing/2014/chart" uri="{C3380CC4-5D6E-409C-BE32-E72D297353CC}">
              <c16:uniqueId val="{00000000-CEC9-4DE4-9CFC-E9571C6F12A7}"/>
            </c:ext>
          </c:extLst>
        </c:ser>
        <c:dLbls>
          <c:showLegendKey val="0"/>
          <c:showVal val="0"/>
          <c:showCatName val="0"/>
          <c:showSerName val="0"/>
          <c:showPercent val="0"/>
          <c:showBubbleSize val="0"/>
        </c:dLbls>
        <c:gapWidth val="219"/>
        <c:overlap val="-27"/>
        <c:axId val="1929253167"/>
        <c:axId val="1929236847"/>
      </c:barChart>
      <c:catAx>
        <c:axId val="192925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9236847"/>
        <c:crosses val="autoZero"/>
        <c:auto val="1"/>
        <c:lblAlgn val="ctr"/>
        <c:lblOffset val="100"/>
        <c:noMultiLvlLbl val="0"/>
      </c:catAx>
      <c:valAx>
        <c:axId val="1929236847"/>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9292531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Figure 4: Drugs causing ADRs (%age)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dLbls>
            <c:dLbl>
              <c:idx val="0"/>
              <c:tx>
                <c:rich>
                  <a:bodyPr/>
                  <a:lstStyle/>
                  <a:p>
                    <a:r>
                      <a:rPr lang="en-US"/>
                      <a:t>59.6%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806-4FC4-86A5-727D3BDDA87A}"/>
                </c:ext>
              </c:extLst>
            </c:dLbl>
            <c:dLbl>
              <c:idx val="1"/>
              <c:tx>
                <c:rich>
                  <a:bodyPr/>
                  <a:lstStyle/>
                  <a:p>
                    <a:r>
                      <a:rPr lang="en-US"/>
                      <a:t>9.6%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806-4FC4-86A5-727D3BDDA87A}"/>
                </c:ext>
              </c:extLst>
            </c:dLbl>
            <c:dLbl>
              <c:idx val="2"/>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806-4FC4-86A5-727D3BDDA87A}"/>
                </c:ext>
              </c:extLst>
            </c:dLbl>
            <c:dLbl>
              <c:idx val="3"/>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806-4FC4-86A5-727D3BDDA87A}"/>
                </c:ext>
              </c:extLst>
            </c:dLbl>
            <c:dLbl>
              <c:idx val="4"/>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806-4FC4-86A5-727D3BDDA87A}"/>
                </c:ext>
              </c:extLst>
            </c:dLbl>
            <c:dLbl>
              <c:idx val="5"/>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806-4FC4-86A5-727D3BDDA87A}"/>
                </c:ext>
              </c:extLst>
            </c:dLbl>
            <c:dLbl>
              <c:idx val="6"/>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806-4FC4-86A5-727D3BDDA87A}"/>
                </c:ext>
              </c:extLst>
            </c:dLbl>
            <c:dLbl>
              <c:idx val="7"/>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806-4FC4-86A5-727D3BDDA87A}"/>
                </c:ext>
              </c:extLst>
            </c:dLbl>
            <c:dLbl>
              <c:idx val="8"/>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806-4FC4-86A5-727D3BDDA8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Antimicrobials</c:v>
                </c:pt>
                <c:pt idx="1">
                  <c:v>CNS Drugs</c:v>
                </c:pt>
                <c:pt idx="2">
                  <c:v>Analgesics</c:v>
                </c:pt>
                <c:pt idx="3">
                  <c:v>CVS Drugs</c:v>
                </c:pt>
                <c:pt idx="4">
                  <c:v>GI Drugs</c:v>
                </c:pt>
                <c:pt idx="5">
                  <c:v>Miscellaneous</c:v>
                </c:pt>
                <c:pt idx="6">
                  <c:v>Endocrine Drugs</c:v>
                </c:pt>
                <c:pt idx="7">
                  <c:v>MV &amp; Supplements</c:v>
                </c:pt>
                <c:pt idx="8">
                  <c:v>Respiratory Drugs</c:v>
                </c:pt>
              </c:strCache>
            </c:strRef>
          </c:cat>
          <c:val>
            <c:numRef>
              <c:f>Sheet1!$B$2:$B$10</c:f>
              <c:numCache>
                <c:formatCode>0.00%</c:formatCode>
                <c:ptCount val="9"/>
                <c:pt idx="0">
                  <c:v>0.59599999999999997</c:v>
                </c:pt>
                <c:pt idx="1">
                  <c:v>9.6000000000000002E-2</c:v>
                </c:pt>
                <c:pt idx="2">
                  <c:v>8.3000000000000004E-2</c:v>
                </c:pt>
                <c:pt idx="3">
                  <c:v>7.6999999999999999E-2</c:v>
                </c:pt>
                <c:pt idx="4">
                  <c:v>4.4999999999999998E-2</c:v>
                </c:pt>
                <c:pt idx="5">
                  <c:v>3.9E-2</c:v>
                </c:pt>
                <c:pt idx="6">
                  <c:v>3.2000000000000001E-2</c:v>
                </c:pt>
                <c:pt idx="7">
                  <c:v>1.9E-2</c:v>
                </c:pt>
                <c:pt idx="8">
                  <c:v>1.2999999999999999E-2</c:v>
                </c:pt>
              </c:numCache>
            </c:numRef>
          </c:val>
          <c:extLst>
            <c:ext xmlns:c16="http://schemas.microsoft.com/office/drawing/2014/chart" uri="{C3380CC4-5D6E-409C-BE32-E72D297353CC}">
              <c16:uniqueId val="{00000000-B806-4FC4-86A5-727D3BDDA87A}"/>
            </c:ext>
          </c:extLst>
        </c:ser>
        <c:dLbls>
          <c:showLegendKey val="0"/>
          <c:showVal val="0"/>
          <c:showCatName val="0"/>
          <c:showSerName val="0"/>
          <c:showPercent val="0"/>
          <c:showBubbleSize val="0"/>
        </c:dLbls>
        <c:gapWidth val="100"/>
        <c:overlap val="-24"/>
        <c:axId val="1929262767"/>
        <c:axId val="1929266127"/>
      </c:barChart>
      <c:catAx>
        <c:axId val="192926276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29266127"/>
        <c:crosses val="autoZero"/>
        <c:auto val="1"/>
        <c:lblAlgn val="ctr"/>
        <c:lblOffset val="100"/>
        <c:noMultiLvlLbl val="0"/>
      </c:catAx>
      <c:valAx>
        <c:axId val="1929266127"/>
        <c:scaling>
          <c:orientation val="minMax"/>
        </c:scaling>
        <c:delete val="1"/>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19292627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Figure 5: WHO Causality Assessment</a:t>
            </a:r>
            <a:r>
              <a:rPr lang="en-US" b="1" baseline="0">
                <a:latin typeface="Times New Roman" panose="02020603050405020304" pitchFamily="18" charset="0"/>
                <a:cs typeface="Times New Roman" panose="02020603050405020304" pitchFamily="18" charset="0"/>
              </a:rPr>
              <a:t> (%age)</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1"/>
              </a:solidFill>
              <a:ln>
                <a:noFill/>
              </a:ln>
              <a:effectLst/>
              <a:scene3d>
                <a:camera prst="orthographicFront"/>
                <a:lightRig rig="threePt" dir="t"/>
              </a:scene3d>
              <a:sp3d>
                <a:bevelT/>
              </a:sp3d>
            </c:spPr>
            <c:extLst>
              <c:ext xmlns:c16="http://schemas.microsoft.com/office/drawing/2014/chart" uri="{C3380CC4-5D6E-409C-BE32-E72D297353CC}">
                <c16:uniqueId val="{00000001-DBB8-4A74-AC1B-9FB09A1C7F57}"/>
              </c:ext>
            </c:extLst>
          </c:dPt>
          <c:dPt>
            <c:idx val="1"/>
            <c:invertIfNegative val="0"/>
            <c:bubble3D val="0"/>
            <c:spPr>
              <a:solidFill>
                <a:schemeClr val="accent1"/>
              </a:solidFill>
              <a:ln>
                <a:noFill/>
              </a:ln>
              <a:effectLst/>
              <a:scene3d>
                <a:camera prst="orthographicFront"/>
                <a:lightRig rig="threePt" dir="t"/>
              </a:scene3d>
              <a:sp3d>
                <a:bevelT/>
              </a:sp3d>
            </c:spPr>
            <c:extLst>
              <c:ext xmlns:c16="http://schemas.microsoft.com/office/drawing/2014/chart" uri="{C3380CC4-5D6E-409C-BE32-E72D297353CC}">
                <c16:uniqueId val="{00000003-DBB8-4A74-AC1B-9FB09A1C7F57}"/>
              </c:ext>
            </c:extLst>
          </c:dPt>
          <c:dPt>
            <c:idx val="2"/>
            <c:invertIfNegative val="0"/>
            <c:bubble3D val="0"/>
            <c:spPr>
              <a:solidFill>
                <a:schemeClr val="accent1"/>
              </a:solidFill>
              <a:ln>
                <a:noFill/>
              </a:ln>
              <a:effectLst/>
              <a:scene3d>
                <a:camera prst="orthographicFront"/>
                <a:lightRig rig="threePt" dir="t"/>
              </a:scene3d>
              <a:sp3d>
                <a:bevelT/>
              </a:sp3d>
            </c:spPr>
            <c:extLst>
              <c:ext xmlns:c16="http://schemas.microsoft.com/office/drawing/2014/chart" uri="{C3380CC4-5D6E-409C-BE32-E72D297353CC}">
                <c16:uniqueId val="{00000005-DBB8-4A74-AC1B-9FB09A1C7F57}"/>
              </c:ext>
            </c:extLst>
          </c:dPt>
          <c:dLbls>
            <c:dLbl>
              <c:idx val="0"/>
              <c:layout>
                <c:manualLayout>
                  <c:x val="-2.0814170694310614E-17"/>
                  <c:y val="-0.39492753623188415"/>
                </c:manualLayout>
              </c:layout>
              <c:tx>
                <c:rich>
                  <a:bodyPr/>
                  <a:lstStyle/>
                  <a:p>
                    <a:r>
                      <a:rPr lang="en-US" sz="1050" b="1">
                        <a:latin typeface="Times New Roman" panose="02020603050405020304" pitchFamily="18" charset="0"/>
                        <a:cs typeface="Times New Roman" panose="02020603050405020304" pitchFamily="18" charset="0"/>
                      </a:rPr>
                      <a:t>85.3%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BB8-4A74-AC1B-9FB09A1C7F57}"/>
                </c:ext>
              </c:extLst>
            </c:dLbl>
            <c:dLbl>
              <c:idx val="1"/>
              <c:layout>
                <c:manualLayout>
                  <c:x val="-2.2706630336058963E-3"/>
                  <c:y val="-6.8840579710144928E-2"/>
                </c:manualLayout>
              </c:layout>
              <c:tx>
                <c:rich>
                  <a:bodyPr/>
                  <a:lstStyle/>
                  <a:p>
                    <a:r>
                      <a:rPr lang="en-US" sz="1100" b="1">
                        <a:latin typeface="Times New Roman" panose="02020603050405020304" pitchFamily="18" charset="0"/>
                        <a:cs typeface="Times New Roman" panose="02020603050405020304" pitchFamily="18" charset="0"/>
                      </a:rPr>
                      <a:t>10.9%</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BB8-4A74-AC1B-9FB09A1C7F57}"/>
                </c:ext>
              </c:extLst>
            </c:dLbl>
            <c:dLbl>
              <c:idx val="2"/>
              <c:layout>
                <c:manualLayout>
                  <c:x val="0"/>
                  <c:y val="-4.3478260869565216E-2"/>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3.8%</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BB8-4A74-AC1B-9FB09A1C7F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Probable/Likely</c:v>
                </c:pt>
                <c:pt idx="1">
                  <c:v>Possible</c:v>
                </c:pt>
                <c:pt idx="2">
                  <c:v>Uncertain</c:v>
                </c:pt>
              </c:strCache>
            </c:strRef>
          </c:cat>
          <c:val>
            <c:numRef>
              <c:f>Sheet1!$B$2:$B$4</c:f>
              <c:numCache>
                <c:formatCode>0.00%</c:formatCode>
                <c:ptCount val="3"/>
                <c:pt idx="0">
                  <c:v>0.85299999999999998</c:v>
                </c:pt>
                <c:pt idx="1">
                  <c:v>0.109</c:v>
                </c:pt>
                <c:pt idx="2">
                  <c:v>3.7999999999999999E-2</c:v>
                </c:pt>
              </c:numCache>
            </c:numRef>
          </c:val>
          <c:extLst>
            <c:ext xmlns:c16="http://schemas.microsoft.com/office/drawing/2014/chart" uri="{C3380CC4-5D6E-409C-BE32-E72D297353CC}">
              <c16:uniqueId val="{00000006-DBB8-4A74-AC1B-9FB09A1C7F57}"/>
            </c:ext>
          </c:extLst>
        </c:ser>
        <c:dLbls>
          <c:showLegendKey val="0"/>
          <c:showVal val="0"/>
          <c:showCatName val="0"/>
          <c:showSerName val="0"/>
          <c:showPercent val="0"/>
          <c:showBubbleSize val="0"/>
        </c:dLbls>
        <c:gapWidth val="150"/>
        <c:overlap val="100"/>
        <c:axId val="2080693199"/>
        <c:axId val="2080701359"/>
      </c:barChart>
      <c:catAx>
        <c:axId val="208069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701359"/>
        <c:crosses val="autoZero"/>
        <c:auto val="1"/>
        <c:lblAlgn val="ctr"/>
        <c:lblOffset val="100"/>
        <c:noMultiLvlLbl val="0"/>
      </c:catAx>
      <c:valAx>
        <c:axId val="208070135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0806931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1430</Words>
  <Characters>9015</Characters>
  <Application>Microsoft Office Word</Application>
  <DocSecurity>0</DocSecurity>
  <Lines>204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Sushrut Sharma</dc:creator>
  <cp:keywords/>
  <dc:description/>
  <cp:lastModifiedBy>Sushrut Sharma</cp:lastModifiedBy>
  <cp:revision>10</cp:revision>
  <dcterms:created xsi:type="dcterms:W3CDTF">2025-11-25T11:14:00Z</dcterms:created>
  <dcterms:modified xsi:type="dcterms:W3CDTF">2025-11-25T13:42:00Z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384cf53d-5f49-49fb-b458-f1b7a4fb16a4</vt:lpwstr>
  </property>
</Properties>
</file>