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4524" w14:textId="77777777" w:rsidR="00345147" w:rsidRPr="00583644" w:rsidRDefault="00345147" w:rsidP="00583644">
      <w:pPr>
        <w:pStyle w:val="Authors"/>
        <w:rPr>
          <w:rFonts w:eastAsiaTheme="majorEastAsia" w:cs="Times New Roman"/>
          <w:i w:val="0"/>
          <w:caps/>
          <w:spacing w:val="-10"/>
          <w:kern w:val="28"/>
        </w:rPr>
      </w:pPr>
      <w:r w:rsidRPr="00583644">
        <w:rPr>
          <w:rFonts w:eastAsiaTheme="majorEastAsia" w:cs="Times New Roman"/>
          <w:i w:val="0"/>
          <w:caps/>
          <w:spacing w:val="-10"/>
          <w:kern w:val="28"/>
        </w:rPr>
        <w:t>Oral Health Impacts of Food Allergies and Metabolic Disorders: Mechanisms and Clinical Considerations</w:t>
      </w:r>
    </w:p>
    <w:p w14:paraId="7451B8E5" w14:textId="1908FDFB" w:rsidR="004B5BB9" w:rsidRPr="00583644" w:rsidRDefault="00345147" w:rsidP="00583644">
      <w:pPr>
        <w:pStyle w:val="Authors"/>
        <w:rPr>
          <w:rFonts w:cs="Times New Roman"/>
          <w:vertAlign w:val="superscript"/>
        </w:rPr>
      </w:pPr>
      <w:r w:rsidRPr="00583644">
        <w:rPr>
          <w:rFonts w:cs="Times New Roman"/>
        </w:rPr>
        <w:t>Pratyasha Sharma</w:t>
      </w:r>
      <w:r w:rsidRPr="00583644">
        <w:rPr>
          <w:rFonts w:cs="Times New Roman"/>
          <w:vertAlign w:val="superscript"/>
        </w:rPr>
        <w:t>1,</w:t>
      </w:r>
      <w:r w:rsidRPr="00583644">
        <w:rPr>
          <w:rFonts w:cs="Times New Roman"/>
        </w:rPr>
        <w:t>Srikala Bhandary</w:t>
      </w:r>
      <w:r w:rsidRPr="00583644">
        <w:rPr>
          <w:rFonts w:cs="Times New Roman"/>
          <w:vertAlign w:val="superscript"/>
        </w:rPr>
        <w:t xml:space="preserve">1 </w:t>
      </w:r>
      <w:r w:rsidR="004B5BB9" w:rsidRPr="00583644">
        <w:rPr>
          <w:rFonts w:cs="Times New Roman"/>
        </w:rPr>
        <w:t xml:space="preserve">, </w:t>
      </w:r>
      <w:r w:rsidRPr="00583644">
        <w:rPr>
          <w:rFonts w:cs="Times New Roman"/>
        </w:rPr>
        <w:t>Sayan Das</w:t>
      </w:r>
      <w:r w:rsidRPr="00583644">
        <w:rPr>
          <w:rFonts w:cs="Times New Roman"/>
          <w:vertAlign w:val="superscript"/>
        </w:rPr>
        <w:t>1</w:t>
      </w:r>
    </w:p>
    <w:p w14:paraId="45DA8D3F" w14:textId="1A1FE096" w:rsidR="00345147" w:rsidRPr="00796FBC" w:rsidRDefault="00345147" w:rsidP="00796FBC">
      <w:pPr>
        <w:pStyle w:val="ListParagraph"/>
        <w:numPr>
          <w:ilvl w:val="0"/>
          <w:numId w:val="3"/>
        </w:numPr>
        <w:tabs>
          <w:tab w:val="left" w:pos="284"/>
        </w:tabs>
        <w:rPr>
          <w:rFonts w:cs="Times New Roman"/>
          <w:lang w:val="en-IN"/>
        </w:rPr>
      </w:pPr>
      <w:r w:rsidRPr="00583644">
        <w:rPr>
          <w:rFonts w:cs="Times New Roman"/>
          <w:lang w:val="en-IN"/>
        </w:rPr>
        <w:t>Nitte (Deemed to be University), AB Shetty Memorial Institute of Dental Sciences (ABSMIDS), Department of Paediatric &amp; Preventive Dentistry, Mangalore – 575018, Karnataka, India</w:t>
      </w:r>
    </w:p>
    <w:p w14:paraId="552C9BEE" w14:textId="0CFC4B1F" w:rsidR="00C4249D" w:rsidRPr="00583644" w:rsidRDefault="00DE3775" w:rsidP="00583644">
      <w:pPr>
        <w:pStyle w:val="Heading1"/>
        <w:rPr>
          <w:rFonts w:cs="Times New Roman"/>
          <w:szCs w:val="24"/>
        </w:rPr>
      </w:pPr>
      <w:r w:rsidRPr="00583644">
        <w:rPr>
          <w:rFonts w:cs="Times New Roman"/>
          <w:szCs w:val="24"/>
        </w:rPr>
        <w:t>Abstract</w:t>
      </w:r>
    </w:p>
    <w:p w14:paraId="7ECB872B" w14:textId="27D44A24" w:rsidR="00345147" w:rsidRPr="00583644" w:rsidRDefault="00982F15" w:rsidP="00583644">
      <w:pPr>
        <w:pStyle w:val="Abstracttext"/>
        <w:rPr>
          <w:rFonts w:cs="Times New Roman"/>
        </w:rPr>
      </w:pPr>
      <w:r w:rsidRPr="00583644">
        <w:rPr>
          <w:rFonts w:cs="Times New Roman"/>
          <w:b/>
        </w:rPr>
        <w:t>Background and aims:</w:t>
      </w:r>
      <w:r w:rsidRPr="00583644">
        <w:rPr>
          <w:rFonts w:cs="Times New Roman"/>
        </w:rPr>
        <w:t xml:space="preserve"> </w:t>
      </w:r>
      <w:r w:rsidR="00345147" w:rsidRPr="00583644">
        <w:rPr>
          <w:rFonts w:cs="Times New Roman"/>
        </w:rPr>
        <w:t xml:space="preserve">Food allergies and metabolic disorders significantly influence oral health, contributing to conditions such as enamel defects, periodontal disease, and xerostomia. This review explores the mechanisms through which immune responses and metabolic imbalances impact oral tissues. </w:t>
      </w:r>
    </w:p>
    <w:p w14:paraId="78C5EBA9" w14:textId="5F4B132C" w:rsidR="00345147" w:rsidRPr="00583644" w:rsidRDefault="00982F15" w:rsidP="00583644">
      <w:pPr>
        <w:pStyle w:val="Abstracttext"/>
        <w:rPr>
          <w:rFonts w:cs="Times New Roman"/>
          <w:lang w:val="en-IN"/>
        </w:rPr>
      </w:pPr>
      <w:r w:rsidRPr="00583644">
        <w:rPr>
          <w:rFonts w:cs="Times New Roman"/>
          <w:b/>
        </w:rPr>
        <w:t>Material and method:</w:t>
      </w:r>
      <w:r w:rsidRPr="00583644">
        <w:rPr>
          <w:rFonts w:cs="Times New Roman"/>
        </w:rPr>
        <w:t xml:space="preserve"> </w:t>
      </w:r>
      <w:r w:rsidR="00345147" w:rsidRPr="00583644">
        <w:rPr>
          <w:rFonts w:cs="Times New Roman"/>
        </w:rPr>
        <w:t xml:space="preserve">An electronic systematic search of the literature was performed in the PubMed (Medline), Scopus, Web of Science, Cochrane Library, Lilacs, and Gray Literature databases and the reference lists of articles published until November 2024. </w:t>
      </w:r>
      <w:r w:rsidR="00345147" w:rsidRPr="00583644">
        <w:rPr>
          <w:rFonts w:cs="Times New Roman"/>
          <w:lang w:val="en-IN"/>
        </w:rPr>
        <w:t xml:space="preserve">The data of </w:t>
      </w:r>
      <w:r w:rsidR="008D16FD">
        <w:rPr>
          <w:rFonts w:cs="Times New Roman"/>
          <w:lang w:val="en-IN"/>
        </w:rPr>
        <w:t>56</w:t>
      </w:r>
      <w:r w:rsidR="00345147" w:rsidRPr="00583644">
        <w:rPr>
          <w:rFonts w:cs="Times New Roman"/>
          <w:lang w:val="en-IN"/>
        </w:rPr>
        <w:t xml:space="preserve"> articles were extracted, a</w:t>
      </w:r>
      <w:r w:rsidR="008D16FD">
        <w:rPr>
          <w:rFonts w:cs="Times New Roman"/>
          <w:lang w:val="en-IN"/>
        </w:rPr>
        <w:t>nd added in this review.</w:t>
      </w:r>
    </w:p>
    <w:p w14:paraId="68749D7C" w14:textId="77777777" w:rsidR="0085037B" w:rsidRPr="0085037B" w:rsidRDefault="00982F15" w:rsidP="0085037B">
      <w:pPr>
        <w:pStyle w:val="Abstracttext"/>
        <w:rPr>
          <w:rFonts w:cs="Times New Roman"/>
          <w:lang w:val="en-IN"/>
        </w:rPr>
      </w:pPr>
      <w:r w:rsidRPr="00583644">
        <w:rPr>
          <w:rFonts w:cs="Times New Roman"/>
          <w:b/>
        </w:rPr>
        <w:t>Results:</w:t>
      </w:r>
      <w:r w:rsidRPr="00583644">
        <w:rPr>
          <w:rFonts w:cs="Times New Roman"/>
        </w:rPr>
        <w:t xml:space="preserve"> </w:t>
      </w:r>
      <w:r w:rsidR="0085037B" w:rsidRPr="0085037B">
        <w:rPr>
          <w:rFonts w:cs="Times New Roman"/>
          <w:lang w:val="en-IN"/>
        </w:rPr>
        <w:t xml:space="preserve">Food allergies impact oral health through oral allergy syndrome (OAS), causing pruritus and </w:t>
      </w:r>
      <w:proofErr w:type="spellStart"/>
      <w:r w:rsidR="0085037B" w:rsidRPr="0085037B">
        <w:rPr>
          <w:rFonts w:cs="Times New Roman"/>
          <w:lang w:val="en-IN"/>
        </w:rPr>
        <w:t>edema</w:t>
      </w:r>
      <w:proofErr w:type="spellEnd"/>
      <w:r w:rsidR="0085037B" w:rsidRPr="0085037B">
        <w:rPr>
          <w:rFonts w:cs="Times New Roman"/>
          <w:lang w:val="en-IN"/>
        </w:rPr>
        <w:t xml:space="preserve"> of the lips, tongue, and throat. Metabolic disorders contribute to enamel hypoplasia, increasing caries risk, reducing salivary flow, and leading to xerostomia. They also exacerbate gingival inflammation, promoting periodontal disease.</w:t>
      </w:r>
    </w:p>
    <w:p w14:paraId="5CCA812D" w14:textId="77777777" w:rsidR="0085037B" w:rsidRPr="0085037B" w:rsidRDefault="0085037B" w:rsidP="0085037B">
      <w:pPr>
        <w:pStyle w:val="Abstracttext"/>
        <w:rPr>
          <w:rFonts w:cs="Times New Roman"/>
          <w:lang w:val="en-IN"/>
        </w:rPr>
      </w:pPr>
      <w:r w:rsidRPr="0085037B">
        <w:rPr>
          <w:rFonts w:cs="Times New Roman"/>
          <w:lang w:val="en-IN"/>
        </w:rPr>
        <w:t>Anxiety over allergens may impair oral hygiene and reduce dental visits. Dietary restrictions can cause nutritional deficiencies, weakening teeth and promoting decay. Altered diets and frequent anti-inflammatory drug use may disrupt the oral microbiome, heightening oral health risks.</w:t>
      </w:r>
    </w:p>
    <w:p w14:paraId="6E400E98" w14:textId="5FCA8119" w:rsidR="00796FBC" w:rsidRDefault="00982F15" w:rsidP="0085037B">
      <w:pPr>
        <w:pStyle w:val="Abstracttext"/>
        <w:rPr>
          <w:rFonts w:cs="Times New Roman"/>
        </w:rPr>
      </w:pPr>
      <w:r w:rsidRPr="00583644">
        <w:rPr>
          <w:rFonts w:cs="Times New Roman"/>
          <w:b/>
        </w:rPr>
        <w:t>Conclusions:</w:t>
      </w:r>
      <w:r w:rsidRPr="00583644">
        <w:rPr>
          <w:rFonts w:cs="Times New Roman"/>
        </w:rPr>
        <w:t xml:space="preserve"> </w:t>
      </w:r>
      <w:r w:rsidR="00BF01B8" w:rsidRPr="00583644">
        <w:rPr>
          <w:rFonts w:cs="Times New Roman"/>
        </w:rPr>
        <w:t>A comprehensive understanding of the oral health implications of these conditions is essential for early diagnosis and the development of tailored dental management strategies.</w:t>
      </w:r>
    </w:p>
    <w:p w14:paraId="0F7DF7A0" w14:textId="77777777" w:rsidR="00796FBC" w:rsidRDefault="00982F15" w:rsidP="00796FBC">
      <w:pPr>
        <w:pStyle w:val="Abstracttext"/>
        <w:rPr>
          <w:rFonts w:cs="Times New Roman"/>
          <w:i w:val="0"/>
          <w:iCs/>
        </w:rPr>
      </w:pPr>
      <w:r w:rsidRPr="00796FBC">
        <w:rPr>
          <w:rFonts w:cs="Times New Roman"/>
          <w:b/>
          <w:bCs/>
          <w:i w:val="0"/>
          <w:iCs/>
        </w:rPr>
        <w:t>Keywords</w:t>
      </w:r>
      <w:r w:rsidRPr="00796FBC">
        <w:rPr>
          <w:rFonts w:cs="Times New Roman"/>
          <w:i w:val="0"/>
          <w:iCs/>
        </w:rPr>
        <w:t>:</w:t>
      </w:r>
      <w:r w:rsidR="008E3AC6" w:rsidRPr="00796FBC">
        <w:rPr>
          <w:rFonts w:cs="Times New Roman"/>
          <w:i w:val="0"/>
          <w:iCs/>
        </w:rPr>
        <w:t xml:space="preserve"> </w:t>
      </w:r>
      <w:r w:rsidR="00BF01B8" w:rsidRPr="00796FBC">
        <w:rPr>
          <w:rFonts w:cs="Times New Roman"/>
          <w:i w:val="0"/>
          <w:iCs/>
        </w:rPr>
        <w:t xml:space="preserve">Food allergy, food sensitivity, dental health, metabolic disorders, pediatric dentistry. </w:t>
      </w:r>
    </w:p>
    <w:p w14:paraId="31AD519E" w14:textId="12F9AD67" w:rsidR="008E3AC6" w:rsidRPr="00796FBC" w:rsidRDefault="008E3AC6" w:rsidP="00796FBC">
      <w:pPr>
        <w:pStyle w:val="Abstracttext"/>
        <w:rPr>
          <w:rFonts w:cs="Times New Roman"/>
          <w:b/>
          <w:bCs/>
          <w:i w:val="0"/>
          <w:iCs/>
        </w:rPr>
      </w:pPr>
      <w:r w:rsidRPr="00796FBC">
        <w:rPr>
          <w:rFonts w:cs="Times New Roman"/>
          <w:b/>
          <w:bCs/>
          <w:i w:val="0"/>
          <w:iCs/>
        </w:rPr>
        <w:t>Background and aims</w:t>
      </w:r>
    </w:p>
    <w:p w14:paraId="0372917A" w14:textId="77777777" w:rsidR="002935D1" w:rsidRPr="00583644" w:rsidRDefault="002935D1" w:rsidP="00583644">
      <w:pPr>
        <w:jc w:val="both"/>
        <w:rPr>
          <w:rFonts w:cs="Times New Roman"/>
          <w:vertAlign w:val="superscript"/>
          <w:lang w:val="en-IN"/>
        </w:rPr>
      </w:pPr>
      <w:r w:rsidRPr="00583644">
        <w:rPr>
          <w:rFonts w:cs="Times New Roman"/>
          <w:lang w:val="en-IN"/>
        </w:rPr>
        <w:t>Food allergy occurs when the immune system mistakenly identifies a harmless food protein as a threat, triggering an abnormal immune response. This reaction is typically mediated by immunoglobulin E (</w:t>
      </w:r>
      <w:proofErr w:type="spellStart"/>
      <w:r w:rsidRPr="00583644">
        <w:rPr>
          <w:rFonts w:cs="Times New Roman"/>
          <w:lang w:val="en-IN"/>
        </w:rPr>
        <w:t>IgE</w:t>
      </w:r>
      <w:proofErr w:type="spellEnd"/>
      <w:r w:rsidRPr="00583644">
        <w:rPr>
          <w:rFonts w:cs="Times New Roman"/>
          <w:lang w:val="en-IN"/>
        </w:rPr>
        <w:t xml:space="preserve">), a type of antibody that plays a central role in allergic </w:t>
      </w:r>
      <w:r w:rsidRPr="00583644">
        <w:rPr>
          <w:rFonts w:cs="Times New Roman"/>
          <w:lang w:val="en-IN"/>
        </w:rPr>
        <w:lastRenderedPageBreak/>
        <w:t xml:space="preserve">responses. In </w:t>
      </w:r>
      <w:proofErr w:type="spellStart"/>
      <w:r w:rsidRPr="00583644">
        <w:rPr>
          <w:rFonts w:cs="Times New Roman"/>
          <w:lang w:val="en-IN"/>
        </w:rPr>
        <w:t>IgE</w:t>
      </w:r>
      <w:proofErr w:type="spellEnd"/>
      <w:r w:rsidRPr="00583644">
        <w:rPr>
          <w:rFonts w:cs="Times New Roman"/>
          <w:lang w:val="en-IN"/>
        </w:rPr>
        <w:t xml:space="preserve">-mediated food allergies, the body produces </w:t>
      </w:r>
      <w:proofErr w:type="spellStart"/>
      <w:r w:rsidRPr="00583644">
        <w:rPr>
          <w:rFonts w:cs="Times New Roman"/>
          <w:lang w:val="en-IN"/>
        </w:rPr>
        <w:t>IgE</w:t>
      </w:r>
      <w:proofErr w:type="spellEnd"/>
      <w:r w:rsidRPr="00583644">
        <w:rPr>
          <w:rFonts w:cs="Times New Roman"/>
          <w:lang w:val="en-IN"/>
        </w:rPr>
        <w:t xml:space="preserve"> antibodies in response to specific food proteins.</w:t>
      </w:r>
      <w:r w:rsidRPr="00583644">
        <w:rPr>
          <w:rFonts w:cs="Times New Roman"/>
          <w:vertAlign w:val="superscript"/>
          <w:lang w:val="en-IN"/>
        </w:rPr>
        <w:t>[1]</w:t>
      </w:r>
      <w:r w:rsidRPr="00583644">
        <w:rPr>
          <w:rFonts w:cs="Times New Roman"/>
          <w:lang w:val="en-IN"/>
        </w:rPr>
        <w:t xml:space="preserve"> When the person consumes the food again, the </w:t>
      </w:r>
      <w:proofErr w:type="spellStart"/>
      <w:r w:rsidRPr="00583644">
        <w:rPr>
          <w:rFonts w:cs="Times New Roman"/>
          <w:lang w:val="en-IN"/>
        </w:rPr>
        <w:t>IgE</w:t>
      </w:r>
      <w:proofErr w:type="spellEnd"/>
      <w:r w:rsidRPr="00583644">
        <w:rPr>
          <w:rFonts w:cs="Times New Roman"/>
          <w:lang w:val="en-IN"/>
        </w:rPr>
        <w:t xml:space="preserve"> antibodies bind to the allergen and trigger the release of histamine and other chemicals from mast cells, causing symptoms such as swelling, hives, or even anaphylaxis.</w:t>
      </w:r>
      <w:r w:rsidRPr="00583644">
        <w:rPr>
          <w:rFonts w:cs="Times New Roman"/>
          <w:vertAlign w:val="superscript"/>
          <w:lang w:val="en-IN"/>
        </w:rPr>
        <w:t>[2]</w:t>
      </w:r>
    </w:p>
    <w:p w14:paraId="5D43B0F6" w14:textId="77777777" w:rsidR="002935D1" w:rsidRPr="00583644" w:rsidRDefault="002935D1" w:rsidP="00583644">
      <w:pPr>
        <w:jc w:val="both"/>
        <w:rPr>
          <w:rFonts w:cs="Times New Roman"/>
          <w:lang w:val="en-IN"/>
        </w:rPr>
      </w:pPr>
      <w:r w:rsidRPr="00583644">
        <w:rPr>
          <w:rFonts w:cs="Times New Roman"/>
          <w:lang w:val="en-IN"/>
        </w:rPr>
        <w:t xml:space="preserve">In some cases, food allergies can involve mixed </w:t>
      </w:r>
      <w:proofErr w:type="spellStart"/>
      <w:r w:rsidRPr="00583644">
        <w:rPr>
          <w:rFonts w:cs="Times New Roman"/>
          <w:lang w:val="en-IN"/>
        </w:rPr>
        <w:t>IgE</w:t>
      </w:r>
      <w:proofErr w:type="spellEnd"/>
      <w:r w:rsidRPr="00583644">
        <w:rPr>
          <w:rFonts w:cs="Times New Roman"/>
          <w:lang w:val="en-IN"/>
        </w:rPr>
        <w:t xml:space="preserve"> and non-</w:t>
      </w:r>
      <w:proofErr w:type="spellStart"/>
      <w:r w:rsidRPr="00583644">
        <w:rPr>
          <w:rFonts w:cs="Times New Roman"/>
          <w:lang w:val="en-IN"/>
        </w:rPr>
        <w:t>IgE</w:t>
      </w:r>
      <w:proofErr w:type="spellEnd"/>
      <w:r w:rsidRPr="00583644">
        <w:rPr>
          <w:rFonts w:cs="Times New Roman"/>
          <w:lang w:val="en-IN"/>
        </w:rPr>
        <w:t xml:space="preserve"> mechanisms. Non-</w:t>
      </w:r>
      <w:proofErr w:type="spellStart"/>
      <w:r w:rsidRPr="00583644">
        <w:rPr>
          <w:rFonts w:cs="Times New Roman"/>
          <w:lang w:val="en-IN"/>
        </w:rPr>
        <w:t>IgE</w:t>
      </w:r>
      <w:proofErr w:type="spellEnd"/>
      <w:r w:rsidRPr="00583644">
        <w:rPr>
          <w:rFonts w:cs="Times New Roman"/>
          <w:lang w:val="en-IN"/>
        </w:rPr>
        <w:t xml:space="preserve"> mediated reactions occur without the involvement of </w:t>
      </w:r>
      <w:proofErr w:type="spellStart"/>
      <w:r w:rsidRPr="00583644">
        <w:rPr>
          <w:rFonts w:cs="Times New Roman"/>
          <w:lang w:val="en-IN"/>
        </w:rPr>
        <w:t>IgE</w:t>
      </w:r>
      <w:proofErr w:type="spellEnd"/>
      <w:r w:rsidRPr="00583644">
        <w:rPr>
          <w:rFonts w:cs="Times New Roman"/>
          <w:lang w:val="en-IN"/>
        </w:rPr>
        <w:t xml:space="preserve"> antibodies, and they often cause delayed symptoms, such as gastrointestinal distress, which can be harder to diagnose.</w:t>
      </w:r>
      <w:r w:rsidRPr="00583644">
        <w:rPr>
          <w:rFonts w:cs="Times New Roman"/>
          <w:vertAlign w:val="superscript"/>
          <w:lang w:val="en-IN"/>
        </w:rPr>
        <w:t xml:space="preserve">[3] </w:t>
      </w:r>
      <w:r w:rsidRPr="00583644">
        <w:rPr>
          <w:rFonts w:cs="Times New Roman"/>
          <w:lang w:val="en-IN"/>
        </w:rPr>
        <w:t>Additionally, some food allergies may involve other immune system components, like T cells, that contribute to inflammation and allergic responses, making these reactions more complex. Understanding these mechanisms helps in diagnosing and managing food allergies effectively.</w:t>
      </w:r>
      <w:r w:rsidRPr="00583644">
        <w:rPr>
          <w:rFonts w:cs="Times New Roman"/>
          <w:vertAlign w:val="superscript"/>
        </w:rPr>
        <w:t>[4]</w:t>
      </w:r>
    </w:p>
    <w:p w14:paraId="0DDB8CBA" w14:textId="6167C0F5" w:rsidR="008E3AC6" w:rsidRPr="00583644" w:rsidRDefault="008E3AC6" w:rsidP="00583644">
      <w:pPr>
        <w:pStyle w:val="Heading1"/>
        <w:rPr>
          <w:rFonts w:cs="Times New Roman"/>
          <w:szCs w:val="24"/>
        </w:rPr>
      </w:pPr>
      <w:r w:rsidRPr="00583644">
        <w:rPr>
          <w:rFonts w:cs="Times New Roman"/>
          <w:szCs w:val="24"/>
        </w:rPr>
        <w:t>Material and method</w:t>
      </w:r>
    </w:p>
    <w:p w14:paraId="25FB1A38" w14:textId="77777777" w:rsidR="002935D1" w:rsidRPr="00583644" w:rsidRDefault="002935D1" w:rsidP="00583644">
      <w:pPr>
        <w:jc w:val="both"/>
        <w:rPr>
          <w:rFonts w:cs="Times New Roman"/>
          <w:lang w:val="en-IN"/>
        </w:rPr>
      </w:pPr>
      <w:r w:rsidRPr="00583644">
        <w:rPr>
          <w:rFonts w:cs="Times New Roman"/>
          <w:lang w:val="en-IN"/>
        </w:rPr>
        <w:t xml:space="preserve">An electronic systematic search of the literature was performed in the PubMed (Medline), Scopus, Web of Science, Cochrane Library, Lilacs, and Gray Literature databases and the reference lists of articles published until November 2024. </w:t>
      </w:r>
    </w:p>
    <w:p w14:paraId="2D29A4CC" w14:textId="44F8806C" w:rsidR="002935D1" w:rsidRPr="00583644" w:rsidRDefault="002935D1" w:rsidP="00583644">
      <w:pPr>
        <w:jc w:val="both"/>
        <w:rPr>
          <w:rFonts w:cs="Times New Roman"/>
          <w:lang w:val="en-IN"/>
        </w:rPr>
      </w:pPr>
      <w:r w:rsidRPr="00583644">
        <w:rPr>
          <w:rFonts w:cs="Times New Roman"/>
          <w:lang w:val="en-IN"/>
        </w:rPr>
        <w:t xml:space="preserve">The initial search retrieved 186 potential articles. After the duplicates were removed, 100 articles remained; the titles and abstracts of these 100 articles were read, resulting in the selection of </w:t>
      </w:r>
      <w:r w:rsidR="008D16FD">
        <w:rPr>
          <w:rFonts w:cs="Times New Roman"/>
          <w:lang w:val="en-IN"/>
        </w:rPr>
        <w:t>56</w:t>
      </w:r>
      <w:r w:rsidRPr="00583644">
        <w:rPr>
          <w:rFonts w:cs="Times New Roman"/>
          <w:lang w:val="en-IN"/>
        </w:rPr>
        <w:t xml:space="preserve"> articles for reading the full text. The data of the included articles were extracted. The articles are cited in the references, and may be accessed for additional information.</w:t>
      </w:r>
    </w:p>
    <w:p w14:paraId="225A1D4D" w14:textId="6F209431" w:rsidR="00BB7169" w:rsidRPr="00583644" w:rsidRDefault="00BB7169" w:rsidP="00583644">
      <w:pPr>
        <w:pStyle w:val="Heading1"/>
        <w:rPr>
          <w:rFonts w:cs="Times New Roman"/>
          <w:szCs w:val="24"/>
        </w:rPr>
      </w:pPr>
      <w:r w:rsidRPr="00583644">
        <w:rPr>
          <w:rFonts w:cs="Times New Roman"/>
          <w:szCs w:val="24"/>
        </w:rPr>
        <w:t>Results</w:t>
      </w:r>
      <w:r w:rsidR="00B4211C" w:rsidRPr="00583644">
        <w:rPr>
          <w:rFonts w:cs="Times New Roman"/>
          <w:szCs w:val="24"/>
        </w:rPr>
        <w:t xml:space="preserve"> and </w:t>
      </w:r>
      <w:r w:rsidRPr="00583644">
        <w:rPr>
          <w:rFonts w:cs="Times New Roman"/>
          <w:szCs w:val="24"/>
        </w:rPr>
        <w:t>Discussion</w:t>
      </w:r>
    </w:p>
    <w:p w14:paraId="1AC6D6EE" w14:textId="6F536B02" w:rsidR="00B4211C" w:rsidRPr="00583644" w:rsidRDefault="00796FBC" w:rsidP="009E4168">
      <w:pPr>
        <w:rPr>
          <w:rFonts w:cs="Times New Roman"/>
          <w:b/>
          <w:bCs/>
          <w:color w:val="000000" w:themeColor="text1"/>
          <w:lang w:val="en-IN"/>
        </w:rPr>
      </w:pPr>
      <w:r w:rsidRPr="00583644">
        <w:rPr>
          <w:rFonts w:cs="Times New Roman"/>
          <w:b/>
          <w:bCs/>
          <w:noProof/>
          <w:color w:val="000000" w:themeColor="text1"/>
          <w:lang w:val="en-IN"/>
        </w:rPr>
        <w:drawing>
          <wp:anchor distT="0" distB="0" distL="114300" distR="114300" simplePos="0" relativeHeight="251658240" behindDoc="1" locked="0" layoutInCell="1" allowOverlap="1" wp14:anchorId="67FC9535" wp14:editId="56B3E0E7">
            <wp:simplePos x="0" y="0"/>
            <wp:positionH relativeFrom="column">
              <wp:posOffset>-259080</wp:posOffset>
            </wp:positionH>
            <wp:positionV relativeFrom="paragraph">
              <wp:posOffset>337820</wp:posOffset>
            </wp:positionV>
            <wp:extent cx="6446520" cy="2165350"/>
            <wp:effectExtent l="0" t="0" r="0" b="6350"/>
            <wp:wrapTight wrapText="bothSides">
              <wp:wrapPolygon edited="0">
                <wp:start x="0" y="0"/>
                <wp:lineTo x="0" y="21473"/>
                <wp:lineTo x="21511" y="21473"/>
                <wp:lineTo x="21511" y="0"/>
                <wp:lineTo x="0" y="0"/>
              </wp:wrapPolygon>
            </wp:wrapTight>
            <wp:docPr id="1884043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43953" name=""/>
                    <pic:cNvPicPr/>
                  </pic:nvPicPr>
                  <pic:blipFill>
                    <a:blip r:embed="rId7">
                      <a:extLst>
                        <a:ext uri="{28A0092B-C50C-407E-A947-70E740481C1C}">
                          <a14:useLocalDpi xmlns:a14="http://schemas.microsoft.com/office/drawing/2010/main" val="0"/>
                        </a:ext>
                      </a:extLst>
                    </a:blip>
                    <a:stretch>
                      <a:fillRect/>
                    </a:stretch>
                  </pic:blipFill>
                  <pic:spPr>
                    <a:xfrm>
                      <a:off x="0" y="0"/>
                      <a:ext cx="6446520" cy="2165350"/>
                    </a:xfrm>
                    <a:prstGeom prst="rect">
                      <a:avLst/>
                    </a:prstGeom>
                  </pic:spPr>
                </pic:pic>
              </a:graphicData>
            </a:graphic>
          </wp:anchor>
        </w:drawing>
      </w:r>
      <w:r w:rsidR="00B4211C" w:rsidRPr="00583644">
        <w:rPr>
          <w:rFonts w:cs="Times New Roman"/>
          <w:b/>
          <w:bCs/>
          <w:color w:val="000000" w:themeColor="text1"/>
          <w:lang w:val="en-IN"/>
        </w:rPr>
        <w:t xml:space="preserve">CLASSIFICATION </w:t>
      </w:r>
    </w:p>
    <w:p w14:paraId="59E4F7D3" w14:textId="77777777" w:rsidR="00B4211C" w:rsidRPr="00583644" w:rsidRDefault="00B4211C" w:rsidP="00583644">
      <w:pPr>
        <w:pStyle w:val="ListParagraph"/>
        <w:numPr>
          <w:ilvl w:val="0"/>
          <w:numId w:val="6"/>
        </w:numPr>
        <w:spacing w:after="160"/>
        <w:rPr>
          <w:rFonts w:cs="Times New Roman"/>
          <w:b/>
          <w:bCs/>
          <w:lang w:val="en-IN"/>
        </w:rPr>
      </w:pPr>
      <w:r w:rsidRPr="00583644">
        <w:rPr>
          <w:rFonts w:cs="Times New Roman"/>
          <w:b/>
          <w:bCs/>
          <w:lang w:val="en-IN"/>
        </w:rPr>
        <w:t>GENETIC OR INBORN ERRORS OF METABOLISM</w:t>
      </w:r>
    </w:p>
    <w:p w14:paraId="40042F98" w14:textId="77777777" w:rsidR="00B4211C" w:rsidRPr="00583644" w:rsidRDefault="00B4211C" w:rsidP="00583644">
      <w:pPr>
        <w:rPr>
          <w:rFonts w:cs="Times New Roman"/>
          <w:vertAlign w:val="superscript"/>
          <w:lang w:val="en-IN"/>
        </w:rPr>
      </w:pPr>
      <w:r w:rsidRPr="00583644">
        <w:rPr>
          <w:rFonts w:cs="Times New Roman"/>
          <w:lang w:val="en-IN"/>
        </w:rPr>
        <w:lastRenderedPageBreak/>
        <w:t xml:space="preserve">Inborn errors of metabolism (IEMs) are genetic disorders caused by enzyme mutations that disrupt metabolic processes. These errors lead to the buildup of toxic metabolites or shortages of essential substances, resulting in various clinical symptoms. IEMs include amino acid disorders, organic </w:t>
      </w:r>
      <w:proofErr w:type="spellStart"/>
      <w:r w:rsidRPr="00583644">
        <w:rPr>
          <w:rFonts w:cs="Times New Roman"/>
          <w:lang w:val="en-IN"/>
        </w:rPr>
        <w:t>acidemias</w:t>
      </w:r>
      <w:proofErr w:type="spellEnd"/>
      <w:r w:rsidRPr="00583644">
        <w:rPr>
          <w:rFonts w:cs="Times New Roman"/>
          <w:lang w:val="en-IN"/>
        </w:rPr>
        <w:t>, fatty acid oxidation disorders, and carbohydrate metabolism disorders.</w:t>
      </w:r>
      <w:r w:rsidRPr="00583644">
        <w:rPr>
          <w:rFonts w:cs="Times New Roman"/>
          <w:vertAlign w:val="superscript"/>
          <w:lang w:val="en-IN"/>
        </w:rPr>
        <w:t>[6]</w:t>
      </w:r>
    </w:p>
    <w:p w14:paraId="7BA2C12B" w14:textId="77777777" w:rsidR="00B4211C" w:rsidRPr="00583644" w:rsidRDefault="00B4211C" w:rsidP="00583644">
      <w:pPr>
        <w:rPr>
          <w:rFonts w:cs="Times New Roman"/>
          <w:vertAlign w:val="superscript"/>
          <w:lang w:val="en-IN"/>
        </w:rPr>
      </w:pPr>
      <w:r w:rsidRPr="00583644">
        <w:rPr>
          <w:rFonts w:cs="Times New Roman"/>
          <w:lang w:val="en-IN"/>
        </w:rPr>
        <w:t>The pathophysiology of IEMs involves metabolic blockages due to deficient or absent enzymes, causing toxic metabolite accumulation.</w:t>
      </w:r>
      <w:r w:rsidRPr="00583644">
        <w:rPr>
          <w:rFonts w:cs="Times New Roman"/>
          <w:vertAlign w:val="superscript"/>
          <w:lang w:val="en-IN"/>
        </w:rPr>
        <w:t>[7]</w:t>
      </w:r>
      <w:r w:rsidRPr="00583644">
        <w:rPr>
          <w:rFonts w:cs="Times New Roman"/>
          <w:lang w:val="en-IN"/>
        </w:rPr>
        <w:t xml:space="preserve"> For instance, phenylketonuria (PKU) occurs when phenylalanine hydroxylase is deficient, leading to high phenylalanine levels and potential neurological damage.</w:t>
      </w:r>
      <w:r w:rsidRPr="00583644">
        <w:rPr>
          <w:rFonts w:cs="Times New Roman"/>
          <w:vertAlign w:val="superscript"/>
          <w:lang w:val="en-IN"/>
        </w:rPr>
        <w:t>[8]</w:t>
      </w:r>
      <w:r w:rsidRPr="00583644">
        <w:rPr>
          <w:rFonts w:cs="Times New Roman"/>
          <w:lang w:val="en-IN"/>
        </w:rPr>
        <w:t xml:space="preserve"> Similarly, disorders like maple syrup urine disease, caused by an inability to metabolize branched-chain amino acids, result in severe neurological issues.</w:t>
      </w:r>
      <w:r w:rsidRPr="00583644">
        <w:rPr>
          <w:rFonts w:cs="Times New Roman"/>
          <w:vertAlign w:val="superscript"/>
          <w:lang w:val="en-IN"/>
        </w:rPr>
        <w:t>[9]</w:t>
      </w:r>
    </w:p>
    <w:p w14:paraId="2DD97E7E" w14:textId="77777777" w:rsidR="00B4211C" w:rsidRPr="00583644" w:rsidRDefault="00B4211C" w:rsidP="00583644">
      <w:pPr>
        <w:pStyle w:val="ListParagraph"/>
        <w:numPr>
          <w:ilvl w:val="0"/>
          <w:numId w:val="7"/>
        </w:numPr>
        <w:spacing w:after="160"/>
        <w:rPr>
          <w:rFonts w:cs="Times New Roman"/>
          <w:b/>
          <w:bCs/>
          <w:lang w:val="en-IN"/>
        </w:rPr>
      </w:pPr>
      <w:r w:rsidRPr="00583644">
        <w:rPr>
          <w:rFonts w:cs="Times New Roman"/>
          <w:b/>
          <w:bCs/>
          <w:lang w:val="en-IN"/>
        </w:rPr>
        <w:t>Carbohydrate Metabolism Disorders</w:t>
      </w:r>
    </w:p>
    <w:p w14:paraId="0BD66298" w14:textId="77777777" w:rsidR="00B4211C" w:rsidRPr="00583644" w:rsidRDefault="00B4211C" w:rsidP="00583644">
      <w:pPr>
        <w:rPr>
          <w:rFonts w:cs="Times New Roman"/>
          <w:vertAlign w:val="superscript"/>
          <w:lang w:val="en-IN"/>
        </w:rPr>
      </w:pPr>
      <w:r w:rsidRPr="00583644">
        <w:rPr>
          <w:rFonts w:cs="Times New Roman"/>
          <w:lang w:val="en-IN"/>
        </w:rPr>
        <w:t>Carbohydrate metabolism disorders, caused by genetic, hormonal, or environmental factors, affect the body’s ability to process carbohydrates. These include diabetes mellitus, glycogen storage diseases, and glucose tolerance disorders.</w:t>
      </w:r>
      <w:r w:rsidRPr="00583644">
        <w:rPr>
          <w:rFonts w:cs="Times New Roman"/>
          <w:vertAlign w:val="superscript"/>
          <w:lang w:val="en-IN"/>
        </w:rPr>
        <w:t>[10]</w:t>
      </w:r>
    </w:p>
    <w:p w14:paraId="29BD290C" w14:textId="6E3D2BC7" w:rsidR="00B4211C" w:rsidRPr="009E4168" w:rsidRDefault="00B4211C" w:rsidP="009E4168">
      <w:pPr>
        <w:rPr>
          <w:rFonts w:cs="Times New Roman"/>
          <w:vertAlign w:val="superscript"/>
          <w:lang w:val="en-IN"/>
        </w:rPr>
      </w:pPr>
      <w:r w:rsidRPr="00583644">
        <w:rPr>
          <w:rFonts w:cs="Times New Roman"/>
          <w:lang w:val="en-IN"/>
        </w:rPr>
        <w:t xml:space="preserve">The pathophysiology of these disorders varies: In diabetes, insulin resistance or insufficient insulin production leads to </w:t>
      </w:r>
      <w:proofErr w:type="spellStart"/>
      <w:r w:rsidRPr="00583644">
        <w:rPr>
          <w:rFonts w:cs="Times New Roman"/>
          <w:lang w:val="en-IN"/>
        </w:rPr>
        <w:t>hyperglycemia</w:t>
      </w:r>
      <w:proofErr w:type="spellEnd"/>
      <w:r w:rsidRPr="00583644">
        <w:rPr>
          <w:rFonts w:cs="Times New Roman"/>
          <w:lang w:val="en-IN"/>
        </w:rPr>
        <w:t xml:space="preserve">, influenced by genetics, obesity, and lifestyle. </w:t>
      </w:r>
      <w:r w:rsidRPr="00583644">
        <w:rPr>
          <w:rFonts w:cs="Times New Roman"/>
          <w:vertAlign w:val="superscript"/>
          <w:lang w:val="en-IN"/>
        </w:rPr>
        <w:t xml:space="preserve">[11] </w:t>
      </w:r>
      <w:r w:rsidRPr="00583644">
        <w:rPr>
          <w:rFonts w:cs="Times New Roman"/>
          <w:lang w:val="en-IN"/>
        </w:rPr>
        <w:t>Glycogen storage diseases result from enzyme mutations that cause abnormal glycogen buildup and organ dysfunction.</w:t>
      </w:r>
      <w:r w:rsidRPr="00583644">
        <w:rPr>
          <w:rFonts w:cs="Times New Roman"/>
          <w:vertAlign w:val="superscript"/>
          <w:lang w:val="en-IN"/>
        </w:rPr>
        <w:t>[12]</w:t>
      </w:r>
      <w:r w:rsidRPr="00583644">
        <w:rPr>
          <w:rFonts w:cs="Times New Roman"/>
          <w:lang w:val="en-IN"/>
        </w:rPr>
        <w:t xml:space="preserve"> Key metabolic pathways like glycolysis and gluconeogenesis can be disrupted.</w:t>
      </w:r>
      <w:r w:rsidRPr="00583644">
        <w:rPr>
          <w:rFonts w:cs="Times New Roman"/>
          <w:vertAlign w:val="superscript"/>
          <w:lang w:val="en-IN"/>
        </w:rPr>
        <w:t>[13]</w:t>
      </w:r>
    </w:p>
    <w:p w14:paraId="6E34FB68" w14:textId="5930370F" w:rsidR="00B4211C" w:rsidRPr="00583644" w:rsidRDefault="00B4211C" w:rsidP="00583644">
      <w:pPr>
        <w:rPr>
          <w:rFonts w:cs="Times New Roman"/>
          <w:b/>
          <w:bCs/>
          <w:color w:val="000000" w:themeColor="text1"/>
          <w:lang w:val="en-IN"/>
        </w:rPr>
      </w:pPr>
      <w:r w:rsidRPr="00583644">
        <w:rPr>
          <w:rFonts w:cs="Times New Roman"/>
          <w:b/>
          <w:bCs/>
          <w:color w:val="000000" w:themeColor="text1"/>
          <w:lang w:val="en-IN"/>
        </w:rPr>
        <w:t>DENTAL IMPLICATIONS AND MANAGEMENT</w:t>
      </w:r>
    </w:p>
    <w:p w14:paraId="019DB7BA" w14:textId="77777777" w:rsidR="00B4211C" w:rsidRPr="00583644" w:rsidRDefault="00B4211C" w:rsidP="00583644">
      <w:pPr>
        <w:rPr>
          <w:rFonts w:cs="Times New Roman"/>
          <w:vertAlign w:val="superscript"/>
          <w:lang w:val="en-IN"/>
        </w:rPr>
      </w:pPr>
      <w:r w:rsidRPr="00583644">
        <w:rPr>
          <w:rFonts w:cs="Times New Roman"/>
          <w:lang w:val="en-IN"/>
        </w:rPr>
        <w:t>In dental health, carbohydrate metabolism disorders, especially diabetes, increase the risk of caries and periodontal disease. Elevated blood glucose and AGEs worsen tissue damage, promoting periodontitis.</w:t>
      </w:r>
      <w:r w:rsidRPr="00583644">
        <w:rPr>
          <w:rFonts w:cs="Times New Roman"/>
          <w:vertAlign w:val="superscript"/>
          <w:lang w:val="en-IN"/>
        </w:rPr>
        <w:t>[14]</w:t>
      </w:r>
      <w:r w:rsidRPr="00583644">
        <w:rPr>
          <w:rFonts w:cs="Times New Roman"/>
          <w:lang w:val="en-IN"/>
        </w:rPr>
        <w:t xml:space="preserve"> A high-sugar diet shifts the oral microbiome, encouraging pathogenic bacteria that contribute to both caries and periodontal issues. Dietary management is essential in mitigating these risks.</w:t>
      </w:r>
      <w:r w:rsidRPr="00583644">
        <w:rPr>
          <w:rFonts w:cs="Times New Roman"/>
          <w:vertAlign w:val="superscript"/>
          <w:lang w:val="en-IN"/>
        </w:rPr>
        <w:t>[15]</w:t>
      </w:r>
    </w:p>
    <w:p w14:paraId="1A9E0043" w14:textId="77777777" w:rsidR="00B4211C" w:rsidRPr="00583644" w:rsidRDefault="00B4211C" w:rsidP="00583644">
      <w:pPr>
        <w:pStyle w:val="ListParagraph"/>
        <w:numPr>
          <w:ilvl w:val="0"/>
          <w:numId w:val="7"/>
        </w:numPr>
        <w:spacing w:after="160"/>
        <w:rPr>
          <w:rFonts w:cs="Times New Roman"/>
          <w:lang w:val="en-IN"/>
        </w:rPr>
      </w:pPr>
      <w:r w:rsidRPr="00583644">
        <w:rPr>
          <w:rFonts w:cs="Times New Roman"/>
          <w:b/>
          <w:bCs/>
          <w:lang w:val="en-IN"/>
        </w:rPr>
        <w:t>Protein Metabolism Disorders</w:t>
      </w:r>
    </w:p>
    <w:p w14:paraId="3A7CCBD4" w14:textId="77777777" w:rsidR="00B4211C" w:rsidRPr="00583644" w:rsidRDefault="00B4211C" w:rsidP="00583644">
      <w:pPr>
        <w:rPr>
          <w:rFonts w:cs="Times New Roman"/>
          <w:vertAlign w:val="superscript"/>
          <w:lang w:val="en-IN"/>
        </w:rPr>
      </w:pPr>
      <w:r w:rsidRPr="00583644">
        <w:rPr>
          <w:rFonts w:cs="Times New Roman"/>
          <w:lang w:val="en-IN"/>
        </w:rPr>
        <w:t>Protein metabolism disorders, caused by enzyme deficiencies in amino acid metabolism, lead to the accumulation of toxic metabolites or inability to produce essential proteins.</w:t>
      </w:r>
      <w:r w:rsidRPr="00583644">
        <w:rPr>
          <w:rFonts w:cs="Times New Roman"/>
          <w:vertAlign w:val="superscript"/>
          <w:lang w:val="en-IN"/>
        </w:rPr>
        <w:t>[16]</w:t>
      </w:r>
      <w:r w:rsidRPr="00583644">
        <w:rPr>
          <w:rFonts w:cs="Times New Roman"/>
          <w:lang w:val="en-IN"/>
        </w:rPr>
        <w:t xml:space="preserve"> Examples include phenylketonuria (PKU), maple syrup urine disease (MSUD), and urea cycle disorders.</w:t>
      </w:r>
      <w:r w:rsidRPr="00583644">
        <w:rPr>
          <w:rFonts w:cs="Times New Roman"/>
          <w:vertAlign w:val="superscript"/>
          <w:lang w:val="en-IN"/>
        </w:rPr>
        <w:t>[17]</w:t>
      </w:r>
    </w:p>
    <w:p w14:paraId="60A45FEA" w14:textId="77777777" w:rsidR="00B4211C" w:rsidRPr="00583644" w:rsidRDefault="00B4211C" w:rsidP="00583644">
      <w:pPr>
        <w:rPr>
          <w:rFonts w:cs="Times New Roman"/>
          <w:vertAlign w:val="superscript"/>
          <w:lang w:val="en-IN"/>
        </w:rPr>
      </w:pPr>
      <w:r w:rsidRPr="00583644">
        <w:rPr>
          <w:rFonts w:cs="Times New Roman"/>
          <w:lang w:val="en-IN"/>
        </w:rPr>
        <w:t xml:space="preserve">The pathophysiology involves defects in enzymes that process amino acids. For example, PKU results from a phenylalanine hydroxylase deficiency, causing high </w:t>
      </w:r>
      <w:r w:rsidRPr="00583644">
        <w:rPr>
          <w:rFonts w:cs="Times New Roman"/>
          <w:lang w:val="en-IN"/>
        </w:rPr>
        <w:lastRenderedPageBreak/>
        <w:t>phenylalanine levels that damage the nervous system.</w:t>
      </w:r>
      <w:r w:rsidRPr="00583644">
        <w:rPr>
          <w:rFonts w:cs="Times New Roman"/>
          <w:vertAlign w:val="superscript"/>
          <w:lang w:val="en-IN"/>
        </w:rPr>
        <w:t>[18]</w:t>
      </w:r>
      <w:r w:rsidRPr="00583644">
        <w:rPr>
          <w:rFonts w:cs="Times New Roman"/>
          <w:lang w:val="en-IN"/>
        </w:rPr>
        <w:t xml:space="preserve"> MSUD is caused by a deficiency in an enzyme complex that metabolizes branched-chain amino acids, leading to neurological issues.</w:t>
      </w:r>
      <w:r w:rsidRPr="00583644">
        <w:rPr>
          <w:rFonts w:cs="Times New Roman"/>
          <w:vertAlign w:val="superscript"/>
          <w:lang w:val="en-IN"/>
        </w:rPr>
        <w:t>[19]</w:t>
      </w:r>
      <w:r w:rsidRPr="00583644">
        <w:rPr>
          <w:rFonts w:cs="Times New Roman"/>
          <w:lang w:val="en-IN"/>
        </w:rPr>
        <w:t xml:space="preserve"> Urea cycle disorders prevent ammonia conversion to urea, causing dangerous levels of ammonia in the blood.</w:t>
      </w:r>
      <w:r w:rsidRPr="00583644">
        <w:rPr>
          <w:rFonts w:cs="Times New Roman"/>
          <w:vertAlign w:val="superscript"/>
          <w:lang w:val="en-IN"/>
        </w:rPr>
        <w:t>[20]</w:t>
      </w:r>
    </w:p>
    <w:p w14:paraId="1D0078B7" w14:textId="77777777" w:rsidR="00B4211C" w:rsidRPr="00583644" w:rsidRDefault="00B4211C" w:rsidP="00583644">
      <w:pPr>
        <w:rPr>
          <w:rFonts w:cs="Times New Roman"/>
          <w:b/>
          <w:bCs/>
          <w:color w:val="000000" w:themeColor="text1"/>
          <w:lang w:val="en-IN"/>
        </w:rPr>
      </w:pPr>
      <w:r w:rsidRPr="00583644">
        <w:rPr>
          <w:rFonts w:cs="Times New Roman"/>
          <w:b/>
          <w:bCs/>
          <w:color w:val="000000" w:themeColor="text1"/>
          <w:lang w:val="en-IN"/>
        </w:rPr>
        <w:t>DENTAL IMPLICATIONS AND MANAGEMENT</w:t>
      </w:r>
    </w:p>
    <w:p w14:paraId="3623BCC1" w14:textId="77777777" w:rsidR="00B4211C" w:rsidRPr="00583644" w:rsidRDefault="00B4211C" w:rsidP="00583644">
      <w:pPr>
        <w:rPr>
          <w:rFonts w:cs="Times New Roman"/>
          <w:lang w:val="en-IN"/>
        </w:rPr>
      </w:pPr>
      <w:r w:rsidRPr="00583644">
        <w:rPr>
          <w:rFonts w:cs="Times New Roman"/>
          <w:lang w:val="en-IN"/>
        </w:rPr>
        <w:t>Protein metabolism disorders impact oral health, particularly in children. These conditions can lead to enamel hypoplasia, increasing caries risk, and cause reduced saliva production, promoting dry mouth and cavities.</w:t>
      </w:r>
      <w:r w:rsidRPr="00583644">
        <w:rPr>
          <w:rFonts w:cs="Times New Roman"/>
          <w:vertAlign w:val="superscript"/>
          <w:lang w:val="en-IN"/>
        </w:rPr>
        <w:t>[21]</w:t>
      </w:r>
      <w:r w:rsidRPr="00583644">
        <w:rPr>
          <w:rFonts w:cs="Times New Roman"/>
          <w:lang w:val="en-IN"/>
        </w:rPr>
        <w:t xml:space="preserve"> Periodontal disease is also common, with metabolic disruptions exacerbating gum inflammation.</w:t>
      </w:r>
      <w:r w:rsidRPr="00583644">
        <w:rPr>
          <w:rFonts w:cs="Times New Roman"/>
          <w:vertAlign w:val="superscript"/>
          <w:lang w:val="en-IN"/>
        </w:rPr>
        <w:t>[22]</w:t>
      </w:r>
      <w:r w:rsidRPr="00583644">
        <w:rPr>
          <w:rFonts w:cs="Times New Roman"/>
          <w:lang w:val="en-IN"/>
        </w:rPr>
        <w:t xml:space="preserve"> Restricted diets can lead to nutritional deficiencies, further weakening teeth and promoting decay.</w:t>
      </w:r>
      <w:r w:rsidRPr="00583644">
        <w:rPr>
          <w:rFonts w:cs="Times New Roman"/>
          <w:vertAlign w:val="superscript"/>
          <w:lang w:val="en-IN"/>
        </w:rPr>
        <w:t>[23]</w:t>
      </w:r>
      <w:r w:rsidRPr="00583644">
        <w:rPr>
          <w:rFonts w:cs="Times New Roman"/>
          <w:lang w:val="en-IN"/>
        </w:rPr>
        <w:t xml:space="preserve"> Additionally, altered diets and frequent antibiotics can disrupt the oral microbiome, increasing susceptibility to dental issues.</w:t>
      </w:r>
      <w:r w:rsidRPr="00583644">
        <w:rPr>
          <w:rFonts w:cs="Times New Roman"/>
          <w:vertAlign w:val="superscript"/>
          <w:lang w:val="en-IN"/>
        </w:rPr>
        <w:t>[24]</w:t>
      </w:r>
      <w:r w:rsidRPr="00583644">
        <w:rPr>
          <w:rFonts w:cs="Times New Roman"/>
          <w:lang w:val="en-IN"/>
        </w:rPr>
        <w:t xml:space="preserve"> A coordinated approach between dentists, specialists, and dietitians is crucial for effective care.</w:t>
      </w:r>
    </w:p>
    <w:p w14:paraId="140CFB67" w14:textId="77777777" w:rsidR="00B4211C" w:rsidRPr="00583644" w:rsidRDefault="00B4211C" w:rsidP="00583644">
      <w:pPr>
        <w:pStyle w:val="ListParagraph"/>
        <w:numPr>
          <w:ilvl w:val="0"/>
          <w:numId w:val="7"/>
        </w:numPr>
        <w:spacing w:after="160"/>
        <w:rPr>
          <w:rFonts w:cs="Times New Roman"/>
          <w:lang w:val="en-IN"/>
        </w:rPr>
      </w:pPr>
      <w:r w:rsidRPr="00583644">
        <w:rPr>
          <w:rFonts w:cs="Times New Roman"/>
          <w:b/>
          <w:bCs/>
          <w:lang w:val="en-IN"/>
        </w:rPr>
        <w:t>Fatty Acid Oxidation Disorders (FAODs)</w:t>
      </w:r>
    </w:p>
    <w:p w14:paraId="5115563D" w14:textId="77777777" w:rsidR="00B4211C" w:rsidRPr="00583644" w:rsidRDefault="00B4211C" w:rsidP="00583644">
      <w:pPr>
        <w:rPr>
          <w:rFonts w:cs="Times New Roman"/>
          <w:vertAlign w:val="superscript"/>
          <w:lang w:val="en-IN"/>
        </w:rPr>
      </w:pPr>
      <w:r w:rsidRPr="00583644">
        <w:rPr>
          <w:rFonts w:cs="Times New Roman"/>
          <w:lang w:val="en-IN"/>
        </w:rPr>
        <w:t>Fatty Acid Oxidation Disorders (FAODs) are inherited metabolic conditions caused by enzyme deficiencies that impair fatty acid breakdown, leading to their accumulation and various clinical manifestations.</w:t>
      </w:r>
      <w:r w:rsidRPr="00583644">
        <w:rPr>
          <w:rFonts w:cs="Times New Roman"/>
          <w:vertAlign w:val="superscript"/>
          <w:lang w:val="en-IN"/>
        </w:rPr>
        <w:t>[25]</w:t>
      </w:r>
    </w:p>
    <w:p w14:paraId="3A9A485D" w14:textId="77777777" w:rsidR="00B4211C" w:rsidRPr="00583644" w:rsidRDefault="00B4211C" w:rsidP="00583644">
      <w:pPr>
        <w:rPr>
          <w:rFonts w:cs="Times New Roman"/>
          <w:vertAlign w:val="superscript"/>
          <w:lang w:val="en-IN"/>
        </w:rPr>
      </w:pPr>
      <w:r w:rsidRPr="00583644">
        <w:rPr>
          <w:rFonts w:cs="Times New Roman"/>
          <w:lang w:val="en-IN"/>
        </w:rPr>
        <w:t>FAODs involve defects in enzymes responsible for converting fatty acids into acetyl-CoA, essential for energy.</w:t>
      </w:r>
      <w:r w:rsidRPr="00583644">
        <w:rPr>
          <w:rFonts w:cs="Times New Roman"/>
          <w:vertAlign w:val="superscript"/>
          <w:lang w:val="en-IN"/>
        </w:rPr>
        <w:t>[26]</w:t>
      </w:r>
      <w:r w:rsidRPr="00583644">
        <w:rPr>
          <w:rFonts w:cs="Times New Roman"/>
          <w:lang w:val="en-IN"/>
        </w:rPr>
        <w:t xml:space="preserve"> Common types include MCADD, VLCADD, and LCHADD. These defects cause the buildup of harmful metabolites like acylcarnitine and free fatty acids, triggering metabolic crises during fasting or illness, which can damage organs such as the liver, heart, and muscles.</w:t>
      </w:r>
      <w:r w:rsidRPr="00583644">
        <w:rPr>
          <w:rFonts w:cs="Times New Roman"/>
          <w:vertAlign w:val="superscript"/>
          <w:lang w:val="en-IN"/>
        </w:rPr>
        <w:t>[27]</w:t>
      </w:r>
    </w:p>
    <w:p w14:paraId="4BD6E855" w14:textId="77777777" w:rsidR="00B4211C" w:rsidRPr="00583644" w:rsidRDefault="00B4211C" w:rsidP="00583644">
      <w:pPr>
        <w:rPr>
          <w:rFonts w:cs="Times New Roman"/>
          <w:b/>
          <w:bCs/>
          <w:color w:val="000000" w:themeColor="text1"/>
          <w:lang w:val="en-IN"/>
        </w:rPr>
      </w:pPr>
      <w:r w:rsidRPr="00583644">
        <w:rPr>
          <w:rFonts w:cs="Times New Roman"/>
          <w:b/>
          <w:bCs/>
          <w:color w:val="000000" w:themeColor="text1"/>
          <w:lang w:val="en-IN"/>
        </w:rPr>
        <w:t>DENTAL IMPLICATIONS AND MANAGEMENT</w:t>
      </w:r>
    </w:p>
    <w:p w14:paraId="0E9BE8D6" w14:textId="77777777" w:rsidR="00B4211C" w:rsidRPr="00583644" w:rsidRDefault="00B4211C" w:rsidP="00583644">
      <w:pPr>
        <w:rPr>
          <w:rFonts w:cs="Times New Roman"/>
          <w:vertAlign w:val="superscript"/>
          <w:lang w:val="en-IN"/>
        </w:rPr>
      </w:pPr>
      <w:r w:rsidRPr="00583644">
        <w:rPr>
          <w:rFonts w:cs="Times New Roman"/>
          <w:lang w:val="en-IN"/>
        </w:rPr>
        <w:t>FAODs significantly impact oral health due to their effects on overall metabolism. Metabolic crises, dietary restrictions, and altered nutrient intake can increase the risk of dental caries and periodontal disease.</w:t>
      </w:r>
      <w:r w:rsidRPr="00583644">
        <w:rPr>
          <w:rFonts w:cs="Times New Roman"/>
          <w:vertAlign w:val="superscript"/>
          <w:lang w:val="en-IN"/>
        </w:rPr>
        <w:t>[28]</w:t>
      </w:r>
      <w:r w:rsidRPr="00583644">
        <w:rPr>
          <w:rFonts w:cs="Times New Roman"/>
          <w:lang w:val="en-IN"/>
        </w:rPr>
        <w:t xml:space="preserve"> Liver dysfunction in some FAODs may lead to vitamin and mineral deficiencies, contributing to enamel hypoplasia and jawbone osteoporosis.</w:t>
      </w:r>
      <w:r w:rsidRPr="00583644">
        <w:rPr>
          <w:rFonts w:cs="Times New Roman"/>
          <w:vertAlign w:val="superscript"/>
          <w:lang w:val="en-IN"/>
        </w:rPr>
        <w:t>[29]</w:t>
      </w:r>
      <w:r w:rsidRPr="00583644">
        <w:rPr>
          <w:rFonts w:cs="Times New Roman"/>
          <w:lang w:val="en-IN"/>
        </w:rPr>
        <w:t xml:space="preserve"> FAODs can also disrupt the oral microbiome, increasing the risk of caries and gum disease by promoting dysbiosis and harmful bacterial growth.</w:t>
      </w:r>
      <w:r w:rsidRPr="00583644">
        <w:rPr>
          <w:rFonts w:cs="Times New Roman"/>
          <w:vertAlign w:val="superscript"/>
          <w:lang w:val="en-IN"/>
        </w:rPr>
        <w:t>[30]</w:t>
      </w:r>
    </w:p>
    <w:p w14:paraId="0E40190F" w14:textId="77777777" w:rsidR="00B4211C" w:rsidRPr="00583644" w:rsidRDefault="00B4211C" w:rsidP="00583644">
      <w:pPr>
        <w:pStyle w:val="ListParagraph"/>
        <w:numPr>
          <w:ilvl w:val="0"/>
          <w:numId w:val="7"/>
        </w:numPr>
        <w:spacing w:after="160"/>
        <w:rPr>
          <w:rFonts w:cs="Times New Roman"/>
          <w:b/>
          <w:bCs/>
          <w:lang w:val="en-IN"/>
        </w:rPr>
      </w:pPr>
      <w:r w:rsidRPr="00583644">
        <w:rPr>
          <w:rFonts w:cs="Times New Roman"/>
          <w:b/>
          <w:bCs/>
          <w:lang w:val="en-IN"/>
        </w:rPr>
        <w:t>Glycogen Storage Disorders</w:t>
      </w:r>
    </w:p>
    <w:p w14:paraId="4C0E1A95" w14:textId="77777777" w:rsidR="00B4211C" w:rsidRPr="00583644" w:rsidRDefault="00B4211C" w:rsidP="00583644">
      <w:pPr>
        <w:rPr>
          <w:rFonts w:cs="Times New Roman"/>
          <w:vertAlign w:val="superscript"/>
          <w:lang w:val="en-IN"/>
        </w:rPr>
      </w:pPr>
      <w:r w:rsidRPr="00583644">
        <w:rPr>
          <w:rFonts w:cs="Times New Roman"/>
          <w:lang w:val="en-IN"/>
        </w:rPr>
        <w:t>Glycogen Storage Disorders (GSDs) are inherited metabolic conditions caused by enzyme deficiencies that affect glycogen synthesis or breakdown, leading to abnormal glycogen accumulation in tissues such as the liver and muscles.</w:t>
      </w:r>
      <w:r w:rsidRPr="00583644">
        <w:rPr>
          <w:rFonts w:cs="Times New Roman"/>
          <w:vertAlign w:val="superscript"/>
          <w:lang w:val="en-IN"/>
        </w:rPr>
        <w:t>[31]</w:t>
      </w:r>
    </w:p>
    <w:p w14:paraId="541EA091" w14:textId="77777777" w:rsidR="00B4211C" w:rsidRPr="00583644" w:rsidRDefault="00B4211C" w:rsidP="00583644">
      <w:pPr>
        <w:rPr>
          <w:rFonts w:cs="Times New Roman"/>
          <w:vertAlign w:val="superscript"/>
          <w:lang w:val="en-IN"/>
        </w:rPr>
      </w:pPr>
      <w:r w:rsidRPr="00583644">
        <w:rPr>
          <w:rFonts w:cs="Times New Roman"/>
          <w:lang w:val="en-IN"/>
        </w:rPr>
        <w:lastRenderedPageBreak/>
        <w:t>GSDs disrupt glycogen metabolism, with types like GSD-I caused by glucose-6-phosphatase deficiency, preventing glucose conversion and causing glycogen buildup in the liver and kidneys.</w:t>
      </w:r>
      <w:r w:rsidRPr="00583644">
        <w:rPr>
          <w:rFonts w:cs="Times New Roman"/>
          <w:vertAlign w:val="superscript"/>
          <w:lang w:val="en-IN"/>
        </w:rPr>
        <w:t>[32]</w:t>
      </w:r>
      <w:r w:rsidRPr="00583644">
        <w:rPr>
          <w:rFonts w:cs="Times New Roman"/>
          <w:lang w:val="en-IN"/>
        </w:rPr>
        <w:t xml:space="preserve"> GSD-III results from a glycogen debranching enzyme deficiency, leading to abnormal glycogen structures.</w:t>
      </w:r>
      <w:r w:rsidRPr="00583644">
        <w:rPr>
          <w:rFonts w:cs="Times New Roman"/>
          <w:vertAlign w:val="superscript"/>
          <w:lang w:val="en-IN"/>
        </w:rPr>
        <w:t>[33]</w:t>
      </w:r>
      <w:r w:rsidRPr="00583644">
        <w:rPr>
          <w:rFonts w:cs="Times New Roman"/>
          <w:lang w:val="en-IN"/>
        </w:rPr>
        <w:t xml:space="preserve"> These conditions cause symptoms like hepatomegaly, muscle weakness, and </w:t>
      </w:r>
      <w:proofErr w:type="spellStart"/>
      <w:r w:rsidRPr="00583644">
        <w:rPr>
          <w:rFonts w:cs="Times New Roman"/>
          <w:lang w:val="en-IN"/>
        </w:rPr>
        <w:t>hypoglycemia</w:t>
      </w:r>
      <w:proofErr w:type="spellEnd"/>
      <w:r w:rsidRPr="00583644">
        <w:rPr>
          <w:rFonts w:cs="Times New Roman"/>
          <w:lang w:val="en-IN"/>
        </w:rPr>
        <w:t>, especially during fasting or illness.</w:t>
      </w:r>
      <w:r w:rsidRPr="00583644">
        <w:rPr>
          <w:rFonts w:cs="Times New Roman"/>
          <w:vertAlign w:val="superscript"/>
          <w:lang w:val="en-IN"/>
        </w:rPr>
        <w:t>[34]</w:t>
      </w:r>
    </w:p>
    <w:p w14:paraId="3602BDBB" w14:textId="77777777" w:rsidR="00B4211C" w:rsidRPr="00583644" w:rsidRDefault="00B4211C" w:rsidP="00583644">
      <w:pPr>
        <w:rPr>
          <w:rFonts w:cs="Times New Roman"/>
          <w:b/>
          <w:bCs/>
          <w:color w:val="000000" w:themeColor="text1"/>
          <w:lang w:val="en-IN"/>
        </w:rPr>
      </w:pPr>
      <w:r w:rsidRPr="00583644">
        <w:rPr>
          <w:rFonts w:cs="Times New Roman"/>
          <w:b/>
          <w:bCs/>
          <w:color w:val="000000" w:themeColor="text1"/>
          <w:lang w:val="en-IN"/>
        </w:rPr>
        <w:t>DENTAL IMPLICATIONS AND MANAGEMENT</w:t>
      </w:r>
    </w:p>
    <w:p w14:paraId="7B148F09" w14:textId="0FA12A4E" w:rsidR="00AF4FC8" w:rsidRPr="009E4168" w:rsidRDefault="00B4211C" w:rsidP="009E4168">
      <w:pPr>
        <w:rPr>
          <w:rFonts w:cs="Times New Roman"/>
          <w:vertAlign w:val="superscript"/>
          <w:lang w:val="en-IN"/>
        </w:rPr>
      </w:pPr>
      <w:r w:rsidRPr="00583644">
        <w:rPr>
          <w:rFonts w:cs="Times New Roman"/>
          <w:lang w:val="en-IN"/>
        </w:rPr>
        <w:t xml:space="preserve">GSDs impact oral health, with periodontal disease being a significant issue. GSD Type </w:t>
      </w:r>
      <w:proofErr w:type="spellStart"/>
      <w:r w:rsidRPr="00583644">
        <w:rPr>
          <w:rFonts w:cs="Times New Roman"/>
          <w:lang w:val="en-IN"/>
        </w:rPr>
        <w:t>Ib</w:t>
      </w:r>
      <w:proofErr w:type="spellEnd"/>
      <w:r w:rsidRPr="00583644">
        <w:rPr>
          <w:rFonts w:cs="Times New Roman"/>
          <w:lang w:val="en-IN"/>
        </w:rPr>
        <w:t xml:space="preserve"> is associated with increased periodontal inflammation and tissue loss due to neutropenia, accelerating periodontal destruction.</w:t>
      </w:r>
      <w:r w:rsidRPr="00583644">
        <w:rPr>
          <w:rFonts w:cs="Times New Roman"/>
          <w:vertAlign w:val="superscript"/>
          <w:lang w:val="en-IN"/>
        </w:rPr>
        <w:t>[35]</w:t>
      </w:r>
      <w:r w:rsidRPr="00583644">
        <w:rPr>
          <w:rFonts w:cs="Times New Roman"/>
          <w:lang w:val="en-IN"/>
        </w:rPr>
        <w:t xml:space="preserve"> The metabolic and immune disruptions in GSDs also worsen oral health, increasing the risk of caries and enamel hypoplasia. Nutritional deficiencies affect tooth development, making dental decay more likely.</w:t>
      </w:r>
      <w:r w:rsidRPr="00583644">
        <w:rPr>
          <w:rFonts w:cs="Times New Roman"/>
          <w:vertAlign w:val="superscript"/>
          <w:lang w:val="en-IN"/>
        </w:rPr>
        <w:t>[36]</w:t>
      </w:r>
      <w:r w:rsidRPr="00583644">
        <w:rPr>
          <w:rFonts w:cs="Times New Roman"/>
          <w:lang w:val="en-IN"/>
        </w:rPr>
        <w:t xml:space="preserve"> Dental care for GSD patients requires a multidisciplinary approach, with regular check-ups and preventive care to address the unique needs of each patient based on their specific type of GSD.</w:t>
      </w:r>
      <w:r w:rsidRPr="00583644">
        <w:rPr>
          <w:rFonts w:cs="Times New Roman"/>
          <w:vertAlign w:val="superscript"/>
          <w:lang w:val="en-IN"/>
        </w:rPr>
        <w:t>[37]</w:t>
      </w:r>
    </w:p>
    <w:tbl>
      <w:tblPr>
        <w:tblStyle w:val="TableGridLight"/>
        <w:tblW w:w="0" w:type="auto"/>
        <w:tblLook w:val="04A0" w:firstRow="1" w:lastRow="0" w:firstColumn="1" w:lastColumn="0" w:noHBand="0" w:noVBand="1"/>
      </w:tblPr>
      <w:tblGrid>
        <w:gridCol w:w="2401"/>
        <w:gridCol w:w="3533"/>
        <w:gridCol w:w="3076"/>
      </w:tblGrid>
      <w:tr w:rsidR="00AF4FC8" w:rsidRPr="00583644" w14:paraId="430B61F1" w14:textId="77777777" w:rsidTr="00AF4FC8">
        <w:tc>
          <w:tcPr>
            <w:tcW w:w="0" w:type="auto"/>
            <w:hideMark/>
          </w:tcPr>
          <w:p w14:paraId="1F9D4B20" w14:textId="77777777" w:rsidR="00AF4FC8" w:rsidRPr="00583644" w:rsidRDefault="00AF4FC8" w:rsidP="00583644">
            <w:pPr>
              <w:ind w:firstLine="0"/>
              <w:rPr>
                <w:rFonts w:cs="Times New Roman"/>
                <w:b/>
                <w:bCs/>
                <w:lang w:val="en-IN"/>
              </w:rPr>
            </w:pPr>
            <w:r w:rsidRPr="00583644">
              <w:rPr>
                <w:rFonts w:cs="Times New Roman"/>
                <w:b/>
                <w:bCs/>
                <w:lang w:val="en-IN"/>
              </w:rPr>
              <w:t>Metabolic Disorder</w:t>
            </w:r>
          </w:p>
        </w:tc>
        <w:tc>
          <w:tcPr>
            <w:tcW w:w="0" w:type="auto"/>
            <w:hideMark/>
          </w:tcPr>
          <w:p w14:paraId="7057BF12" w14:textId="77777777" w:rsidR="00AF4FC8" w:rsidRPr="00583644" w:rsidRDefault="00AF4FC8" w:rsidP="00583644">
            <w:pPr>
              <w:ind w:firstLine="0"/>
              <w:rPr>
                <w:rFonts w:cs="Times New Roman"/>
                <w:b/>
                <w:bCs/>
                <w:lang w:val="en-IN"/>
              </w:rPr>
            </w:pPr>
            <w:r w:rsidRPr="00583644">
              <w:rPr>
                <w:rFonts w:cs="Times New Roman"/>
                <w:b/>
                <w:bCs/>
                <w:lang w:val="en-IN"/>
              </w:rPr>
              <w:t>Dental Implications</w:t>
            </w:r>
          </w:p>
        </w:tc>
        <w:tc>
          <w:tcPr>
            <w:tcW w:w="0" w:type="auto"/>
            <w:hideMark/>
          </w:tcPr>
          <w:p w14:paraId="714A1B6F" w14:textId="77777777" w:rsidR="00AF4FC8" w:rsidRPr="00583644" w:rsidRDefault="00AF4FC8" w:rsidP="00583644">
            <w:pPr>
              <w:ind w:firstLine="0"/>
              <w:rPr>
                <w:rFonts w:cs="Times New Roman"/>
                <w:b/>
                <w:bCs/>
                <w:lang w:val="en-IN"/>
              </w:rPr>
            </w:pPr>
            <w:r w:rsidRPr="00583644">
              <w:rPr>
                <w:rFonts w:cs="Times New Roman"/>
                <w:b/>
                <w:bCs/>
                <w:lang w:val="en-IN"/>
              </w:rPr>
              <w:t>Management Strategies</w:t>
            </w:r>
          </w:p>
        </w:tc>
      </w:tr>
      <w:tr w:rsidR="00AF4FC8" w:rsidRPr="00583644" w14:paraId="3456A25E" w14:textId="77777777" w:rsidTr="00AF4FC8">
        <w:tc>
          <w:tcPr>
            <w:tcW w:w="0" w:type="auto"/>
            <w:hideMark/>
          </w:tcPr>
          <w:p w14:paraId="26B934B1" w14:textId="77777777" w:rsidR="00AF4FC8" w:rsidRPr="00583644" w:rsidRDefault="00AF4FC8" w:rsidP="00583644">
            <w:pPr>
              <w:ind w:firstLine="0"/>
              <w:rPr>
                <w:rFonts w:cs="Times New Roman"/>
                <w:lang w:val="en-IN"/>
              </w:rPr>
            </w:pPr>
            <w:r w:rsidRPr="00583644">
              <w:rPr>
                <w:rFonts w:cs="Times New Roman"/>
                <w:b/>
                <w:bCs/>
                <w:lang w:val="en-IN"/>
              </w:rPr>
              <w:t>Carbohydrate Metabolism Disorders (e.g., Diabetes)</w:t>
            </w:r>
          </w:p>
        </w:tc>
        <w:tc>
          <w:tcPr>
            <w:tcW w:w="0" w:type="auto"/>
            <w:hideMark/>
          </w:tcPr>
          <w:p w14:paraId="2A27317C" w14:textId="77777777" w:rsidR="00AF4FC8" w:rsidRPr="00583644" w:rsidRDefault="00AF4FC8" w:rsidP="00583644">
            <w:pPr>
              <w:ind w:firstLine="0"/>
              <w:rPr>
                <w:rFonts w:cs="Times New Roman"/>
                <w:lang w:val="en-IN"/>
              </w:rPr>
            </w:pPr>
            <w:r w:rsidRPr="00583644">
              <w:rPr>
                <w:rFonts w:cs="Times New Roman"/>
                <w:lang w:val="en-IN"/>
              </w:rPr>
              <w:t xml:space="preserve">- Increased risk of caries and periodontal disease due to elevated blood glucose and AGEs. </w:t>
            </w:r>
            <w:r w:rsidRPr="00583644">
              <w:rPr>
                <w:rFonts w:cs="Times New Roman"/>
                <w:lang w:val="en-IN"/>
              </w:rPr>
              <w:br/>
              <w:t>- High-sugar diet shifts the oral microbiome, promoting pathogenic bacteria.</w:t>
            </w:r>
          </w:p>
        </w:tc>
        <w:tc>
          <w:tcPr>
            <w:tcW w:w="0" w:type="auto"/>
            <w:hideMark/>
          </w:tcPr>
          <w:p w14:paraId="3CA22AF4" w14:textId="77777777" w:rsidR="00AF4FC8" w:rsidRPr="00583644" w:rsidRDefault="00AF4FC8" w:rsidP="00583644">
            <w:pPr>
              <w:ind w:firstLine="0"/>
              <w:rPr>
                <w:rFonts w:cs="Times New Roman"/>
                <w:lang w:val="en-IN"/>
              </w:rPr>
            </w:pPr>
            <w:r w:rsidRPr="00583644">
              <w:rPr>
                <w:rFonts w:cs="Times New Roman"/>
                <w:lang w:val="en-IN"/>
              </w:rPr>
              <w:t xml:space="preserve">- Dietary management to reduce sugar intake. </w:t>
            </w:r>
            <w:r w:rsidRPr="00583644">
              <w:rPr>
                <w:rFonts w:cs="Times New Roman"/>
                <w:lang w:val="en-IN"/>
              </w:rPr>
              <w:br/>
              <w:t>- Regular dental check-ups for early detection and intervention.</w:t>
            </w:r>
          </w:p>
        </w:tc>
      </w:tr>
      <w:tr w:rsidR="00AF4FC8" w:rsidRPr="00583644" w14:paraId="1090C90C" w14:textId="77777777" w:rsidTr="00AF4FC8">
        <w:tc>
          <w:tcPr>
            <w:tcW w:w="0" w:type="auto"/>
            <w:hideMark/>
          </w:tcPr>
          <w:p w14:paraId="7A9FADD0" w14:textId="77777777" w:rsidR="00AF4FC8" w:rsidRPr="00583644" w:rsidRDefault="00AF4FC8" w:rsidP="00583644">
            <w:pPr>
              <w:ind w:firstLine="0"/>
              <w:rPr>
                <w:rFonts w:cs="Times New Roman"/>
                <w:lang w:val="en-IN"/>
              </w:rPr>
            </w:pPr>
            <w:r w:rsidRPr="00583644">
              <w:rPr>
                <w:rFonts w:cs="Times New Roman"/>
                <w:b/>
                <w:bCs/>
                <w:lang w:val="en-IN"/>
              </w:rPr>
              <w:t>Protein Metabolism Disorders</w:t>
            </w:r>
          </w:p>
        </w:tc>
        <w:tc>
          <w:tcPr>
            <w:tcW w:w="0" w:type="auto"/>
            <w:hideMark/>
          </w:tcPr>
          <w:p w14:paraId="5ADBF135" w14:textId="77777777" w:rsidR="00AF4FC8" w:rsidRPr="00583644" w:rsidRDefault="00AF4FC8" w:rsidP="00583644">
            <w:pPr>
              <w:ind w:firstLine="0"/>
              <w:rPr>
                <w:rFonts w:cs="Times New Roman"/>
                <w:lang w:val="en-IN"/>
              </w:rPr>
            </w:pPr>
            <w:r w:rsidRPr="00583644">
              <w:rPr>
                <w:rFonts w:cs="Times New Roman"/>
                <w:lang w:val="en-IN"/>
              </w:rPr>
              <w:t xml:space="preserve">- Enamel hypoplasia, increasing caries risk. </w:t>
            </w:r>
            <w:r w:rsidRPr="00583644">
              <w:rPr>
                <w:rFonts w:cs="Times New Roman"/>
                <w:lang w:val="en-IN"/>
              </w:rPr>
              <w:br/>
              <w:t xml:space="preserve">- Reduced saliva production, leading to dry mouth and cavities. </w:t>
            </w:r>
            <w:r w:rsidRPr="00583644">
              <w:rPr>
                <w:rFonts w:cs="Times New Roman"/>
                <w:lang w:val="en-IN"/>
              </w:rPr>
              <w:br/>
              <w:t xml:space="preserve">- Exacerbation of periodontal disease due to metabolic disruptions. </w:t>
            </w:r>
            <w:r w:rsidRPr="00583644">
              <w:rPr>
                <w:rFonts w:cs="Times New Roman"/>
                <w:lang w:val="en-IN"/>
              </w:rPr>
              <w:br/>
              <w:t xml:space="preserve">- Nutritional deficiencies weakening teeth and increasing decay. </w:t>
            </w:r>
            <w:r w:rsidRPr="00583644">
              <w:rPr>
                <w:rFonts w:cs="Times New Roman"/>
                <w:lang w:val="en-IN"/>
              </w:rPr>
              <w:br/>
              <w:t>- Altered diets and antibiotic use disrupting the oral microbiome.</w:t>
            </w:r>
          </w:p>
        </w:tc>
        <w:tc>
          <w:tcPr>
            <w:tcW w:w="0" w:type="auto"/>
            <w:hideMark/>
          </w:tcPr>
          <w:p w14:paraId="42C166C7" w14:textId="77777777" w:rsidR="00AF4FC8" w:rsidRPr="00583644" w:rsidRDefault="00AF4FC8" w:rsidP="00583644">
            <w:pPr>
              <w:ind w:firstLine="0"/>
              <w:rPr>
                <w:rFonts w:cs="Times New Roman"/>
                <w:lang w:val="en-IN"/>
              </w:rPr>
            </w:pPr>
            <w:r w:rsidRPr="00583644">
              <w:rPr>
                <w:rFonts w:cs="Times New Roman"/>
                <w:lang w:val="en-IN"/>
              </w:rPr>
              <w:t xml:space="preserve">- Coordination between dentists, specialists, and dietitians for comprehensive care. </w:t>
            </w:r>
            <w:r w:rsidRPr="00583644">
              <w:rPr>
                <w:rFonts w:cs="Times New Roman"/>
                <w:lang w:val="en-IN"/>
              </w:rPr>
              <w:br/>
              <w:t>- Saliva substitutes and fluoride treatments to mitigate dry mouth effects.</w:t>
            </w:r>
          </w:p>
        </w:tc>
      </w:tr>
      <w:tr w:rsidR="00AF4FC8" w:rsidRPr="00583644" w14:paraId="0DA75CF7" w14:textId="77777777" w:rsidTr="00AF4FC8">
        <w:tc>
          <w:tcPr>
            <w:tcW w:w="0" w:type="auto"/>
            <w:hideMark/>
          </w:tcPr>
          <w:p w14:paraId="1D7D824A" w14:textId="77777777" w:rsidR="00AF4FC8" w:rsidRPr="00583644" w:rsidRDefault="00AF4FC8" w:rsidP="00583644">
            <w:pPr>
              <w:ind w:firstLine="0"/>
              <w:rPr>
                <w:rFonts w:cs="Times New Roman"/>
                <w:lang w:val="en-IN"/>
              </w:rPr>
            </w:pPr>
            <w:r w:rsidRPr="00583644">
              <w:rPr>
                <w:rFonts w:cs="Times New Roman"/>
                <w:b/>
                <w:bCs/>
                <w:lang w:val="en-IN"/>
              </w:rPr>
              <w:lastRenderedPageBreak/>
              <w:t>Fatty Acid Oxidation Disorders (FAODs)</w:t>
            </w:r>
          </w:p>
        </w:tc>
        <w:tc>
          <w:tcPr>
            <w:tcW w:w="0" w:type="auto"/>
            <w:hideMark/>
          </w:tcPr>
          <w:p w14:paraId="72FC1BCF" w14:textId="77777777" w:rsidR="00AF4FC8" w:rsidRPr="00583644" w:rsidRDefault="00AF4FC8" w:rsidP="00583644">
            <w:pPr>
              <w:ind w:firstLine="0"/>
              <w:rPr>
                <w:rFonts w:cs="Times New Roman"/>
                <w:lang w:val="en-IN"/>
              </w:rPr>
            </w:pPr>
            <w:r w:rsidRPr="00583644">
              <w:rPr>
                <w:rFonts w:cs="Times New Roman"/>
                <w:lang w:val="en-IN"/>
              </w:rPr>
              <w:t xml:space="preserve">- Higher risk of caries and periodontal disease due to metabolic crises and dietary restrictions. </w:t>
            </w:r>
            <w:r w:rsidRPr="00583644">
              <w:rPr>
                <w:rFonts w:cs="Times New Roman"/>
                <w:lang w:val="en-IN"/>
              </w:rPr>
              <w:br/>
              <w:t xml:space="preserve">- Liver dysfunction leading to vitamin and mineral deficiencies, contributing to enamel hypoplasia and jawbone osteoporosis. </w:t>
            </w:r>
            <w:r w:rsidRPr="00583644">
              <w:rPr>
                <w:rFonts w:cs="Times New Roman"/>
                <w:lang w:val="en-IN"/>
              </w:rPr>
              <w:br/>
              <w:t>- Disruption of the oral microbiome, promoting dysbiosis and harmful bacterial growth.</w:t>
            </w:r>
          </w:p>
        </w:tc>
        <w:tc>
          <w:tcPr>
            <w:tcW w:w="0" w:type="auto"/>
            <w:hideMark/>
          </w:tcPr>
          <w:p w14:paraId="4CC3C69D" w14:textId="77777777" w:rsidR="00AF4FC8" w:rsidRPr="00583644" w:rsidRDefault="00AF4FC8" w:rsidP="00583644">
            <w:pPr>
              <w:ind w:firstLine="0"/>
              <w:rPr>
                <w:rFonts w:cs="Times New Roman"/>
                <w:lang w:val="en-IN"/>
              </w:rPr>
            </w:pPr>
            <w:r w:rsidRPr="00583644">
              <w:rPr>
                <w:rFonts w:cs="Times New Roman"/>
                <w:lang w:val="en-IN"/>
              </w:rPr>
              <w:t xml:space="preserve">- Nutritional monitoring to prevent deficiencies. </w:t>
            </w:r>
            <w:r w:rsidRPr="00583644">
              <w:rPr>
                <w:rFonts w:cs="Times New Roman"/>
                <w:lang w:val="en-IN"/>
              </w:rPr>
              <w:br/>
              <w:t xml:space="preserve">- Oral probiotics and antimicrobial strategies to maintain a healthy microbiome. </w:t>
            </w:r>
            <w:r w:rsidRPr="00583644">
              <w:rPr>
                <w:rFonts w:cs="Times New Roman"/>
                <w:lang w:val="en-IN"/>
              </w:rPr>
              <w:br/>
              <w:t>- Preventive dental care for caries and periodontal disease.</w:t>
            </w:r>
          </w:p>
        </w:tc>
      </w:tr>
      <w:tr w:rsidR="00AF4FC8" w:rsidRPr="00583644" w14:paraId="40C5FCF2" w14:textId="77777777" w:rsidTr="00AF4FC8">
        <w:tc>
          <w:tcPr>
            <w:tcW w:w="0" w:type="auto"/>
            <w:hideMark/>
          </w:tcPr>
          <w:p w14:paraId="68A620BB" w14:textId="77777777" w:rsidR="00AF4FC8" w:rsidRPr="00583644" w:rsidRDefault="00AF4FC8" w:rsidP="00583644">
            <w:pPr>
              <w:ind w:firstLine="0"/>
              <w:rPr>
                <w:rFonts w:cs="Times New Roman"/>
                <w:lang w:val="en-IN"/>
              </w:rPr>
            </w:pPr>
            <w:r w:rsidRPr="00583644">
              <w:rPr>
                <w:rFonts w:cs="Times New Roman"/>
                <w:b/>
                <w:bCs/>
                <w:lang w:val="en-IN"/>
              </w:rPr>
              <w:t>Glycogen Storage Diseases (GSDs)</w:t>
            </w:r>
          </w:p>
        </w:tc>
        <w:tc>
          <w:tcPr>
            <w:tcW w:w="0" w:type="auto"/>
            <w:hideMark/>
          </w:tcPr>
          <w:p w14:paraId="48429E31" w14:textId="77777777" w:rsidR="00AF4FC8" w:rsidRPr="00583644" w:rsidRDefault="00AF4FC8" w:rsidP="00583644">
            <w:pPr>
              <w:ind w:firstLine="0"/>
              <w:rPr>
                <w:rFonts w:cs="Times New Roman"/>
                <w:lang w:val="en-IN"/>
              </w:rPr>
            </w:pPr>
            <w:r w:rsidRPr="00583644">
              <w:rPr>
                <w:rFonts w:cs="Times New Roman"/>
                <w:lang w:val="en-IN"/>
              </w:rPr>
              <w:t xml:space="preserve">- Periodontal disease, with GSD Type </w:t>
            </w:r>
            <w:proofErr w:type="spellStart"/>
            <w:r w:rsidRPr="00583644">
              <w:rPr>
                <w:rFonts w:cs="Times New Roman"/>
                <w:lang w:val="en-IN"/>
              </w:rPr>
              <w:t>Ib</w:t>
            </w:r>
            <w:proofErr w:type="spellEnd"/>
            <w:r w:rsidRPr="00583644">
              <w:rPr>
                <w:rFonts w:cs="Times New Roman"/>
                <w:lang w:val="en-IN"/>
              </w:rPr>
              <w:t xml:space="preserve"> linked to severe inflammation and tissue loss due to neutropenia. </w:t>
            </w:r>
            <w:r w:rsidRPr="00583644">
              <w:rPr>
                <w:rFonts w:cs="Times New Roman"/>
                <w:lang w:val="en-IN"/>
              </w:rPr>
              <w:br/>
              <w:t xml:space="preserve">- Increased risk of caries and enamel hypoplasia due to metabolic and immune disruptions. </w:t>
            </w:r>
            <w:r w:rsidRPr="00583644">
              <w:rPr>
                <w:rFonts w:cs="Times New Roman"/>
                <w:lang w:val="en-IN"/>
              </w:rPr>
              <w:br/>
              <w:t>- Nutritional deficiencies affecting tooth development, increasing decay risk.</w:t>
            </w:r>
          </w:p>
        </w:tc>
        <w:tc>
          <w:tcPr>
            <w:tcW w:w="0" w:type="auto"/>
            <w:hideMark/>
          </w:tcPr>
          <w:p w14:paraId="3EBBAC18" w14:textId="77777777" w:rsidR="00AF4FC8" w:rsidRPr="00583644" w:rsidRDefault="00AF4FC8" w:rsidP="00583644">
            <w:pPr>
              <w:ind w:firstLine="0"/>
              <w:rPr>
                <w:rFonts w:cs="Times New Roman"/>
                <w:lang w:val="en-IN"/>
              </w:rPr>
            </w:pPr>
            <w:r w:rsidRPr="00583644">
              <w:rPr>
                <w:rFonts w:cs="Times New Roman"/>
                <w:lang w:val="en-IN"/>
              </w:rPr>
              <w:t xml:space="preserve">- Multidisciplinary approach involving dental professionals and medical specialists. </w:t>
            </w:r>
            <w:r w:rsidRPr="00583644">
              <w:rPr>
                <w:rFonts w:cs="Times New Roman"/>
                <w:lang w:val="en-IN"/>
              </w:rPr>
              <w:br/>
              <w:t xml:space="preserve">- Regular check-ups and preventive care tailored to the specific type of GSD. </w:t>
            </w:r>
            <w:r w:rsidRPr="00583644">
              <w:rPr>
                <w:rFonts w:cs="Times New Roman"/>
                <w:lang w:val="en-IN"/>
              </w:rPr>
              <w:br/>
              <w:t>- Supportive periodontal therapy to manage inflammation.</w:t>
            </w:r>
          </w:p>
        </w:tc>
      </w:tr>
    </w:tbl>
    <w:p w14:paraId="0F06B4F4" w14:textId="77777777" w:rsidR="00AF4FC8" w:rsidRPr="00583644" w:rsidRDefault="00AF4FC8" w:rsidP="00583644">
      <w:pPr>
        <w:ind w:firstLine="0"/>
        <w:rPr>
          <w:rFonts w:cs="Times New Roman"/>
          <w:lang w:val="en-IN"/>
        </w:rPr>
      </w:pPr>
    </w:p>
    <w:p w14:paraId="7B8A9D10" w14:textId="77777777" w:rsidR="00B4211C" w:rsidRPr="00583644" w:rsidRDefault="00B4211C" w:rsidP="00583644">
      <w:pPr>
        <w:pStyle w:val="ListParagraph"/>
        <w:numPr>
          <w:ilvl w:val="0"/>
          <w:numId w:val="6"/>
        </w:numPr>
        <w:spacing w:after="160"/>
        <w:rPr>
          <w:rFonts w:cs="Times New Roman"/>
          <w:lang w:val="en-IN"/>
        </w:rPr>
      </w:pPr>
      <w:r w:rsidRPr="00583644">
        <w:rPr>
          <w:rFonts w:cs="Times New Roman"/>
          <w:b/>
          <w:bCs/>
          <w:lang w:val="en-IN"/>
        </w:rPr>
        <w:t>FOOD ALLERGIES</w:t>
      </w:r>
    </w:p>
    <w:p w14:paraId="0FB86B1F" w14:textId="77777777" w:rsidR="00B4211C" w:rsidRPr="00583644" w:rsidRDefault="00B4211C" w:rsidP="00583644">
      <w:pPr>
        <w:rPr>
          <w:rFonts w:cs="Times New Roman"/>
          <w:vertAlign w:val="superscript"/>
          <w:lang w:val="en-IN"/>
        </w:rPr>
      </w:pPr>
      <w:r w:rsidRPr="00583644">
        <w:rPr>
          <w:rFonts w:cs="Times New Roman"/>
          <w:lang w:val="en-IN"/>
        </w:rPr>
        <w:t xml:space="preserve">Food allergies are immune reactions where the body mistakenly identifies certain food proteins as harmful, triggering </w:t>
      </w:r>
      <w:proofErr w:type="spellStart"/>
      <w:r w:rsidRPr="00583644">
        <w:rPr>
          <w:rFonts w:cs="Times New Roman"/>
          <w:lang w:val="en-IN"/>
        </w:rPr>
        <w:t>IgE</w:t>
      </w:r>
      <w:proofErr w:type="spellEnd"/>
      <w:r w:rsidRPr="00583644">
        <w:rPr>
          <w:rFonts w:cs="Times New Roman"/>
          <w:lang w:val="en-IN"/>
        </w:rPr>
        <w:t xml:space="preserve"> antibody production.</w:t>
      </w:r>
      <w:r w:rsidRPr="00583644">
        <w:rPr>
          <w:rFonts w:cs="Times New Roman"/>
          <w:vertAlign w:val="superscript"/>
          <w:lang w:val="en-IN"/>
        </w:rPr>
        <w:t>[38]</w:t>
      </w:r>
      <w:r w:rsidRPr="00583644">
        <w:rPr>
          <w:rFonts w:cs="Times New Roman"/>
          <w:lang w:val="en-IN"/>
        </w:rPr>
        <w:t xml:space="preserve"> Subsequent exposure to the food causes these antibodies to bind to mast cells and basophils, releasing histamine and other mediators that lead to allergic symptoms, which can range from mild (hives, gastrointestinal issues) to severe (anaphylaxis).</w:t>
      </w:r>
      <w:r w:rsidRPr="00583644">
        <w:rPr>
          <w:rFonts w:cs="Times New Roman"/>
          <w:vertAlign w:val="superscript"/>
          <w:lang w:val="en-IN"/>
        </w:rPr>
        <w:t>[39]</w:t>
      </w:r>
    </w:p>
    <w:p w14:paraId="30F244ED" w14:textId="77777777" w:rsidR="00B4211C" w:rsidRPr="00583644" w:rsidRDefault="00B4211C" w:rsidP="00583644">
      <w:pPr>
        <w:rPr>
          <w:rFonts w:cs="Times New Roman"/>
          <w:vertAlign w:val="superscript"/>
          <w:lang w:val="en-IN"/>
        </w:rPr>
      </w:pPr>
      <w:r w:rsidRPr="00583644">
        <w:rPr>
          <w:rFonts w:cs="Times New Roman"/>
          <w:lang w:val="en-IN"/>
        </w:rPr>
        <w:t xml:space="preserve">Food allergies result from genetic and environmental factors. During the initial exposure, the immune system produces </w:t>
      </w:r>
      <w:proofErr w:type="spellStart"/>
      <w:r w:rsidRPr="00583644">
        <w:rPr>
          <w:rFonts w:cs="Times New Roman"/>
          <w:lang w:val="en-IN"/>
        </w:rPr>
        <w:t>IgE</w:t>
      </w:r>
      <w:proofErr w:type="spellEnd"/>
      <w:r w:rsidRPr="00583644">
        <w:rPr>
          <w:rFonts w:cs="Times New Roman"/>
          <w:lang w:val="en-IN"/>
        </w:rPr>
        <w:t xml:space="preserve"> antibodies.</w:t>
      </w:r>
      <w:r w:rsidRPr="00583644">
        <w:rPr>
          <w:rFonts w:cs="Times New Roman"/>
          <w:vertAlign w:val="superscript"/>
          <w:lang w:val="en-IN"/>
        </w:rPr>
        <w:t>[40]</w:t>
      </w:r>
      <w:r w:rsidRPr="00583644">
        <w:rPr>
          <w:rFonts w:cs="Times New Roman"/>
          <w:lang w:val="en-IN"/>
        </w:rPr>
        <w:t xml:space="preserve"> Upon re-exposure, these antibodies trigger an inflammatory response, involving histamine release, T-cell activation, and cytokine production, contributing to the symptoms.</w:t>
      </w:r>
      <w:r w:rsidRPr="00583644">
        <w:rPr>
          <w:rFonts w:cs="Times New Roman"/>
          <w:vertAlign w:val="superscript"/>
          <w:lang w:val="en-IN"/>
        </w:rPr>
        <w:t>[41]</w:t>
      </w:r>
    </w:p>
    <w:p w14:paraId="594B0892" w14:textId="77777777" w:rsidR="00B4211C" w:rsidRPr="00583644" w:rsidRDefault="00B4211C" w:rsidP="00583644">
      <w:pPr>
        <w:rPr>
          <w:rFonts w:cs="Times New Roman"/>
          <w:lang w:val="en-IN"/>
        </w:rPr>
      </w:pPr>
    </w:p>
    <w:p w14:paraId="2E94A607" w14:textId="77777777" w:rsidR="00B4211C" w:rsidRPr="00583644" w:rsidRDefault="00B4211C" w:rsidP="00583644">
      <w:pPr>
        <w:pStyle w:val="ListParagraph"/>
        <w:numPr>
          <w:ilvl w:val="0"/>
          <w:numId w:val="8"/>
        </w:numPr>
        <w:spacing w:after="160"/>
        <w:rPr>
          <w:rFonts w:cs="Times New Roman"/>
          <w:b/>
          <w:bCs/>
          <w:lang w:val="en-IN"/>
        </w:rPr>
      </w:pPr>
      <w:proofErr w:type="spellStart"/>
      <w:r w:rsidRPr="00583644">
        <w:rPr>
          <w:rFonts w:cs="Times New Roman"/>
          <w:b/>
          <w:bCs/>
          <w:lang w:val="en-IN"/>
        </w:rPr>
        <w:t>IgE</w:t>
      </w:r>
      <w:proofErr w:type="spellEnd"/>
      <w:r w:rsidRPr="00583644">
        <w:rPr>
          <w:rFonts w:cs="Times New Roman"/>
          <w:b/>
          <w:bCs/>
          <w:lang w:val="en-IN"/>
        </w:rPr>
        <w:t>-Mediated Food Allergies</w:t>
      </w:r>
    </w:p>
    <w:p w14:paraId="17B21DFB" w14:textId="77777777" w:rsidR="00B4211C" w:rsidRPr="00583644" w:rsidRDefault="00B4211C" w:rsidP="00583644">
      <w:pPr>
        <w:rPr>
          <w:rFonts w:cs="Times New Roman"/>
          <w:vertAlign w:val="superscript"/>
          <w:lang w:val="en-IN"/>
        </w:rPr>
      </w:pPr>
      <w:proofErr w:type="spellStart"/>
      <w:r w:rsidRPr="00583644">
        <w:rPr>
          <w:rFonts w:cs="Times New Roman"/>
          <w:lang w:val="en-IN"/>
        </w:rPr>
        <w:t>IgE</w:t>
      </w:r>
      <w:proofErr w:type="spellEnd"/>
      <w:r w:rsidRPr="00583644">
        <w:rPr>
          <w:rFonts w:cs="Times New Roman"/>
          <w:lang w:val="en-IN"/>
        </w:rPr>
        <w:t xml:space="preserve">-mediated food allergies occur when the immune system mistakenly identifies certain food proteins as harmful, triggering </w:t>
      </w:r>
      <w:proofErr w:type="spellStart"/>
      <w:r w:rsidRPr="00583644">
        <w:rPr>
          <w:rFonts w:cs="Times New Roman"/>
          <w:lang w:val="en-IN"/>
        </w:rPr>
        <w:t>IgE</w:t>
      </w:r>
      <w:proofErr w:type="spellEnd"/>
      <w:r w:rsidRPr="00583644">
        <w:rPr>
          <w:rFonts w:cs="Times New Roman"/>
          <w:lang w:val="en-IN"/>
        </w:rPr>
        <w:t xml:space="preserve"> antibody production.</w:t>
      </w:r>
      <w:r w:rsidRPr="00583644">
        <w:rPr>
          <w:rFonts w:cs="Times New Roman"/>
          <w:vertAlign w:val="superscript"/>
          <w:lang w:val="en-IN"/>
        </w:rPr>
        <w:t>[42]</w:t>
      </w:r>
      <w:r w:rsidRPr="00583644">
        <w:rPr>
          <w:rFonts w:cs="Times New Roman"/>
          <w:lang w:val="en-IN"/>
        </w:rPr>
        <w:t xml:space="preserve"> Upon subsequent exposure, these antibodies cause the release of histamine and other inflammatory mediators, leading to symptoms that range from mild to severe anaphylaxis.</w:t>
      </w:r>
      <w:r w:rsidRPr="00583644">
        <w:rPr>
          <w:rFonts w:cs="Times New Roman"/>
          <w:vertAlign w:val="superscript"/>
          <w:lang w:val="en-IN"/>
        </w:rPr>
        <w:t>[43]</w:t>
      </w:r>
    </w:p>
    <w:p w14:paraId="2734EBF2" w14:textId="77777777" w:rsidR="00B4211C" w:rsidRPr="00583644" w:rsidRDefault="00B4211C" w:rsidP="00583644">
      <w:pPr>
        <w:rPr>
          <w:rFonts w:cs="Times New Roman"/>
          <w:vertAlign w:val="superscript"/>
          <w:lang w:val="en-IN"/>
        </w:rPr>
      </w:pPr>
      <w:r w:rsidRPr="00583644">
        <w:rPr>
          <w:rFonts w:cs="Times New Roman"/>
          <w:lang w:val="en-IN"/>
        </w:rPr>
        <w:t xml:space="preserve">The process involves two phases: sensitization, where </w:t>
      </w:r>
      <w:proofErr w:type="spellStart"/>
      <w:r w:rsidRPr="00583644">
        <w:rPr>
          <w:rFonts w:cs="Times New Roman"/>
          <w:lang w:val="en-IN"/>
        </w:rPr>
        <w:t>IgE</w:t>
      </w:r>
      <w:proofErr w:type="spellEnd"/>
      <w:r w:rsidRPr="00583644">
        <w:rPr>
          <w:rFonts w:cs="Times New Roman"/>
          <w:lang w:val="en-IN"/>
        </w:rPr>
        <w:t xml:space="preserve"> antibodies are produced after initial exposure, and the effector phase, where re-exposure causes the allergen to cross-link </w:t>
      </w:r>
      <w:proofErr w:type="spellStart"/>
      <w:r w:rsidRPr="00583644">
        <w:rPr>
          <w:rFonts w:cs="Times New Roman"/>
          <w:lang w:val="en-IN"/>
        </w:rPr>
        <w:t>IgE</w:t>
      </w:r>
      <w:proofErr w:type="spellEnd"/>
      <w:r w:rsidRPr="00583644">
        <w:rPr>
          <w:rFonts w:cs="Times New Roman"/>
          <w:lang w:val="en-IN"/>
        </w:rPr>
        <w:t>, triggering histamine release and inflammation. This can affect the skin, gastrointestinal, respiratory, and cardiovascular systems.</w:t>
      </w:r>
      <w:r w:rsidRPr="00583644">
        <w:rPr>
          <w:rFonts w:cs="Times New Roman"/>
          <w:vertAlign w:val="superscript"/>
          <w:lang w:val="en-IN"/>
        </w:rPr>
        <w:t>[44]</w:t>
      </w:r>
    </w:p>
    <w:p w14:paraId="344C5A83" w14:textId="77777777" w:rsidR="00B4211C" w:rsidRPr="00583644" w:rsidRDefault="00B4211C" w:rsidP="00583644">
      <w:pPr>
        <w:rPr>
          <w:rFonts w:cs="Times New Roman"/>
          <w:b/>
          <w:bCs/>
          <w:color w:val="000000" w:themeColor="text1"/>
          <w:lang w:val="en-IN"/>
        </w:rPr>
      </w:pPr>
      <w:r w:rsidRPr="00583644">
        <w:rPr>
          <w:rFonts w:cs="Times New Roman"/>
          <w:b/>
          <w:bCs/>
          <w:color w:val="000000" w:themeColor="text1"/>
          <w:lang w:val="en-IN"/>
        </w:rPr>
        <w:t>DENTAL IMPLICATIONS AND MANAGEMENT</w:t>
      </w:r>
    </w:p>
    <w:p w14:paraId="703924E2" w14:textId="77777777" w:rsidR="00B4211C" w:rsidRPr="00583644" w:rsidRDefault="00B4211C" w:rsidP="00583644">
      <w:pPr>
        <w:rPr>
          <w:rFonts w:cs="Times New Roman"/>
          <w:lang w:val="en-IN"/>
        </w:rPr>
      </w:pPr>
      <w:r w:rsidRPr="00583644">
        <w:rPr>
          <w:rFonts w:cs="Times New Roman"/>
          <w:color w:val="000000" w:themeColor="text1"/>
          <w:lang w:val="en-IN"/>
        </w:rPr>
        <w:t xml:space="preserve">It </w:t>
      </w:r>
      <w:r w:rsidRPr="00583644">
        <w:rPr>
          <w:rFonts w:cs="Times New Roman"/>
          <w:lang w:val="en-IN"/>
        </w:rPr>
        <w:t>includes oral allergy syndrome (OAS), which causes itching and swelling of the lips, tongue, and throat, as well as nutritional deficiencies from dietary restrictions, affecting oral health.</w:t>
      </w:r>
      <w:r w:rsidRPr="00583644">
        <w:rPr>
          <w:rFonts w:cs="Times New Roman"/>
          <w:vertAlign w:val="superscript"/>
          <w:lang w:val="en-IN"/>
        </w:rPr>
        <w:t>[45]</w:t>
      </w:r>
      <w:r w:rsidRPr="00583644">
        <w:rPr>
          <w:rFonts w:cs="Times New Roman"/>
          <w:lang w:val="en-IN"/>
        </w:rPr>
        <w:t xml:space="preserve"> Psychological impacts, such as anxiety over allergen exposure, can influence oral health </w:t>
      </w:r>
      <w:proofErr w:type="spellStart"/>
      <w:r w:rsidRPr="00583644">
        <w:rPr>
          <w:rFonts w:cs="Times New Roman"/>
          <w:lang w:val="en-IN"/>
        </w:rPr>
        <w:t>behaviors</w:t>
      </w:r>
      <w:proofErr w:type="spellEnd"/>
      <w:r w:rsidRPr="00583644">
        <w:rPr>
          <w:rFonts w:cs="Times New Roman"/>
          <w:lang w:val="en-IN"/>
        </w:rPr>
        <w:t>, leading to neglect of dental hygiene and visits.</w:t>
      </w:r>
      <w:r w:rsidRPr="00583644">
        <w:rPr>
          <w:rFonts w:cs="Times New Roman"/>
          <w:vertAlign w:val="superscript"/>
          <w:lang w:val="en-IN"/>
        </w:rPr>
        <w:t>[46]</w:t>
      </w:r>
      <w:r w:rsidRPr="00583644">
        <w:rPr>
          <w:rFonts w:cs="Times New Roman"/>
          <w:lang w:val="en-IN"/>
        </w:rPr>
        <w:t xml:space="preserve"> Dental professionals should consider these factors in their care plans for comprehensive management of both allergies and oral health.</w:t>
      </w:r>
    </w:p>
    <w:p w14:paraId="5B48F560" w14:textId="77777777" w:rsidR="00B4211C" w:rsidRPr="00583644" w:rsidRDefault="00B4211C" w:rsidP="00583644">
      <w:pPr>
        <w:pStyle w:val="ListParagraph"/>
        <w:numPr>
          <w:ilvl w:val="0"/>
          <w:numId w:val="8"/>
        </w:numPr>
        <w:spacing w:after="160"/>
        <w:rPr>
          <w:rFonts w:cs="Times New Roman"/>
          <w:b/>
          <w:bCs/>
          <w:lang w:val="en-IN"/>
        </w:rPr>
      </w:pPr>
      <w:r w:rsidRPr="00583644">
        <w:rPr>
          <w:rFonts w:cs="Times New Roman"/>
          <w:b/>
          <w:bCs/>
          <w:lang w:val="en-IN"/>
        </w:rPr>
        <w:t>Non-</w:t>
      </w:r>
      <w:proofErr w:type="spellStart"/>
      <w:r w:rsidRPr="00583644">
        <w:rPr>
          <w:rFonts w:cs="Times New Roman"/>
          <w:b/>
          <w:bCs/>
          <w:lang w:val="en-IN"/>
        </w:rPr>
        <w:t>IgE</w:t>
      </w:r>
      <w:proofErr w:type="spellEnd"/>
      <w:r w:rsidRPr="00583644">
        <w:rPr>
          <w:rFonts w:cs="Times New Roman"/>
          <w:b/>
          <w:bCs/>
          <w:lang w:val="en-IN"/>
        </w:rPr>
        <w:t>-Mediated Food Allergies</w:t>
      </w:r>
    </w:p>
    <w:p w14:paraId="18FA46B5" w14:textId="77777777" w:rsidR="00B4211C" w:rsidRPr="00583644" w:rsidRDefault="00B4211C" w:rsidP="00583644">
      <w:pPr>
        <w:rPr>
          <w:rFonts w:cs="Times New Roman"/>
          <w:vertAlign w:val="superscript"/>
          <w:lang w:val="en-IN"/>
        </w:rPr>
      </w:pPr>
      <w:r w:rsidRPr="00583644">
        <w:rPr>
          <w:rFonts w:cs="Times New Roman"/>
          <w:lang w:val="en-IN"/>
        </w:rPr>
        <w:t>Non-</w:t>
      </w:r>
      <w:proofErr w:type="spellStart"/>
      <w:r w:rsidRPr="00583644">
        <w:rPr>
          <w:rFonts w:cs="Times New Roman"/>
          <w:lang w:val="en-IN"/>
        </w:rPr>
        <w:t>IgE</w:t>
      </w:r>
      <w:proofErr w:type="spellEnd"/>
      <w:r w:rsidRPr="00583644">
        <w:rPr>
          <w:rFonts w:cs="Times New Roman"/>
          <w:lang w:val="en-IN"/>
        </w:rPr>
        <w:t xml:space="preserve">-mediated food allergies involve immune responses that do not rely on </w:t>
      </w:r>
      <w:proofErr w:type="spellStart"/>
      <w:r w:rsidRPr="00583644">
        <w:rPr>
          <w:rFonts w:cs="Times New Roman"/>
          <w:lang w:val="en-IN"/>
        </w:rPr>
        <w:t>IgE</w:t>
      </w:r>
      <w:proofErr w:type="spellEnd"/>
      <w:r w:rsidRPr="00583644">
        <w:rPr>
          <w:rFonts w:cs="Times New Roman"/>
          <w:lang w:val="en-IN"/>
        </w:rPr>
        <w:t xml:space="preserve"> antibodies but are instead driven by T-cell activation and delayed reactions.</w:t>
      </w:r>
      <w:r w:rsidRPr="00583644">
        <w:rPr>
          <w:rFonts w:cs="Times New Roman"/>
          <w:vertAlign w:val="superscript"/>
          <w:lang w:val="en-IN"/>
        </w:rPr>
        <w:t>[47]</w:t>
      </w:r>
      <w:r w:rsidRPr="00583644">
        <w:rPr>
          <w:rFonts w:cs="Times New Roman"/>
          <w:lang w:val="en-IN"/>
        </w:rPr>
        <w:t xml:space="preserve"> Conditions like food protein-induced enterocolitis syndrome (FPIES), eosinophilic esophagitis (</w:t>
      </w:r>
      <w:proofErr w:type="spellStart"/>
      <w:r w:rsidRPr="00583644">
        <w:rPr>
          <w:rFonts w:cs="Times New Roman"/>
          <w:lang w:val="en-IN"/>
        </w:rPr>
        <w:t>EoE</w:t>
      </w:r>
      <w:proofErr w:type="spellEnd"/>
      <w:r w:rsidRPr="00583644">
        <w:rPr>
          <w:rFonts w:cs="Times New Roman"/>
          <w:lang w:val="en-IN"/>
        </w:rPr>
        <w:t>), and allergic proctocolitis are common examples.</w:t>
      </w:r>
      <w:r w:rsidRPr="00583644">
        <w:rPr>
          <w:rFonts w:cs="Times New Roman"/>
          <w:vertAlign w:val="superscript"/>
          <w:lang w:val="en-IN"/>
        </w:rPr>
        <w:t>[48]</w:t>
      </w:r>
    </w:p>
    <w:p w14:paraId="547757A2" w14:textId="77777777" w:rsidR="00B4211C" w:rsidRPr="00583644" w:rsidRDefault="00B4211C" w:rsidP="00583644">
      <w:pPr>
        <w:rPr>
          <w:rFonts w:cs="Times New Roman"/>
          <w:vertAlign w:val="superscript"/>
          <w:lang w:val="en-IN"/>
        </w:rPr>
      </w:pPr>
      <w:r w:rsidRPr="00583644">
        <w:rPr>
          <w:rFonts w:cs="Times New Roman"/>
          <w:b/>
          <w:bCs/>
          <w:lang w:val="en-IN"/>
        </w:rPr>
        <w:t>Pathophysiology:</w:t>
      </w:r>
      <w:r w:rsidRPr="00583644">
        <w:rPr>
          <w:rFonts w:cs="Times New Roman"/>
          <w:lang w:val="en-IN"/>
        </w:rPr>
        <w:br/>
        <w:t>These allergies cause localized inflammation, often in the gastrointestinal tract, with delayed symptoms appearing hours or days after exposure.</w:t>
      </w:r>
      <w:r w:rsidRPr="00583644">
        <w:rPr>
          <w:rFonts w:cs="Times New Roman"/>
          <w:vertAlign w:val="superscript"/>
          <w:lang w:val="en-IN"/>
        </w:rPr>
        <w:t>[48]</w:t>
      </w:r>
      <w:r w:rsidRPr="00583644">
        <w:rPr>
          <w:rFonts w:cs="Times New Roman"/>
          <w:lang w:val="en-IN"/>
        </w:rPr>
        <w:t xml:space="preserve"> For instance, FPIES leads to gastrointestinal issues, while </w:t>
      </w:r>
      <w:proofErr w:type="spellStart"/>
      <w:r w:rsidRPr="00583644">
        <w:rPr>
          <w:rFonts w:cs="Times New Roman"/>
          <w:lang w:val="en-IN"/>
        </w:rPr>
        <w:t>EoE</w:t>
      </w:r>
      <w:proofErr w:type="spellEnd"/>
      <w:r w:rsidRPr="00583644">
        <w:rPr>
          <w:rFonts w:cs="Times New Roman"/>
          <w:lang w:val="en-IN"/>
        </w:rPr>
        <w:t xml:space="preserve"> involves eosinophilic infiltration of the </w:t>
      </w:r>
      <w:proofErr w:type="spellStart"/>
      <w:r w:rsidRPr="00583644">
        <w:rPr>
          <w:rFonts w:cs="Times New Roman"/>
          <w:lang w:val="en-IN"/>
        </w:rPr>
        <w:t>esophagus</w:t>
      </w:r>
      <w:proofErr w:type="spellEnd"/>
      <w:r w:rsidRPr="00583644">
        <w:rPr>
          <w:rFonts w:cs="Times New Roman"/>
          <w:lang w:val="en-IN"/>
        </w:rPr>
        <w:t>, resulting in symptoms like dysphagia and food impaction.</w:t>
      </w:r>
      <w:r w:rsidRPr="00583644">
        <w:rPr>
          <w:rFonts w:cs="Times New Roman"/>
          <w:vertAlign w:val="superscript"/>
          <w:lang w:val="en-IN"/>
        </w:rPr>
        <w:t>[48]</w:t>
      </w:r>
    </w:p>
    <w:p w14:paraId="0169BF71" w14:textId="77777777" w:rsidR="00B4211C" w:rsidRPr="00583644" w:rsidRDefault="00B4211C" w:rsidP="00583644">
      <w:pPr>
        <w:rPr>
          <w:rFonts w:cs="Times New Roman"/>
          <w:vertAlign w:val="superscript"/>
          <w:lang w:val="en-IN"/>
        </w:rPr>
      </w:pPr>
      <w:r w:rsidRPr="00583644">
        <w:rPr>
          <w:rFonts w:cs="Times New Roman"/>
          <w:b/>
          <w:bCs/>
          <w:color w:val="000000" w:themeColor="text1"/>
          <w:lang w:val="en-IN"/>
        </w:rPr>
        <w:t>DENTAL IMPLICATIONS AND MANAGEMENT:</w:t>
      </w:r>
      <w:r w:rsidRPr="00583644">
        <w:rPr>
          <w:rFonts w:cs="Times New Roman"/>
          <w:lang w:val="en-IN"/>
        </w:rPr>
        <w:br/>
        <w:t>Oral issues from non-</w:t>
      </w:r>
      <w:proofErr w:type="spellStart"/>
      <w:r w:rsidRPr="00583644">
        <w:rPr>
          <w:rFonts w:cs="Times New Roman"/>
          <w:lang w:val="en-IN"/>
        </w:rPr>
        <w:t>IgE</w:t>
      </w:r>
      <w:proofErr w:type="spellEnd"/>
      <w:r w:rsidRPr="00583644">
        <w:rPr>
          <w:rFonts w:cs="Times New Roman"/>
          <w:lang w:val="en-IN"/>
        </w:rPr>
        <w:t>-mediated allergies include oral mucosal lesions, gingivitis, and increased risk of periodontal disease due to chronic inflammation.</w:t>
      </w:r>
      <w:r w:rsidRPr="00583644">
        <w:rPr>
          <w:rFonts w:cs="Times New Roman"/>
          <w:vertAlign w:val="superscript"/>
          <w:lang w:val="en-IN"/>
        </w:rPr>
        <w:t>[49]</w:t>
      </w:r>
      <w:r w:rsidRPr="00583644">
        <w:rPr>
          <w:rFonts w:cs="Times New Roman"/>
          <w:lang w:val="en-IN"/>
        </w:rPr>
        <w:t xml:space="preserve"> Nutritional deficiencies (e.g., calcium, vitamin D) from restricted diets can weaken teeth, leading to enamel defects and higher caries risk.</w:t>
      </w:r>
      <w:r w:rsidRPr="00583644">
        <w:rPr>
          <w:rFonts w:cs="Times New Roman"/>
          <w:vertAlign w:val="superscript"/>
          <w:lang w:val="en-IN"/>
        </w:rPr>
        <w:t>[50]</w:t>
      </w:r>
      <w:r w:rsidRPr="00583644">
        <w:rPr>
          <w:rFonts w:cs="Times New Roman"/>
          <w:lang w:val="en-IN"/>
        </w:rPr>
        <w:t xml:space="preserve"> Psychological stress from managing these allergies can also affect oral hygiene </w:t>
      </w:r>
      <w:proofErr w:type="spellStart"/>
      <w:r w:rsidRPr="00583644">
        <w:rPr>
          <w:rFonts w:cs="Times New Roman"/>
          <w:lang w:val="en-IN"/>
        </w:rPr>
        <w:t>behaviors</w:t>
      </w:r>
      <w:proofErr w:type="spellEnd"/>
      <w:r w:rsidRPr="00583644">
        <w:rPr>
          <w:rFonts w:cs="Times New Roman"/>
          <w:lang w:val="en-IN"/>
        </w:rPr>
        <w:t>.</w:t>
      </w:r>
      <w:r w:rsidRPr="00583644">
        <w:rPr>
          <w:rFonts w:cs="Times New Roman"/>
          <w:vertAlign w:val="superscript"/>
          <w:lang w:val="en-IN"/>
        </w:rPr>
        <w:t>[51]</w:t>
      </w:r>
    </w:p>
    <w:tbl>
      <w:tblPr>
        <w:tblStyle w:val="TableGridLight"/>
        <w:tblW w:w="0" w:type="auto"/>
        <w:tblLook w:val="04A0" w:firstRow="1" w:lastRow="0" w:firstColumn="1" w:lastColumn="0" w:noHBand="0" w:noVBand="1"/>
      </w:tblPr>
      <w:tblGrid>
        <w:gridCol w:w="1817"/>
        <w:gridCol w:w="3931"/>
        <w:gridCol w:w="3262"/>
      </w:tblGrid>
      <w:tr w:rsidR="00AF4FC8" w:rsidRPr="00583644" w14:paraId="2C28C42F" w14:textId="77777777" w:rsidTr="00AF4FC8">
        <w:tc>
          <w:tcPr>
            <w:tcW w:w="0" w:type="auto"/>
            <w:hideMark/>
          </w:tcPr>
          <w:p w14:paraId="39B67569" w14:textId="77777777" w:rsidR="00AF4FC8" w:rsidRPr="00583644" w:rsidRDefault="00AF4FC8" w:rsidP="00583644">
            <w:pPr>
              <w:ind w:firstLine="0"/>
              <w:rPr>
                <w:rFonts w:cs="Times New Roman"/>
                <w:b/>
                <w:bCs/>
                <w:lang w:val="en-IN"/>
              </w:rPr>
            </w:pPr>
            <w:r w:rsidRPr="00583644">
              <w:rPr>
                <w:rFonts w:cs="Times New Roman"/>
                <w:b/>
                <w:bCs/>
                <w:lang w:val="en-IN"/>
              </w:rPr>
              <w:lastRenderedPageBreak/>
              <w:t>Condition</w:t>
            </w:r>
          </w:p>
        </w:tc>
        <w:tc>
          <w:tcPr>
            <w:tcW w:w="0" w:type="auto"/>
            <w:hideMark/>
          </w:tcPr>
          <w:p w14:paraId="27C30DC5" w14:textId="77777777" w:rsidR="00AF4FC8" w:rsidRPr="00583644" w:rsidRDefault="00AF4FC8" w:rsidP="00583644">
            <w:pPr>
              <w:ind w:firstLine="0"/>
              <w:rPr>
                <w:rFonts w:cs="Times New Roman"/>
                <w:b/>
                <w:bCs/>
                <w:lang w:val="en-IN"/>
              </w:rPr>
            </w:pPr>
            <w:r w:rsidRPr="00583644">
              <w:rPr>
                <w:rFonts w:cs="Times New Roman"/>
                <w:b/>
                <w:bCs/>
                <w:lang w:val="en-IN"/>
              </w:rPr>
              <w:t>Dental Implications</w:t>
            </w:r>
          </w:p>
        </w:tc>
        <w:tc>
          <w:tcPr>
            <w:tcW w:w="0" w:type="auto"/>
            <w:hideMark/>
          </w:tcPr>
          <w:p w14:paraId="00F40321" w14:textId="77777777" w:rsidR="00AF4FC8" w:rsidRPr="00583644" w:rsidRDefault="00AF4FC8" w:rsidP="00583644">
            <w:pPr>
              <w:ind w:firstLine="0"/>
              <w:rPr>
                <w:rFonts w:cs="Times New Roman"/>
                <w:b/>
                <w:bCs/>
                <w:lang w:val="en-IN"/>
              </w:rPr>
            </w:pPr>
            <w:r w:rsidRPr="00583644">
              <w:rPr>
                <w:rFonts w:cs="Times New Roman"/>
                <w:b/>
                <w:bCs/>
                <w:lang w:val="en-IN"/>
              </w:rPr>
              <w:t>Management Strategies</w:t>
            </w:r>
          </w:p>
        </w:tc>
      </w:tr>
      <w:tr w:rsidR="00AF4FC8" w:rsidRPr="00583644" w14:paraId="4DB9321C" w14:textId="77777777" w:rsidTr="00AF4FC8">
        <w:tc>
          <w:tcPr>
            <w:tcW w:w="0" w:type="auto"/>
            <w:hideMark/>
          </w:tcPr>
          <w:p w14:paraId="32FB0596" w14:textId="77777777" w:rsidR="00AF4FC8" w:rsidRPr="00583644" w:rsidRDefault="00AF4FC8" w:rsidP="00583644">
            <w:pPr>
              <w:ind w:firstLine="0"/>
              <w:rPr>
                <w:rFonts w:cs="Times New Roman"/>
                <w:lang w:val="en-IN"/>
              </w:rPr>
            </w:pPr>
            <w:proofErr w:type="spellStart"/>
            <w:r w:rsidRPr="00583644">
              <w:rPr>
                <w:rFonts w:cs="Times New Roman"/>
                <w:b/>
                <w:bCs/>
                <w:lang w:val="en-IN"/>
              </w:rPr>
              <w:t>IgE</w:t>
            </w:r>
            <w:proofErr w:type="spellEnd"/>
            <w:r w:rsidRPr="00583644">
              <w:rPr>
                <w:rFonts w:cs="Times New Roman"/>
                <w:b/>
                <w:bCs/>
                <w:lang w:val="en-IN"/>
              </w:rPr>
              <w:t>-Mediated Food Allergies</w:t>
            </w:r>
          </w:p>
        </w:tc>
        <w:tc>
          <w:tcPr>
            <w:tcW w:w="0" w:type="auto"/>
            <w:hideMark/>
          </w:tcPr>
          <w:p w14:paraId="6312078C" w14:textId="77777777" w:rsidR="00AF4FC8" w:rsidRPr="00583644" w:rsidRDefault="00AF4FC8" w:rsidP="00583644">
            <w:pPr>
              <w:ind w:firstLine="0"/>
              <w:rPr>
                <w:rFonts w:cs="Times New Roman"/>
                <w:lang w:val="en-IN"/>
              </w:rPr>
            </w:pPr>
            <w:r w:rsidRPr="00583644">
              <w:rPr>
                <w:rFonts w:cs="Times New Roman"/>
                <w:lang w:val="en-IN"/>
              </w:rPr>
              <w:t xml:space="preserve">- Oral Allergy Syndrome (OAS) causing itching and swelling of the lips, tongue, and throat. </w:t>
            </w:r>
            <w:r w:rsidRPr="00583644">
              <w:rPr>
                <w:rFonts w:cs="Times New Roman"/>
                <w:lang w:val="en-IN"/>
              </w:rPr>
              <w:br/>
              <w:t xml:space="preserve">- Nutritional deficiencies from dietary restrictions, impacting oral health. </w:t>
            </w:r>
            <w:r w:rsidRPr="00583644">
              <w:rPr>
                <w:rFonts w:cs="Times New Roman"/>
                <w:lang w:val="en-IN"/>
              </w:rPr>
              <w:br/>
              <w:t>- Psychological anxiety over allergen exposure, leading to neglect of oral hygiene and dental visits.</w:t>
            </w:r>
          </w:p>
        </w:tc>
        <w:tc>
          <w:tcPr>
            <w:tcW w:w="0" w:type="auto"/>
            <w:hideMark/>
          </w:tcPr>
          <w:p w14:paraId="45B862F5" w14:textId="77777777" w:rsidR="00AF4FC8" w:rsidRPr="00583644" w:rsidRDefault="00AF4FC8" w:rsidP="00583644">
            <w:pPr>
              <w:ind w:firstLine="0"/>
              <w:rPr>
                <w:rFonts w:cs="Times New Roman"/>
                <w:lang w:val="en-IN"/>
              </w:rPr>
            </w:pPr>
            <w:r w:rsidRPr="00583644">
              <w:rPr>
                <w:rFonts w:cs="Times New Roman"/>
                <w:lang w:val="en-IN"/>
              </w:rPr>
              <w:t xml:space="preserve">- Dental professionals should incorporate allergy considerations into care plans. </w:t>
            </w:r>
            <w:r w:rsidRPr="00583644">
              <w:rPr>
                <w:rFonts w:cs="Times New Roman"/>
                <w:lang w:val="en-IN"/>
              </w:rPr>
              <w:br/>
              <w:t xml:space="preserve">- Nutritional </w:t>
            </w:r>
            <w:proofErr w:type="spellStart"/>
            <w:r w:rsidRPr="00583644">
              <w:rPr>
                <w:rFonts w:cs="Times New Roman"/>
                <w:lang w:val="en-IN"/>
              </w:rPr>
              <w:t>counseling</w:t>
            </w:r>
            <w:proofErr w:type="spellEnd"/>
            <w:r w:rsidRPr="00583644">
              <w:rPr>
                <w:rFonts w:cs="Times New Roman"/>
                <w:lang w:val="en-IN"/>
              </w:rPr>
              <w:t xml:space="preserve"> to address deficiencies. </w:t>
            </w:r>
            <w:r w:rsidRPr="00583644">
              <w:rPr>
                <w:rFonts w:cs="Times New Roman"/>
                <w:lang w:val="en-IN"/>
              </w:rPr>
              <w:br/>
              <w:t>- Patient education and psychological support to improve oral hygiene adherence.</w:t>
            </w:r>
          </w:p>
        </w:tc>
      </w:tr>
      <w:tr w:rsidR="00AF4FC8" w:rsidRPr="00583644" w14:paraId="1EAECBD6" w14:textId="77777777" w:rsidTr="00AF4FC8">
        <w:tc>
          <w:tcPr>
            <w:tcW w:w="0" w:type="auto"/>
            <w:hideMark/>
          </w:tcPr>
          <w:p w14:paraId="54C44598" w14:textId="77777777" w:rsidR="00AF4FC8" w:rsidRPr="00583644" w:rsidRDefault="00AF4FC8" w:rsidP="00583644">
            <w:pPr>
              <w:ind w:firstLine="0"/>
              <w:rPr>
                <w:rFonts w:cs="Times New Roman"/>
                <w:lang w:val="en-IN"/>
              </w:rPr>
            </w:pPr>
            <w:r w:rsidRPr="00583644">
              <w:rPr>
                <w:rFonts w:cs="Times New Roman"/>
                <w:b/>
                <w:bCs/>
                <w:lang w:val="en-IN"/>
              </w:rPr>
              <w:t>Non-</w:t>
            </w:r>
            <w:proofErr w:type="spellStart"/>
            <w:r w:rsidRPr="00583644">
              <w:rPr>
                <w:rFonts w:cs="Times New Roman"/>
                <w:b/>
                <w:bCs/>
                <w:lang w:val="en-IN"/>
              </w:rPr>
              <w:t>IgE</w:t>
            </w:r>
            <w:proofErr w:type="spellEnd"/>
            <w:r w:rsidRPr="00583644">
              <w:rPr>
                <w:rFonts w:cs="Times New Roman"/>
                <w:b/>
                <w:bCs/>
                <w:lang w:val="en-IN"/>
              </w:rPr>
              <w:t>-Mediated Food Allergies</w:t>
            </w:r>
          </w:p>
        </w:tc>
        <w:tc>
          <w:tcPr>
            <w:tcW w:w="0" w:type="auto"/>
            <w:hideMark/>
          </w:tcPr>
          <w:p w14:paraId="08AEC7DE" w14:textId="77777777" w:rsidR="00AF4FC8" w:rsidRPr="00583644" w:rsidRDefault="00AF4FC8" w:rsidP="00583644">
            <w:pPr>
              <w:ind w:firstLine="0"/>
              <w:rPr>
                <w:rFonts w:cs="Times New Roman"/>
                <w:lang w:val="en-IN"/>
              </w:rPr>
            </w:pPr>
            <w:r w:rsidRPr="00583644">
              <w:rPr>
                <w:rFonts w:cs="Times New Roman"/>
                <w:lang w:val="en-IN"/>
              </w:rPr>
              <w:t xml:space="preserve">- Oral mucosal lesions, gingivitis, and increased risk of periodontal disease due to chronic inflammation. </w:t>
            </w:r>
            <w:r w:rsidRPr="00583644">
              <w:rPr>
                <w:rFonts w:cs="Times New Roman"/>
                <w:lang w:val="en-IN"/>
              </w:rPr>
              <w:br/>
              <w:t xml:space="preserve">- Nutritional deficiencies (e.g., calcium, vitamin D) weakening teeth, causing enamel defects and increasing caries risk. </w:t>
            </w:r>
            <w:r w:rsidRPr="00583644">
              <w:rPr>
                <w:rFonts w:cs="Times New Roman"/>
                <w:lang w:val="en-IN"/>
              </w:rPr>
              <w:br/>
              <w:t xml:space="preserve">- Psychological stress affecting oral hygiene </w:t>
            </w:r>
            <w:proofErr w:type="spellStart"/>
            <w:r w:rsidRPr="00583644">
              <w:rPr>
                <w:rFonts w:cs="Times New Roman"/>
                <w:lang w:val="en-IN"/>
              </w:rPr>
              <w:t>behaviors</w:t>
            </w:r>
            <w:proofErr w:type="spellEnd"/>
            <w:r w:rsidRPr="00583644">
              <w:rPr>
                <w:rFonts w:cs="Times New Roman"/>
                <w:lang w:val="en-IN"/>
              </w:rPr>
              <w:t>.</w:t>
            </w:r>
          </w:p>
        </w:tc>
        <w:tc>
          <w:tcPr>
            <w:tcW w:w="0" w:type="auto"/>
            <w:hideMark/>
          </w:tcPr>
          <w:p w14:paraId="3436357D" w14:textId="77777777" w:rsidR="00AF4FC8" w:rsidRPr="00583644" w:rsidRDefault="00AF4FC8" w:rsidP="00583644">
            <w:pPr>
              <w:ind w:firstLine="0"/>
              <w:rPr>
                <w:rFonts w:cs="Times New Roman"/>
                <w:lang w:val="en-IN"/>
              </w:rPr>
            </w:pPr>
            <w:r w:rsidRPr="00583644">
              <w:rPr>
                <w:rFonts w:cs="Times New Roman"/>
                <w:lang w:val="en-IN"/>
              </w:rPr>
              <w:t xml:space="preserve">- Anti-inflammatory treatments for oral lesions and gingivitis. </w:t>
            </w:r>
            <w:r w:rsidRPr="00583644">
              <w:rPr>
                <w:rFonts w:cs="Times New Roman"/>
                <w:lang w:val="en-IN"/>
              </w:rPr>
              <w:br/>
              <w:t xml:space="preserve">- Nutritional supplementation to address deficiencies. </w:t>
            </w:r>
            <w:r w:rsidRPr="00583644">
              <w:rPr>
                <w:rFonts w:cs="Times New Roman"/>
                <w:lang w:val="en-IN"/>
              </w:rPr>
              <w:br/>
              <w:t xml:space="preserve">- Psychological support and </w:t>
            </w:r>
            <w:proofErr w:type="spellStart"/>
            <w:r w:rsidRPr="00583644">
              <w:rPr>
                <w:rFonts w:cs="Times New Roman"/>
                <w:lang w:val="en-IN"/>
              </w:rPr>
              <w:t>behavioral</w:t>
            </w:r>
            <w:proofErr w:type="spellEnd"/>
            <w:r w:rsidRPr="00583644">
              <w:rPr>
                <w:rFonts w:cs="Times New Roman"/>
                <w:lang w:val="en-IN"/>
              </w:rPr>
              <w:t xml:space="preserve"> interventions to improve oral hygiene.</w:t>
            </w:r>
          </w:p>
        </w:tc>
      </w:tr>
    </w:tbl>
    <w:p w14:paraId="3DA88F5D" w14:textId="77777777" w:rsidR="00AF4FC8" w:rsidRPr="00583644" w:rsidRDefault="00AF4FC8" w:rsidP="009E4168">
      <w:pPr>
        <w:ind w:firstLine="0"/>
        <w:rPr>
          <w:rFonts w:cs="Times New Roman"/>
          <w:lang w:val="en-IN"/>
        </w:rPr>
      </w:pPr>
    </w:p>
    <w:p w14:paraId="440C6980" w14:textId="1EF1398D" w:rsidR="00BB7169" w:rsidRPr="00583644" w:rsidRDefault="00BB7169" w:rsidP="00583644">
      <w:pPr>
        <w:pStyle w:val="Heading1"/>
        <w:rPr>
          <w:rFonts w:cs="Times New Roman"/>
          <w:szCs w:val="24"/>
        </w:rPr>
      </w:pPr>
      <w:r w:rsidRPr="00583644">
        <w:rPr>
          <w:rFonts w:cs="Times New Roman"/>
          <w:szCs w:val="24"/>
        </w:rPr>
        <w:t>Conclusions</w:t>
      </w:r>
    </w:p>
    <w:p w14:paraId="59F4DB93" w14:textId="77777777" w:rsidR="00B4211C" w:rsidRPr="00583644" w:rsidRDefault="00B4211C" w:rsidP="00583644">
      <w:pPr>
        <w:rPr>
          <w:rFonts w:cs="Times New Roman"/>
          <w:vertAlign w:val="superscript"/>
          <w:lang w:val="en-IN"/>
        </w:rPr>
      </w:pPr>
      <w:r w:rsidRPr="00583644">
        <w:rPr>
          <w:rFonts w:cs="Times New Roman"/>
          <w:lang w:val="en-IN"/>
        </w:rPr>
        <w:t>Paediatric dentists play a critical role in identifying and managing the oral health implications of food allergies and sensitivities. Their responsibilities go beyond routine dental care, incorporating early detection, interprofessional collaboration, tailored treatment approaches, and patient education.</w:t>
      </w:r>
      <w:r w:rsidRPr="00583644">
        <w:rPr>
          <w:rFonts w:cs="Times New Roman"/>
          <w:vertAlign w:val="superscript"/>
          <w:lang w:val="en-IN"/>
        </w:rPr>
        <w:t>[52]</w:t>
      </w:r>
    </w:p>
    <w:p w14:paraId="6FC92FAF" w14:textId="77777777" w:rsidR="00B4211C" w:rsidRPr="00583644" w:rsidRDefault="00B4211C" w:rsidP="00583644">
      <w:pPr>
        <w:rPr>
          <w:rFonts w:cs="Times New Roman"/>
        </w:rPr>
      </w:pPr>
      <w:r w:rsidRPr="00583644">
        <w:rPr>
          <w:rFonts w:cs="Times New Roman"/>
        </w:rPr>
        <w:t>During routine examinations, pediatric dentists may be the first healthcare professionals to identify signs of food allergies or sensitivities. Oral manifestations can include swelling, lesions, or irritation resulting from allergic reactions.</w:t>
      </w:r>
      <w:r w:rsidRPr="00583644">
        <w:rPr>
          <w:rFonts w:cs="Times New Roman"/>
          <w:vertAlign w:val="superscript"/>
        </w:rPr>
        <w:t>[53]</w:t>
      </w:r>
      <w:r w:rsidRPr="00583644">
        <w:rPr>
          <w:rFonts w:cs="Times New Roman"/>
        </w:rPr>
        <w:t xml:space="preserve"> In some cases, oral mucosal inflammation may be linked to conditions like eosinophilic esophagitis (</w:t>
      </w:r>
      <w:proofErr w:type="spellStart"/>
      <w:r w:rsidRPr="00583644">
        <w:rPr>
          <w:rFonts w:cs="Times New Roman"/>
        </w:rPr>
        <w:t>EoE</w:t>
      </w:r>
      <w:proofErr w:type="spellEnd"/>
      <w:r w:rsidRPr="00583644">
        <w:rPr>
          <w:rFonts w:cs="Times New Roman"/>
        </w:rPr>
        <w:t>).</w:t>
      </w:r>
      <w:r w:rsidRPr="00583644">
        <w:rPr>
          <w:rFonts w:cs="Times New Roman"/>
          <w:vertAlign w:val="superscript"/>
        </w:rPr>
        <w:t>[54]</w:t>
      </w:r>
      <w:r w:rsidRPr="00583644">
        <w:rPr>
          <w:rFonts w:cs="Times New Roman"/>
        </w:rPr>
        <w:t xml:space="preserve"> Additionally, modified diets, often high in sugars or acidic foods, can increase the risk of dental caries.</w:t>
      </w:r>
    </w:p>
    <w:p w14:paraId="27E5677D" w14:textId="77777777" w:rsidR="00B4211C" w:rsidRPr="00583644" w:rsidRDefault="00B4211C" w:rsidP="00583644">
      <w:pPr>
        <w:rPr>
          <w:rFonts w:cs="Times New Roman"/>
          <w:vertAlign w:val="superscript"/>
        </w:rPr>
      </w:pPr>
      <w:r w:rsidRPr="00583644">
        <w:rPr>
          <w:rFonts w:cs="Times New Roman"/>
        </w:rPr>
        <w:t xml:space="preserve">Given the systemic impact of food allergies, pediatric dentists should collaborate closely with allergists and pediatricians to ensure safe dental treatment and dietary </w:t>
      </w:r>
      <w:r w:rsidRPr="00583644">
        <w:rPr>
          <w:rFonts w:cs="Times New Roman"/>
        </w:rPr>
        <w:lastRenderedPageBreak/>
        <w:t>compatibility. They should also work with dietitians to provide non-cariogenic dietary guidance for children on restricted diets, such as gluten-free or dairy-free alternatives.</w:t>
      </w:r>
      <w:r w:rsidRPr="00583644">
        <w:rPr>
          <w:rFonts w:cs="Times New Roman"/>
          <w:vertAlign w:val="superscript"/>
        </w:rPr>
        <w:t>[55]</w:t>
      </w:r>
      <w:r w:rsidRPr="00583644">
        <w:rPr>
          <w:rFonts w:cs="Times New Roman"/>
        </w:rPr>
        <w:t xml:space="preserve"> Additionally, involving speech therapists and feeding specialists is important when food aversions or dysphagia affect oral and dental development.</w:t>
      </w:r>
      <w:r w:rsidRPr="00583644">
        <w:rPr>
          <w:rFonts w:cs="Times New Roman"/>
          <w:vertAlign w:val="superscript"/>
        </w:rPr>
        <w:t>[56]</w:t>
      </w:r>
    </w:p>
    <w:p w14:paraId="448A867E" w14:textId="2F263744" w:rsidR="00B93E25" w:rsidRPr="00583644" w:rsidRDefault="00B93E25" w:rsidP="00583644">
      <w:pPr>
        <w:pStyle w:val="Heading1"/>
        <w:rPr>
          <w:rFonts w:cs="Times New Roman"/>
          <w:szCs w:val="24"/>
        </w:rPr>
      </w:pPr>
      <w:r w:rsidRPr="00583644">
        <w:rPr>
          <w:rFonts w:cs="Times New Roman"/>
          <w:szCs w:val="24"/>
        </w:rPr>
        <w:t xml:space="preserve">Acknowledgements </w:t>
      </w:r>
    </w:p>
    <w:p w14:paraId="0CC66C70" w14:textId="77777777" w:rsidR="00B4211C" w:rsidRPr="00583644" w:rsidRDefault="00B4211C" w:rsidP="00583644">
      <w:pPr>
        <w:jc w:val="both"/>
        <w:rPr>
          <w:rFonts w:cs="Times New Roman"/>
        </w:rPr>
      </w:pPr>
      <w:r w:rsidRPr="00583644">
        <w:rPr>
          <w:rFonts w:cs="Times New Roman"/>
        </w:rPr>
        <w:t xml:space="preserve">All authors have read and approved the manuscript. </w:t>
      </w:r>
    </w:p>
    <w:p w14:paraId="333AC427" w14:textId="77777777" w:rsidR="00B4211C" w:rsidRPr="00583644" w:rsidRDefault="00B4211C" w:rsidP="00583644">
      <w:pPr>
        <w:jc w:val="both"/>
        <w:rPr>
          <w:rFonts w:cs="Times New Roman"/>
        </w:rPr>
      </w:pPr>
      <w:r w:rsidRPr="00583644">
        <w:rPr>
          <w:rFonts w:cs="Times New Roman"/>
        </w:rPr>
        <w:t xml:space="preserve">PS: Collection of data, writing the original draft and editing of manuscript. </w:t>
      </w:r>
    </w:p>
    <w:p w14:paraId="7083E03C" w14:textId="77777777" w:rsidR="00B4211C" w:rsidRPr="00583644" w:rsidRDefault="00B4211C" w:rsidP="00583644">
      <w:pPr>
        <w:jc w:val="both"/>
        <w:rPr>
          <w:rFonts w:cs="Times New Roman"/>
        </w:rPr>
      </w:pPr>
      <w:r w:rsidRPr="00583644">
        <w:rPr>
          <w:rFonts w:cs="Times New Roman"/>
        </w:rPr>
        <w:t xml:space="preserve">SB: Conceptualized, supervision, editing of final draft and verification of resources. </w:t>
      </w:r>
    </w:p>
    <w:p w14:paraId="0E3E565C" w14:textId="77777777" w:rsidR="00B4211C" w:rsidRPr="00583644" w:rsidRDefault="00B4211C" w:rsidP="00583644">
      <w:pPr>
        <w:jc w:val="both"/>
        <w:rPr>
          <w:rFonts w:cs="Times New Roman"/>
        </w:rPr>
      </w:pPr>
      <w:r w:rsidRPr="00583644">
        <w:rPr>
          <w:rFonts w:cs="Times New Roman"/>
        </w:rPr>
        <w:t>SD: Editing of final draft and citation management.</w:t>
      </w:r>
    </w:p>
    <w:p w14:paraId="447A3C2E" w14:textId="1428BD10" w:rsidR="00B93E25" w:rsidRPr="00583644" w:rsidRDefault="00B93E25" w:rsidP="00583644">
      <w:pPr>
        <w:pStyle w:val="Heading1"/>
        <w:rPr>
          <w:rFonts w:cs="Times New Roman"/>
          <w:szCs w:val="24"/>
        </w:rPr>
      </w:pPr>
      <w:r w:rsidRPr="00583644">
        <w:rPr>
          <w:rFonts w:cs="Times New Roman"/>
          <w:szCs w:val="24"/>
        </w:rPr>
        <w:t>References</w:t>
      </w:r>
    </w:p>
    <w:p w14:paraId="03ABC781" w14:textId="4F8DFC71"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1. Krishnamurthy, H. (2024). Personalized food elimination diet: a clinical trial based on food sensitivity assessment. </w:t>
      </w:r>
      <w:hyperlink r:id="rId8" w:history="1">
        <w:r w:rsidRPr="00583644">
          <w:rPr>
            <w:rStyle w:val="Hyperlink"/>
            <w:rFonts w:cs="Times New Roman"/>
            <w:color w:val="000000" w:themeColor="text1"/>
          </w:rPr>
          <w:t>https://doi.org/10.21203/rs.3.rs-4596789/v1</w:t>
        </w:r>
      </w:hyperlink>
    </w:p>
    <w:p w14:paraId="70114480"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2. Gawkrodger, D. (2005). Investigation of reactions to dental materials. British Journal of Dermatology, 153(3), 479-485. https://doi.org/10.1111/j.1365-2133.2005.06821.x</w:t>
      </w:r>
    </w:p>
    <w:p w14:paraId="617DDBE2"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3. Coimbra, L., Costa, I., Evangelista, J., &amp; Figueiredo, A. (2023). Food allergens in oral care products. Scientific Reports, 13(1). https://doi.org/10.1038/s41598-023-33125-y</w:t>
      </w:r>
    </w:p>
    <w:p w14:paraId="346950D5"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4. Kondo, Y. and </w:t>
      </w:r>
      <w:proofErr w:type="spellStart"/>
      <w:r w:rsidRPr="00583644">
        <w:rPr>
          <w:rFonts w:cs="Times New Roman"/>
          <w:color w:val="000000" w:themeColor="text1"/>
        </w:rPr>
        <w:t>Urisu</w:t>
      </w:r>
      <w:proofErr w:type="spellEnd"/>
      <w:r w:rsidRPr="00583644">
        <w:rPr>
          <w:rFonts w:cs="Times New Roman"/>
          <w:color w:val="000000" w:themeColor="text1"/>
        </w:rPr>
        <w:t>, A. (2009). Oral allergy syndrome. Allergology International, 58(4), 485-491. https://doi.org/10.2332/allergolint.09-rai-0136</w:t>
      </w:r>
    </w:p>
    <w:p w14:paraId="474ECC27"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5. </w:t>
      </w:r>
      <w:proofErr w:type="spellStart"/>
      <w:r w:rsidRPr="00583644">
        <w:rPr>
          <w:rFonts w:cs="Times New Roman"/>
          <w:color w:val="000000" w:themeColor="text1"/>
        </w:rPr>
        <w:t>Amchová</w:t>
      </w:r>
      <w:proofErr w:type="spellEnd"/>
      <w:r w:rsidRPr="00583644">
        <w:rPr>
          <w:rFonts w:cs="Times New Roman"/>
          <w:color w:val="000000" w:themeColor="text1"/>
        </w:rPr>
        <w:t xml:space="preserve">, P., </w:t>
      </w:r>
      <w:proofErr w:type="spellStart"/>
      <w:r w:rsidRPr="00583644">
        <w:rPr>
          <w:rFonts w:cs="Times New Roman"/>
          <w:color w:val="000000" w:themeColor="text1"/>
        </w:rPr>
        <w:t>Kotolová</w:t>
      </w:r>
      <w:proofErr w:type="spellEnd"/>
      <w:r w:rsidRPr="00583644">
        <w:rPr>
          <w:rFonts w:cs="Times New Roman"/>
          <w:color w:val="000000" w:themeColor="text1"/>
        </w:rPr>
        <w:t>, H., &amp; Rudá-Kučerová, J. (2015). Health safety issues of synthetic food colorants. Regulatory Toxicology and Pharmacology, 73(3), 914-922. https://doi.org/10.1016/j.yrtph.2015.09.026</w:t>
      </w:r>
    </w:p>
    <w:p w14:paraId="34FAC6AA"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6. Akash, M. (2024). Biochemical investigation of therapeutic efficacy of berberine-enriched extract in streptozotocin-induced metabolic impairment. Acs Omega, 9(13), 15677-15688. https://doi.org/10.1021/acsomega.4c00696</w:t>
      </w:r>
    </w:p>
    <w:p w14:paraId="13A44113"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7. Maqbool, S., Ali, S., Niaz, H., Akbar, S., Siddique, S., &amp; Shami, S. (2023). Knowledge and attitude towards anaphylaxis reaction by local anesthesia among dental practitioners. PJMHS, 17(2), 562-565. </w:t>
      </w:r>
      <w:hyperlink r:id="rId9" w:history="1">
        <w:r w:rsidRPr="00583644">
          <w:rPr>
            <w:rStyle w:val="Hyperlink"/>
            <w:rFonts w:cs="Times New Roman"/>
            <w:color w:val="000000" w:themeColor="text1"/>
          </w:rPr>
          <w:t>https://doi.org/10.53350/pjmhs2023172562</w:t>
        </w:r>
      </w:hyperlink>
    </w:p>
    <w:p w14:paraId="1F613D29"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8. Maher, N., Looze, J., &amp; Hoffman, G. (2014). Anaphylaxis: an update for dental practitioners. Australian Dental Journal, 59(2), 142-148. https://doi.org/10.1111/adj.12161</w:t>
      </w:r>
    </w:p>
    <w:p w14:paraId="70741DC4"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lastRenderedPageBreak/>
        <w:t xml:space="preserve">9. Allen, G., Chan, D., &amp; Gue, S. (2017). Investigation and diagnosis of an immediate allergy to amide local </w:t>
      </w:r>
      <w:proofErr w:type="spellStart"/>
      <w:r w:rsidRPr="00583644">
        <w:rPr>
          <w:rFonts w:cs="Times New Roman"/>
          <w:color w:val="000000" w:themeColor="text1"/>
        </w:rPr>
        <w:t>anaesthetic</w:t>
      </w:r>
      <w:proofErr w:type="spellEnd"/>
      <w:r w:rsidRPr="00583644">
        <w:rPr>
          <w:rFonts w:cs="Times New Roman"/>
          <w:color w:val="000000" w:themeColor="text1"/>
        </w:rPr>
        <w:t xml:space="preserve"> in a </w:t>
      </w:r>
      <w:proofErr w:type="spellStart"/>
      <w:r w:rsidRPr="00583644">
        <w:rPr>
          <w:rFonts w:cs="Times New Roman"/>
          <w:color w:val="000000" w:themeColor="text1"/>
        </w:rPr>
        <w:t>paediatric</w:t>
      </w:r>
      <w:proofErr w:type="spellEnd"/>
      <w:r w:rsidRPr="00583644">
        <w:rPr>
          <w:rFonts w:cs="Times New Roman"/>
          <w:color w:val="000000" w:themeColor="text1"/>
        </w:rPr>
        <w:t xml:space="preserve"> dental patient. Australian Dental Journal, 62(2), 241-245. https://doi.org/10.1111/adj.12501</w:t>
      </w:r>
    </w:p>
    <w:p w14:paraId="31A6DA2C"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10. </w:t>
      </w:r>
      <w:proofErr w:type="spellStart"/>
      <w:r w:rsidRPr="00583644">
        <w:rPr>
          <w:rFonts w:cs="Times New Roman"/>
          <w:color w:val="000000" w:themeColor="text1"/>
        </w:rPr>
        <w:t>Arinawati</w:t>
      </w:r>
      <w:proofErr w:type="spellEnd"/>
      <w:r w:rsidRPr="00583644">
        <w:rPr>
          <w:rFonts w:cs="Times New Roman"/>
          <w:color w:val="000000" w:themeColor="text1"/>
        </w:rPr>
        <w:t xml:space="preserve">, D. (2023). Allergy-related stomatitis: a rare case in dental practice. </w:t>
      </w:r>
      <w:proofErr w:type="spellStart"/>
      <w:r w:rsidRPr="00583644">
        <w:rPr>
          <w:rFonts w:cs="Times New Roman"/>
          <w:color w:val="000000" w:themeColor="text1"/>
        </w:rPr>
        <w:t>Odonto</w:t>
      </w:r>
      <w:proofErr w:type="spellEnd"/>
      <w:r w:rsidRPr="00583644">
        <w:rPr>
          <w:rFonts w:cs="Times New Roman"/>
          <w:color w:val="000000" w:themeColor="text1"/>
        </w:rPr>
        <w:t xml:space="preserve"> Dental Journal, 10(2), 292. https://doi.org/10.30659/odj.10.2.292-298</w:t>
      </w:r>
    </w:p>
    <w:p w14:paraId="690C8819"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11. </w:t>
      </w:r>
      <w:proofErr w:type="spellStart"/>
      <w:r w:rsidRPr="00583644">
        <w:rPr>
          <w:rFonts w:cs="Times New Roman"/>
          <w:color w:val="000000" w:themeColor="text1"/>
        </w:rPr>
        <w:t>Skypala</w:t>
      </w:r>
      <w:proofErr w:type="spellEnd"/>
      <w:r w:rsidRPr="00583644">
        <w:rPr>
          <w:rFonts w:cs="Times New Roman"/>
          <w:color w:val="000000" w:themeColor="text1"/>
        </w:rPr>
        <w:t xml:space="preserve">, I., Williams, M., Reeves, L., Meyer, R., &amp; Venter, C. (2015). Sensitivity to food additives, </w:t>
      </w:r>
      <w:proofErr w:type="spellStart"/>
      <w:r w:rsidRPr="00583644">
        <w:rPr>
          <w:rFonts w:cs="Times New Roman"/>
          <w:color w:val="000000" w:themeColor="text1"/>
        </w:rPr>
        <w:t>vaso</w:t>
      </w:r>
      <w:proofErr w:type="spellEnd"/>
      <w:r w:rsidRPr="00583644">
        <w:rPr>
          <w:rFonts w:cs="Times New Roman"/>
          <w:color w:val="000000" w:themeColor="text1"/>
        </w:rPr>
        <w:t>‐active amines and salicylates: a review of the evidence. Clinical and Translational Allergy, 5(1). https://doi.org/10.1186/s13601-015-0078-3</w:t>
      </w:r>
    </w:p>
    <w:p w14:paraId="20CE172D"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12. Beck, N. and Applegate, C. (2020). Elements of genetic counselling for inborn errors of metabolism. Translational Science of Rare Diseases, 4(3-4), 197-208. https://doi.org/10.3233/trd-190044</w:t>
      </w:r>
    </w:p>
    <w:p w14:paraId="1D5BE900"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13. Das, S. (2013). Inborn errors of metabolism: challenges and management. Indian Journal of Clinical Biochemistry, 28(4), 311-313. https://doi.org/10.1007/s12291-013-0371-7</w:t>
      </w:r>
    </w:p>
    <w:p w14:paraId="6A065BB2"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14. Mak, C., Lee, H., Chan, A., &amp; Lam, C. (2013). Inborn errors of metabolism and expanded newborn screening: review and update. Critical Reviews in Clinical Laboratory Sciences, 50(6), 142-162. https://doi.org/10.3109/10408363.2013.847896</w:t>
      </w:r>
    </w:p>
    <w:p w14:paraId="10F8AC6F"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15. Turkel, S., Wong, D., &amp; Randolph, L. (2020). Psychiatric symptoms associated with inborn errors of metabolism. Sn Comprehensive Clinical Medicine, 2(9), 1646-1660. https://doi.org/10.1007/s42399-020-00403-z</w:t>
      </w:r>
    </w:p>
    <w:p w14:paraId="2EFBDFF6"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16. Çakar, N. and </w:t>
      </w:r>
      <w:proofErr w:type="spellStart"/>
      <w:r w:rsidRPr="00583644">
        <w:rPr>
          <w:rFonts w:cs="Times New Roman"/>
          <w:color w:val="000000" w:themeColor="text1"/>
        </w:rPr>
        <w:t>Yılmazbaş</w:t>
      </w:r>
      <w:proofErr w:type="spellEnd"/>
      <w:r w:rsidRPr="00583644">
        <w:rPr>
          <w:rFonts w:cs="Times New Roman"/>
          <w:color w:val="000000" w:themeColor="text1"/>
        </w:rPr>
        <w:t xml:space="preserve">, P. (2021). Cases of inborn errors of metabolism diagnosed in children with autism. </w:t>
      </w:r>
      <w:proofErr w:type="spellStart"/>
      <w:r w:rsidRPr="00583644">
        <w:rPr>
          <w:rFonts w:cs="Times New Roman"/>
          <w:color w:val="000000" w:themeColor="text1"/>
        </w:rPr>
        <w:t>Ideggyógyászati</w:t>
      </w:r>
      <w:proofErr w:type="spellEnd"/>
      <w:r w:rsidRPr="00583644">
        <w:rPr>
          <w:rFonts w:cs="Times New Roman"/>
          <w:color w:val="000000" w:themeColor="text1"/>
        </w:rPr>
        <w:t xml:space="preserve"> </w:t>
      </w:r>
      <w:proofErr w:type="spellStart"/>
      <w:r w:rsidRPr="00583644">
        <w:rPr>
          <w:rFonts w:cs="Times New Roman"/>
          <w:color w:val="000000" w:themeColor="text1"/>
        </w:rPr>
        <w:t>Szemle</w:t>
      </w:r>
      <w:proofErr w:type="spellEnd"/>
      <w:r w:rsidRPr="00583644">
        <w:rPr>
          <w:rFonts w:cs="Times New Roman"/>
          <w:color w:val="000000" w:themeColor="text1"/>
        </w:rPr>
        <w:t>, 74(1-2), 67-72. https://doi.org/10.18071/isz.74.0067</w:t>
      </w:r>
    </w:p>
    <w:p w14:paraId="0FCBBEB5"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17. Navarrete, R., Leal, F., Vega, A., </w:t>
      </w:r>
      <w:proofErr w:type="spellStart"/>
      <w:r w:rsidRPr="00583644">
        <w:rPr>
          <w:rFonts w:cs="Times New Roman"/>
          <w:color w:val="000000" w:themeColor="text1"/>
        </w:rPr>
        <w:t>Moráis</w:t>
      </w:r>
      <w:proofErr w:type="spellEnd"/>
      <w:r w:rsidRPr="00583644">
        <w:rPr>
          <w:rFonts w:cs="Times New Roman"/>
          <w:color w:val="000000" w:themeColor="text1"/>
        </w:rPr>
        <w:t xml:space="preserve">-López, A., García‐Silva, M., Martín‐Hernández, E., … &amp; Pérez, B. (2019). Value of genetic analysis for confirming inborn errors of metabolism detected through the </w:t>
      </w:r>
      <w:proofErr w:type="spellStart"/>
      <w:r w:rsidRPr="00583644">
        <w:rPr>
          <w:rFonts w:cs="Times New Roman"/>
          <w:color w:val="000000" w:themeColor="text1"/>
        </w:rPr>
        <w:t>spanish</w:t>
      </w:r>
      <w:proofErr w:type="spellEnd"/>
      <w:r w:rsidRPr="00583644">
        <w:rPr>
          <w:rFonts w:cs="Times New Roman"/>
          <w:color w:val="000000" w:themeColor="text1"/>
        </w:rPr>
        <w:t xml:space="preserve"> neonatal screening program. European Journal of Human Genetics, 27(4), 556-562. https://doi.org/10.1038/s41431-018-0330-0</w:t>
      </w:r>
    </w:p>
    <w:p w14:paraId="165FCD2B"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18. Koens, L., </w:t>
      </w:r>
      <w:proofErr w:type="spellStart"/>
      <w:r w:rsidRPr="00583644">
        <w:rPr>
          <w:rFonts w:cs="Times New Roman"/>
          <w:color w:val="000000" w:themeColor="text1"/>
        </w:rPr>
        <w:t>Tijssen</w:t>
      </w:r>
      <w:proofErr w:type="spellEnd"/>
      <w:r w:rsidRPr="00583644">
        <w:rPr>
          <w:rFonts w:cs="Times New Roman"/>
          <w:color w:val="000000" w:themeColor="text1"/>
        </w:rPr>
        <w:t xml:space="preserve">, M., Lange, F., </w:t>
      </w:r>
      <w:proofErr w:type="spellStart"/>
      <w:r w:rsidRPr="00583644">
        <w:rPr>
          <w:rFonts w:cs="Times New Roman"/>
          <w:color w:val="000000" w:themeColor="text1"/>
        </w:rPr>
        <w:t>Wolffenbuttel</w:t>
      </w:r>
      <w:proofErr w:type="spellEnd"/>
      <w:r w:rsidRPr="00583644">
        <w:rPr>
          <w:rFonts w:cs="Times New Roman"/>
          <w:color w:val="000000" w:themeColor="text1"/>
        </w:rPr>
        <w:t>, B., Rufa, A., Zee, D., … &amp; Koning, T. (2018). Eye movement disorders and neurological symptoms in late‐onset inborn errors of metabolism. Movement Disorders, 33(12), 1844-1856. https://doi.org/10.1002/mds.27484</w:t>
      </w:r>
    </w:p>
    <w:p w14:paraId="744EB2ED"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19. Good, J., Atallah, I., Jiménez, M., </w:t>
      </w:r>
      <w:proofErr w:type="spellStart"/>
      <w:r w:rsidRPr="00583644">
        <w:rPr>
          <w:rFonts w:cs="Times New Roman"/>
          <w:color w:val="000000" w:themeColor="text1"/>
        </w:rPr>
        <w:t>Küntzer</w:t>
      </w:r>
      <w:proofErr w:type="spellEnd"/>
      <w:r w:rsidRPr="00583644">
        <w:rPr>
          <w:rFonts w:cs="Times New Roman"/>
          <w:color w:val="000000" w:themeColor="text1"/>
        </w:rPr>
        <w:t xml:space="preserve">, T., </w:t>
      </w:r>
      <w:proofErr w:type="spellStart"/>
      <w:r w:rsidRPr="00583644">
        <w:rPr>
          <w:rFonts w:cs="Times New Roman"/>
          <w:color w:val="000000" w:themeColor="text1"/>
        </w:rPr>
        <w:t>Superti‐Furga</w:t>
      </w:r>
      <w:proofErr w:type="spellEnd"/>
      <w:r w:rsidRPr="00583644">
        <w:rPr>
          <w:rFonts w:cs="Times New Roman"/>
          <w:color w:val="000000" w:themeColor="text1"/>
        </w:rPr>
        <w:t xml:space="preserve">, A., &amp; Tran, C. (2021). </w:t>
      </w:r>
      <w:proofErr w:type="spellStart"/>
      <w:r w:rsidRPr="00583644">
        <w:rPr>
          <w:rFonts w:cs="Times New Roman"/>
          <w:color w:val="000000" w:themeColor="text1"/>
        </w:rPr>
        <w:t>Ngs</w:t>
      </w:r>
      <w:proofErr w:type="spellEnd"/>
      <w:r w:rsidRPr="00583644">
        <w:rPr>
          <w:rFonts w:cs="Times New Roman"/>
          <w:color w:val="000000" w:themeColor="text1"/>
        </w:rPr>
        <w:t>-based diagnosis of treatable neurogenetic disorders in adults: opportunities and challenges. Genes, 12(5), 695. https://doi.org/10.3390/genes12050695</w:t>
      </w:r>
    </w:p>
    <w:p w14:paraId="0A3312CE"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lastRenderedPageBreak/>
        <w:t xml:space="preserve">20. </w:t>
      </w:r>
      <w:proofErr w:type="spellStart"/>
      <w:r w:rsidRPr="00583644">
        <w:rPr>
          <w:rFonts w:cs="Times New Roman"/>
          <w:color w:val="000000" w:themeColor="text1"/>
        </w:rPr>
        <w:t>Şan</w:t>
      </w:r>
      <w:proofErr w:type="spellEnd"/>
      <w:r w:rsidRPr="00583644">
        <w:rPr>
          <w:rFonts w:cs="Times New Roman"/>
          <w:color w:val="000000" w:themeColor="text1"/>
        </w:rPr>
        <w:t>, C. (2024). Ketogenic diet interventions in inborn errors of metabolism: a review article. Clinical and Experimental Health Sciences, 14(1), 283-295. https://doi.org/10.33808/clinexphealthsci.1310203</w:t>
      </w:r>
    </w:p>
    <w:p w14:paraId="6465211B"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21. </w:t>
      </w:r>
      <w:proofErr w:type="spellStart"/>
      <w:r w:rsidRPr="00583644">
        <w:rPr>
          <w:rFonts w:cs="Times New Roman"/>
          <w:color w:val="000000" w:themeColor="text1"/>
        </w:rPr>
        <w:t>Niedobylski</w:t>
      </w:r>
      <w:proofErr w:type="spellEnd"/>
      <w:r w:rsidRPr="00583644">
        <w:rPr>
          <w:rFonts w:cs="Times New Roman"/>
          <w:color w:val="000000" w:themeColor="text1"/>
        </w:rPr>
        <w:t xml:space="preserve">, S. (2024). Affective disorders and self-injurious behavior in children and young adults with carbohydrate metabolism disorders. Current Problems of Psychiatry, 25, 101-109. </w:t>
      </w:r>
      <w:hyperlink r:id="rId10" w:history="1">
        <w:r w:rsidRPr="00583644">
          <w:rPr>
            <w:rStyle w:val="Hyperlink"/>
            <w:rFonts w:cs="Times New Roman"/>
            <w:color w:val="000000" w:themeColor="text1"/>
          </w:rPr>
          <w:t>https://doi.org/10.12923/2353-8627/2024-0010</w:t>
        </w:r>
      </w:hyperlink>
    </w:p>
    <w:p w14:paraId="16B3F276"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22. Conte, F. (2023). Metabolic cardiomyopathies and cardiac defects in inherited disorders of carbohydrate metabolism: a systematic review. International Journal of Molecular Sciences, 24(10), 8632. https://doi.org/10.3390/ijms24108632</w:t>
      </w:r>
    </w:p>
    <w:p w14:paraId="106950B1"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23. Kanani, F. (2023). Selective screening for inherited metabolic disorders in a tertiary care hospital of </w:t>
      </w:r>
      <w:proofErr w:type="spellStart"/>
      <w:r w:rsidRPr="00583644">
        <w:rPr>
          <w:rFonts w:cs="Times New Roman"/>
          <w:color w:val="000000" w:themeColor="text1"/>
        </w:rPr>
        <w:t>karachi</w:t>
      </w:r>
      <w:proofErr w:type="spellEnd"/>
      <w:r w:rsidRPr="00583644">
        <w:rPr>
          <w:rFonts w:cs="Times New Roman"/>
          <w:color w:val="000000" w:themeColor="text1"/>
        </w:rPr>
        <w:t xml:space="preserve"> – a retrospective chart review. Pakistan Journal of Medical Sciences, 40(2(ICON)). https://doi.org/10.12669/pjms.40.2(icon).8985</w:t>
      </w:r>
    </w:p>
    <w:p w14:paraId="33495624"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24. </w:t>
      </w:r>
      <w:proofErr w:type="spellStart"/>
      <w:r w:rsidRPr="00583644">
        <w:rPr>
          <w:rFonts w:cs="Times New Roman"/>
          <w:color w:val="000000" w:themeColor="text1"/>
        </w:rPr>
        <w:t>Салухов</w:t>
      </w:r>
      <w:proofErr w:type="spellEnd"/>
      <w:r w:rsidRPr="00583644">
        <w:rPr>
          <w:rFonts w:cs="Times New Roman"/>
          <w:color w:val="000000" w:themeColor="text1"/>
        </w:rPr>
        <w:t xml:space="preserve">, В., </w:t>
      </w:r>
      <w:proofErr w:type="spellStart"/>
      <w:r w:rsidRPr="00583644">
        <w:rPr>
          <w:rFonts w:cs="Times New Roman"/>
          <w:color w:val="000000" w:themeColor="text1"/>
        </w:rPr>
        <w:t>Minakov</w:t>
      </w:r>
      <w:proofErr w:type="spellEnd"/>
      <w:r w:rsidRPr="00583644">
        <w:rPr>
          <w:rFonts w:cs="Times New Roman"/>
          <w:color w:val="000000" w:themeColor="text1"/>
        </w:rPr>
        <w:t xml:space="preserve">, A., </w:t>
      </w:r>
      <w:proofErr w:type="spellStart"/>
      <w:r w:rsidRPr="00583644">
        <w:rPr>
          <w:rFonts w:cs="Times New Roman"/>
          <w:color w:val="000000" w:themeColor="text1"/>
        </w:rPr>
        <w:t>Sharypova</w:t>
      </w:r>
      <w:proofErr w:type="spellEnd"/>
      <w:r w:rsidRPr="00583644">
        <w:rPr>
          <w:rFonts w:cs="Times New Roman"/>
          <w:color w:val="000000" w:themeColor="text1"/>
        </w:rPr>
        <w:t xml:space="preserve">, T., Kononova, A., &amp; </w:t>
      </w:r>
      <w:proofErr w:type="spellStart"/>
      <w:r w:rsidRPr="00583644">
        <w:rPr>
          <w:rFonts w:cs="Times New Roman"/>
          <w:color w:val="000000" w:themeColor="text1"/>
        </w:rPr>
        <w:t>Surkhaeva</w:t>
      </w:r>
      <w:proofErr w:type="spellEnd"/>
      <w:r w:rsidRPr="00583644">
        <w:rPr>
          <w:rFonts w:cs="Times New Roman"/>
          <w:color w:val="000000" w:themeColor="text1"/>
        </w:rPr>
        <w:t xml:space="preserve">, V. (2022). </w:t>
      </w:r>
      <w:proofErr w:type="spellStart"/>
      <w:r w:rsidRPr="00583644">
        <w:rPr>
          <w:rFonts w:cs="Times New Roman"/>
          <w:color w:val="000000" w:themeColor="text1"/>
        </w:rPr>
        <w:t>Сarbohydrate</w:t>
      </w:r>
      <w:proofErr w:type="spellEnd"/>
      <w:r w:rsidRPr="00583644">
        <w:rPr>
          <w:rFonts w:cs="Times New Roman"/>
          <w:color w:val="000000" w:themeColor="text1"/>
        </w:rPr>
        <w:t xml:space="preserve"> metabolism disorders and their outcomes in the long-term period in hospitalized patients with covid-19. Diabetes Mellitus, 25(5), 468-476. https://doi.org/10.14341/dm12856</w:t>
      </w:r>
    </w:p>
    <w:p w14:paraId="1F7A73A1"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25. Moye, Z., Zeng, L., &amp; Burne, R. (2014). Fueling the caries process: carbohydrate metabolism and gene regulation by streptococcus mutans. Journal of Oral Microbiology, 6(1), 24878. https://doi.org/10.3402/jom.v6.24878</w:t>
      </w:r>
    </w:p>
    <w:p w14:paraId="37B2A515"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26. Hlushchenko, T., </w:t>
      </w:r>
      <w:proofErr w:type="spellStart"/>
      <w:r w:rsidRPr="00583644">
        <w:rPr>
          <w:rFonts w:cs="Times New Roman"/>
          <w:color w:val="000000" w:themeColor="text1"/>
        </w:rPr>
        <w:t>Батиг</w:t>
      </w:r>
      <w:proofErr w:type="spellEnd"/>
      <w:r w:rsidRPr="00583644">
        <w:rPr>
          <w:rFonts w:cs="Times New Roman"/>
          <w:color w:val="000000" w:themeColor="text1"/>
        </w:rPr>
        <w:t xml:space="preserve">, В., </w:t>
      </w:r>
      <w:proofErr w:type="spellStart"/>
      <w:r w:rsidRPr="00583644">
        <w:rPr>
          <w:rFonts w:cs="Times New Roman"/>
          <w:color w:val="000000" w:themeColor="text1"/>
        </w:rPr>
        <w:t>Borysenko</w:t>
      </w:r>
      <w:proofErr w:type="spellEnd"/>
      <w:r w:rsidRPr="00583644">
        <w:rPr>
          <w:rFonts w:cs="Times New Roman"/>
          <w:color w:val="000000" w:themeColor="text1"/>
        </w:rPr>
        <w:t xml:space="preserve">, A., Tokar, O., </w:t>
      </w:r>
      <w:proofErr w:type="spellStart"/>
      <w:r w:rsidRPr="00583644">
        <w:rPr>
          <w:rFonts w:cs="Times New Roman"/>
          <w:color w:val="000000" w:themeColor="text1"/>
        </w:rPr>
        <w:t>Batih</w:t>
      </w:r>
      <w:proofErr w:type="spellEnd"/>
      <w:r w:rsidRPr="00583644">
        <w:rPr>
          <w:rFonts w:cs="Times New Roman"/>
          <w:color w:val="000000" w:themeColor="text1"/>
        </w:rPr>
        <w:t xml:space="preserve">, I., </w:t>
      </w:r>
      <w:proofErr w:type="spellStart"/>
      <w:r w:rsidRPr="00583644">
        <w:rPr>
          <w:rFonts w:cs="Times New Roman"/>
          <w:color w:val="000000" w:themeColor="text1"/>
        </w:rPr>
        <w:t>Vynogradova</w:t>
      </w:r>
      <w:proofErr w:type="spellEnd"/>
      <w:r w:rsidRPr="00583644">
        <w:rPr>
          <w:rFonts w:cs="Times New Roman"/>
          <w:color w:val="000000" w:themeColor="text1"/>
        </w:rPr>
        <w:t>, O., … &amp; Boychuk-</w:t>
      </w:r>
      <w:proofErr w:type="spellStart"/>
      <w:r w:rsidRPr="00583644">
        <w:rPr>
          <w:rFonts w:cs="Times New Roman"/>
          <w:color w:val="000000" w:themeColor="text1"/>
        </w:rPr>
        <w:t>Tovsta</w:t>
      </w:r>
      <w:proofErr w:type="spellEnd"/>
      <w:r w:rsidRPr="00583644">
        <w:rPr>
          <w:rFonts w:cs="Times New Roman"/>
          <w:color w:val="000000" w:themeColor="text1"/>
        </w:rPr>
        <w:t>, O. (2020). Prevalence and intensity of periodontal disease in individuals with metabolic syndrome. Journal of Medicine and Life, 13(3), 289-292. https://doi.org/10.25122/jml-2020-0073</w:t>
      </w:r>
    </w:p>
    <w:p w14:paraId="5B73D5F1"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27. El-</w:t>
      </w:r>
      <w:proofErr w:type="spellStart"/>
      <w:r w:rsidRPr="00583644">
        <w:rPr>
          <w:rFonts w:cs="Times New Roman"/>
          <w:color w:val="000000" w:themeColor="text1"/>
        </w:rPr>
        <w:t>Dokki</w:t>
      </w:r>
      <w:proofErr w:type="spellEnd"/>
      <w:r w:rsidRPr="00583644">
        <w:rPr>
          <w:rFonts w:cs="Times New Roman"/>
          <w:color w:val="000000" w:themeColor="text1"/>
        </w:rPr>
        <w:t xml:space="preserve">, N. and Moheb, D. (2021). Prevalence of periodontal disease in a group of </w:t>
      </w:r>
      <w:proofErr w:type="spellStart"/>
      <w:r w:rsidRPr="00583644">
        <w:rPr>
          <w:rFonts w:cs="Times New Roman"/>
          <w:color w:val="000000" w:themeColor="text1"/>
        </w:rPr>
        <w:t>egyptian</w:t>
      </w:r>
      <w:proofErr w:type="spellEnd"/>
      <w:r w:rsidRPr="00583644">
        <w:rPr>
          <w:rFonts w:cs="Times New Roman"/>
          <w:color w:val="000000" w:themeColor="text1"/>
        </w:rPr>
        <w:t xml:space="preserve"> children with diabetes mellitus type 1. The Medical Journal of Cairo University, 89(6), 1029-1034. https://doi.org/10.21608/mjcu.2021.184541</w:t>
      </w:r>
    </w:p>
    <w:p w14:paraId="05E36B0D"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28. Hirst, L., Chakrapani, A., &amp; Mubeen, S. (2022). Inborn errors of metabolism and their impact in </w:t>
      </w:r>
      <w:proofErr w:type="spellStart"/>
      <w:r w:rsidRPr="00583644">
        <w:rPr>
          <w:rFonts w:cs="Times New Roman"/>
          <w:color w:val="000000" w:themeColor="text1"/>
        </w:rPr>
        <w:t>paediatric</w:t>
      </w:r>
      <w:proofErr w:type="spellEnd"/>
      <w:r w:rsidRPr="00583644">
        <w:rPr>
          <w:rFonts w:cs="Times New Roman"/>
          <w:color w:val="000000" w:themeColor="text1"/>
        </w:rPr>
        <w:t xml:space="preserve"> dentistry. Journal of Inherited Metabolic Disease, 45(3), 417-430. https://doi.org/10.1002/jimd.12493</w:t>
      </w:r>
    </w:p>
    <w:p w14:paraId="008E85CD"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29. Hirst, L., Mubeen, S., &amp; Chakrapani, A. (2020). Impact of dietary interventions in inborn errors of metabolism in </w:t>
      </w:r>
      <w:proofErr w:type="spellStart"/>
      <w:r w:rsidRPr="00583644">
        <w:rPr>
          <w:rFonts w:cs="Times New Roman"/>
          <w:color w:val="000000" w:themeColor="text1"/>
        </w:rPr>
        <w:t>paediatric</w:t>
      </w:r>
      <w:proofErr w:type="spellEnd"/>
      <w:r w:rsidRPr="00583644">
        <w:rPr>
          <w:rFonts w:cs="Times New Roman"/>
          <w:color w:val="000000" w:themeColor="text1"/>
        </w:rPr>
        <w:t xml:space="preserve"> dentistry: review of the literature and case series. Clinical Case Reports, 9(2), 764-768. </w:t>
      </w:r>
      <w:hyperlink r:id="rId11" w:history="1">
        <w:r w:rsidRPr="00583644">
          <w:rPr>
            <w:rStyle w:val="Hyperlink"/>
            <w:rFonts w:cs="Times New Roman"/>
            <w:color w:val="000000" w:themeColor="text1"/>
          </w:rPr>
          <w:t>https://doi.org/10.1002/ccr3.3603</w:t>
        </w:r>
      </w:hyperlink>
    </w:p>
    <w:p w14:paraId="76AFC629"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30. Vishwanath, V. (2016). Fatty acid beta-oxidation disorders: a brief review. Annals of Neurosciences, 23(1), 51-55. https://doi.org/10.1159/000443556</w:t>
      </w:r>
    </w:p>
    <w:p w14:paraId="5052180B"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lastRenderedPageBreak/>
        <w:t xml:space="preserve">31. </w:t>
      </w:r>
      <w:proofErr w:type="spellStart"/>
      <w:r w:rsidRPr="00583644">
        <w:rPr>
          <w:rFonts w:cs="Times New Roman"/>
          <w:color w:val="000000" w:themeColor="text1"/>
        </w:rPr>
        <w:t>Spiekerkoetter</w:t>
      </w:r>
      <w:proofErr w:type="spellEnd"/>
      <w:r w:rsidRPr="00583644">
        <w:rPr>
          <w:rFonts w:cs="Times New Roman"/>
          <w:color w:val="000000" w:themeColor="text1"/>
        </w:rPr>
        <w:t>, U. (2010). Mitochondrial fatty acid oxidation disorders: clinical presentation of long‐chain fatty acid oxidation defects before and after newborn screening. Journal of Inherited Metabolic Disease, 33(5), 527-532. https://doi.org/10.1007/s10545-010-9090-x</w:t>
      </w:r>
    </w:p>
    <w:p w14:paraId="78713AD4"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32. </w:t>
      </w:r>
      <w:proofErr w:type="spellStart"/>
      <w:r w:rsidRPr="00583644">
        <w:rPr>
          <w:rFonts w:cs="Times New Roman"/>
          <w:color w:val="000000" w:themeColor="text1"/>
        </w:rPr>
        <w:t>Dereddy</w:t>
      </w:r>
      <w:proofErr w:type="spellEnd"/>
      <w:r w:rsidRPr="00583644">
        <w:rPr>
          <w:rFonts w:cs="Times New Roman"/>
          <w:color w:val="000000" w:themeColor="text1"/>
        </w:rPr>
        <w:t xml:space="preserve">, N., </w:t>
      </w:r>
      <w:proofErr w:type="spellStart"/>
      <w:r w:rsidRPr="00583644">
        <w:rPr>
          <w:rFonts w:cs="Times New Roman"/>
          <w:color w:val="000000" w:themeColor="text1"/>
        </w:rPr>
        <w:t>Kronn</w:t>
      </w:r>
      <w:proofErr w:type="spellEnd"/>
      <w:r w:rsidRPr="00583644">
        <w:rPr>
          <w:rFonts w:cs="Times New Roman"/>
          <w:color w:val="000000" w:themeColor="text1"/>
        </w:rPr>
        <w:t xml:space="preserve">, D., &amp; Krishnan, U. (2009). Defects in long chain fatty acid oxidation presenting as severe cardiomyopathy and cardiogenic shock in infancy. Cardiology in the Young, 19(5), 540-542. </w:t>
      </w:r>
      <w:hyperlink r:id="rId12" w:history="1">
        <w:r w:rsidRPr="00583644">
          <w:rPr>
            <w:rStyle w:val="Hyperlink"/>
            <w:rFonts w:cs="Times New Roman"/>
            <w:color w:val="000000" w:themeColor="text1"/>
          </w:rPr>
          <w:t>https://doi.org/10.1017/s104795110999134x</w:t>
        </w:r>
      </w:hyperlink>
    </w:p>
    <w:p w14:paraId="2AEAD93E"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33. Merritt, J., Norris, M., &amp; Kanungo, S. (2018). Fatty acid oxidation disorders. Annals of Translational Medicine, 6(24), 473-473. </w:t>
      </w:r>
      <w:hyperlink r:id="rId13" w:history="1">
        <w:r w:rsidRPr="00583644">
          <w:rPr>
            <w:rStyle w:val="Hyperlink"/>
            <w:rFonts w:cs="Times New Roman"/>
            <w:color w:val="000000" w:themeColor="text1"/>
          </w:rPr>
          <w:t>https://doi.org/10.21037/atm.2018.10.57</w:t>
        </w:r>
      </w:hyperlink>
    </w:p>
    <w:p w14:paraId="0E9CEDAD"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34. Takahashi, N. (2015). Oral microbiome metabolism. Journal of Dental Research, 94(12), 1628-1637. </w:t>
      </w:r>
      <w:hyperlink r:id="rId14" w:history="1">
        <w:r w:rsidRPr="00583644">
          <w:rPr>
            <w:rStyle w:val="Hyperlink"/>
            <w:rFonts w:cs="Times New Roman"/>
            <w:color w:val="000000" w:themeColor="text1"/>
          </w:rPr>
          <w:t>https://doi.org/10.1177/0022034515606045</w:t>
        </w:r>
      </w:hyperlink>
    </w:p>
    <w:p w14:paraId="3556CAA2"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35. </w:t>
      </w:r>
      <w:proofErr w:type="spellStart"/>
      <w:r w:rsidRPr="00583644">
        <w:rPr>
          <w:rFonts w:cs="Times New Roman"/>
          <w:color w:val="000000" w:themeColor="text1"/>
        </w:rPr>
        <w:t>Twanabasu</w:t>
      </w:r>
      <w:proofErr w:type="spellEnd"/>
      <w:r w:rsidRPr="00583644">
        <w:rPr>
          <w:rFonts w:cs="Times New Roman"/>
          <w:color w:val="000000" w:themeColor="text1"/>
        </w:rPr>
        <w:t>, S. (2023). Glycogen storage disease in two sisters: a case report. Clinical Case Reports, 11(5). https://doi.org/10.1002/ccr3.7318</w:t>
      </w:r>
    </w:p>
    <w:p w14:paraId="5DA878F3"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36. Afroza, S., Ma, R., &amp; Haque, M. (2016). Glycogen storage disease: an unusual presentation. Journal of Bangladesh College of Physicians and Surgeons, 33(1), 48-51. </w:t>
      </w:r>
      <w:hyperlink r:id="rId15" w:history="1">
        <w:r w:rsidRPr="00583644">
          <w:rPr>
            <w:rStyle w:val="Hyperlink"/>
            <w:rFonts w:cs="Times New Roman"/>
            <w:color w:val="000000" w:themeColor="text1"/>
          </w:rPr>
          <w:t>https://doi.org/10.3329/jbcps.v33i1.28004</w:t>
        </w:r>
      </w:hyperlink>
    </w:p>
    <w:p w14:paraId="2334E2C9" w14:textId="77777777" w:rsidR="00951579" w:rsidRPr="00583644" w:rsidRDefault="00951579" w:rsidP="00583644">
      <w:pPr>
        <w:ind w:left="360"/>
        <w:rPr>
          <w:rFonts w:cs="Times New Roman"/>
          <w:color w:val="000000" w:themeColor="text1"/>
        </w:rPr>
      </w:pPr>
      <w:r w:rsidRPr="00583644">
        <w:rPr>
          <w:rFonts w:cs="Times New Roman"/>
          <w:color w:val="000000" w:themeColor="text1"/>
        </w:rPr>
        <w:t xml:space="preserve">37. Chou, J., Matern, D., Mansfield, B., &amp; Chen, Y. (2002). Type </w:t>
      </w:r>
      <w:proofErr w:type="spellStart"/>
      <w:r w:rsidRPr="00583644">
        <w:rPr>
          <w:rFonts w:cs="Times New Roman"/>
          <w:color w:val="000000" w:themeColor="text1"/>
        </w:rPr>
        <w:t>i</w:t>
      </w:r>
      <w:proofErr w:type="spellEnd"/>
      <w:r w:rsidRPr="00583644">
        <w:rPr>
          <w:rFonts w:cs="Times New Roman"/>
          <w:color w:val="000000" w:themeColor="text1"/>
        </w:rPr>
        <w:t xml:space="preserve"> glycogen storage diseases: disorders of the glucose-6- phosphatase complex. Current Molecular Medicine, 2(2), 121-143. </w:t>
      </w:r>
      <w:hyperlink r:id="rId16" w:history="1">
        <w:r w:rsidRPr="00583644">
          <w:rPr>
            <w:rStyle w:val="Hyperlink"/>
            <w:rFonts w:cs="Times New Roman"/>
            <w:color w:val="000000" w:themeColor="text1"/>
          </w:rPr>
          <w:t>https://doi.org/10.2174/1566524024605798</w:t>
        </w:r>
      </w:hyperlink>
    </w:p>
    <w:p w14:paraId="3EED1110"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38. Sentner, C., Hoogeveen, I., Weinstein, D., Santer, R., Murphy, E., McKiernan, P., … &amp; Derks, T. (2016). Glycogen storage disease type iii: diagnosis, genotype, management, clinical course and outcome. Journal of Inherited Metabolic Disease, 39(5), 697-704. https://doi.org/10.1007/s10545-016-9932-2</w:t>
      </w:r>
    </w:p>
    <w:p w14:paraId="27B456B3"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39. Berling, É., Laforêt, P., Wahbi, K., Labrune, P., Petit, F., </w:t>
      </w:r>
      <w:proofErr w:type="spellStart"/>
      <w:r w:rsidRPr="00583644">
        <w:rPr>
          <w:rFonts w:cs="Times New Roman"/>
          <w:color w:val="000000" w:themeColor="text1"/>
        </w:rPr>
        <w:t>Ronzitti</w:t>
      </w:r>
      <w:proofErr w:type="spellEnd"/>
      <w:r w:rsidRPr="00583644">
        <w:rPr>
          <w:rFonts w:cs="Times New Roman"/>
          <w:color w:val="000000" w:themeColor="text1"/>
        </w:rPr>
        <w:t>, G., … &amp; O'Brien, A. (2021). Narrative review of glycogen storage disorder type iii with a focus on neuromuscular, cardiac and therapeutic aspects. Journal of Inherited Metabolic Disease, 44(3), 521-533. https://doi.org/10.1002/jimd.12355</w:t>
      </w:r>
    </w:p>
    <w:p w14:paraId="4C6EDA3B"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40. Koeberl, D., Koch, R., Lim, J., Brooks, E., Arnson, B., Sun, B., … &amp; </w:t>
      </w:r>
      <w:proofErr w:type="spellStart"/>
      <w:r w:rsidRPr="00583644">
        <w:rPr>
          <w:rFonts w:cs="Times New Roman"/>
          <w:color w:val="000000" w:themeColor="text1"/>
        </w:rPr>
        <w:t>Kishnani</w:t>
      </w:r>
      <w:proofErr w:type="spellEnd"/>
      <w:r w:rsidRPr="00583644">
        <w:rPr>
          <w:rFonts w:cs="Times New Roman"/>
          <w:color w:val="000000" w:themeColor="text1"/>
        </w:rPr>
        <w:t>, P. (2023). Gene therapy for glycogen storage diseases. Journal of Inherited Metabolic Disease, 47(1), 93-118. https://doi.org/10.1002/jimd.12654</w:t>
      </w:r>
    </w:p>
    <w:p w14:paraId="53B6F508"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41. Ma, S., Guo, Q., Zhang, Z., He, Z., Yue, A., Song, Z., … &amp; Sun, R. (2020). Expanded newborn screening for inborn errors of metabolism by tandem mass </w:t>
      </w:r>
      <w:r w:rsidRPr="00583644">
        <w:rPr>
          <w:rFonts w:cs="Times New Roman"/>
          <w:color w:val="000000" w:themeColor="text1"/>
        </w:rPr>
        <w:lastRenderedPageBreak/>
        <w:t xml:space="preserve">spectrometry in newborns from </w:t>
      </w:r>
      <w:proofErr w:type="spellStart"/>
      <w:r w:rsidRPr="00583644">
        <w:rPr>
          <w:rFonts w:cs="Times New Roman"/>
          <w:color w:val="000000" w:themeColor="text1"/>
        </w:rPr>
        <w:t>xinxiang</w:t>
      </w:r>
      <w:proofErr w:type="spellEnd"/>
      <w:r w:rsidRPr="00583644">
        <w:rPr>
          <w:rFonts w:cs="Times New Roman"/>
          <w:color w:val="000000" w:themeColor="text1"/>
        </w:rPr>
        <w:t xml:space="preserve"> city in </w:t>
      </w:r>
      <w:proofErr w:type="spellStart"/>
      <w:r w:rsidRPr="00583644">
        <w:rPr>
          <w:rFonts w:cs="Times New Roman"/>
          <w:color w:val="000000" w:themeColor="text1"/>
        </w:rPr>
        <w:t>china</w:t>
      </w:r>
      <w:proofErr w:type="spellEnd"/>
      <w:r w:rsidRPr="00583644">
        <w:rPr>
          <w:rFonts w:cs="Times New Roman"/>
          <w:color w:val="000000" w:themeColor="text1"/>
        </w:rPr>
        <w:t xml:space="preserve">. Journal of Clinical Laboratory Analysis, 34(5). </w:t>
      </w:r>
      <w:hyperlink r:id="rId17" w:history="1">
        <w:r w:rsidRPr="00583644">
          <w:rPr>
            <w:rStyle w:val="Hyperlink"/>
            <w:rFonts w:cs="Times New Roman"/>
            <w:color w:val="000000" w:themeColor="text1"/>
          </w:rPr>
          <w:t>https://doi.org/10.1002/jcla.23159</w:t>
        </w:r>
      </w:hyperlink>
    </w:p>
    <w:p w14:paraId="2CE30774"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42. Duplan, M., Hubert, A., </w:t>
      </w:r>
      <w:proofErr w:type="spellStart"/>
      <w:r w:rsidRPr="00583644">
        <w:rPr>
          <w:rFonts w:cs="Times New Roman"/>
          <w:color w:val="000000" w:themeColor="text1"/>
        </w:rPr>
        <w:t>Norcy</w:t>
      </w:r>
      <w:proofErr w:type="spellEnd"/>
      <w:r w:rsidRPr="00583644">
        <w:rPr>
          <w:rFonts w:cs="Times New Roman"/>
          <w:color w:val="000000" w:themeColor="text1"/>
        </w:rPr>
        <w:t xml:space="preserve">, E., </w:t>
      </w:r>
      <w:proofErr w:type="spellStart"/>
      <w:r w:rsidRPr="00583644">
        <w:rPr>
          <w:rFonts w:cs="Times New Roman"/>
          <w:color w:val="000000" w:themeColor="text1"/>
        </w:rPr>
        <w:t>Louzoun</w:t>
      </w:r>
      <w:proofErr w:type="spellEnd"/>
      <w:r w:rsidRPr="00583644">
        <w:rPr>
          <w:rFonts w:cs="Times New Roman"/>
          <w:color w:val="000000" w:themeColor="text1"/>
        </w:rPr>
        <w:t xml:space="preserve">, A., Perry, A., Miller, C., … &amp; Labrune, P. (2018). Dental and periodontal manifestations of glycogen storage diseases: a case series of 60 patients. Journal of Inherited Metabolic Disease, 41(6), 947-953. </w:t>
      </w:r>
      <w:hyperlink r:id="rId18" w:history="1">
        <w:r w:rsidRPr="00583644">
          <w:rPr>
            <w:rStyle w:val="Hyperlink"/>
            <w:rFonts w:cs="Times New Roman"/>
            <w:color w:val="000000" w:themeColor="text1"/>
          </w:rPr>
          <w:t>https://doi.org/10.1007/s10545-018-0182-3</w:t>
        </w:r>
      </w:hyperlink>
    </w:p>
    <w:p w14:paraId="1CA1B4ED"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43. Gümüş, E. and Özen, H. (2023). Glycogen storage diseases: an update. World Journal of Gastroenterology, 29(25), 3932-3963. https://doi.org/10.3748/wjg.v29.i25.3932</w:t>
      </w:r>
    </w:p>
    <w:p w14:paraId="02A69C07"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44. Chen, M. and Weinstein, D. (2016). Glycogen storage diseases: diagnosis, treatment and outcome. Translational Science of Rare Diseases, 1(1), 45-72. https://doi.org/10.3233/trd-160006</w:t>
      </w:r>
    </w:p>
    <w:p w14:paraId="4CBC674C"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45. Radulović, M. (2019). Update on food allergies. Prev Ped, 023-026. https://doi.org/10.46793/pp190212005r</w:t>
      </w:r>
    </w:p>
    <w:p w14:paraId="72D3B5A3"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46. Gupta, R., Springston, E., Smith, B., Warrier, M., </w:t>
      </w:r>
      <w:proofErr w:type="spellStart"/>
      <w:r w:rsidRPr="00583644">
        <w:rPr>
          <w:rFonts w:cs="Times New Roman"/>
          <w:color w:val="000000" w:themeColor="text1"/>
        </w:rPr>
        <w:t>Pongracic</w:t>
      </w:r>
      <w:proofErr w:type="spellEnd"/>
      <w:r w:rsidRPr="00583644">
        <w:rPr>
          <w:rFonts w:cs="Times New Roman"/>
          <w:color w:val="000000" w:themeColor="text1"/>
        </w:rPr>
        <w:t xml:space="preserve">, J., &amp; Holl, J. (2012). Geographic variability of childhood food allergy in the </w:t>
      </w:r>
      <w:proofErr w:type="gramStart"/>
      <w:r w:rsidRPr="00583644">
        <w:rPr>
          <w:rFonts w:cs="Times New Roman"/>
          <w:color w:val="000000" w:themeColor="text1"/>
        </w:rPr>
        <w:t>united states</w:t>
      </w:r>
      <w:proofErr w:type="gramEnd"/>
      <w:r w:rsidRPr="00583644">
        <w:rPr>
          <w:rFonts w:cs="Times New Roman"/>
          <w:color w:val="000000" w:themeColor="text1"/>
        </w:rPr>
        <w:t>. Clinical Pediatrics, 51(9), 856-861. https://doi.org/10.1177/0009922812448526</w:t>
      </w:r>
    </w:p>
    <w:p w14:paraId="3EEC15B1"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47. Gupta, R., Springston, E., Smith, B., </w:t>
      </w:r>
      <w:proofErr w:type="spellStart"/>
      <w:r w:rsidRPr="00583644">
        <w:rPr>
          <w:rFonts w:cs="Times New Roman"/>
          <w:color w:val="000000" w:themeColor="text1"/>
        </w:rPr>
        <w:t>Pongracic</w:t>
      </w:r>
      <w:proofErr w:type="spellEnd"/>
      <w:r w:rsidRPr="00583644">
        <w:rPr>
          <w:rFonts w:cs="Times New Roman"/>
          <w:color w:val="000000" w:themeColor="text1"/>
        </w:rPr>
        <w:t xml:space="preserve">, J., Holl, J., &amp; Warrier, M. (2013). Parent report of physician diagnosis in </w:t>
      </w:r>
      <w:proofErr w:type="spellStart"/>
      <w:r w:rsidRPr="00583644">
        <w:rPr>
          <w:rFonts w:cs="Times New Roman"/>
          <w:color w:val="000000" w:themeColor="text1"/>
        </w:rPr>
        <w:t>paediatric</w:t>
      </w:r>
      <w:proofErr w:type="spellEnd"/>
      <w:r w:rsidRPr="00583644">
        <w:rPr>
          <w:rFonts w:cs="Times New Roman"/>
          <w:color w:val="000000" w:themeColor="text1"/>
        </w:rPr>
        <w:t xml:space="preserve"> food allergy. Journal of Allergy and Clinical Immunology, 131(1), 150-156. https://doi.org/10.1016/j.jaci.2012.07.016</w:t>
      </w:r>
    </w:p>
    <w:p w14:paraId="0208FB4D"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48. </w:t>
      </w:r>
      <w:proofErr w:type="spellStart"/>
      <w:r w:rsidRPr="00583644">
        <w:rPr>
          <w:rFonts w:cs="Times New Roman"/>
          <w:color w:val="000000" w:themeColor="text1"/>
        </w:rPr>
        <w:t>Aljameel</w:t>
      </w:r>
      <w:proofErr w:type="spellEnd"/>
      <w:r w:rsidRPr="00583644">
        <w:rPr>
          <w:rFonts w:cs="Times New Roman"/>
          <w:color w:val="000000" w:themeColor="text1"/>
        </w:rPr>
        <w:t xml:space="preserve">, G., </w:t>
      </w:r>
      <w:proofErr w:type="spellStart"/>
      <w:r w:rsidRPr="00583644">
        <w:rPr>
          <w:rFonts w:cs="Times New Roman"/>
          <w:color w:val="000000" w:themeColor="text1"/>
        </w:rPr>
        <w:t>AlSedairy</w:t>
      </w:r>
      <w:proofErr w:type="spellEnd"/>
      <w:r w:rsidRPr="00583644">
        <w:rPr>
          <w:rFonts w:cs="Times New Roman"/>
          <w:color w:val="000000" w:themeColor="text1"/>
        </w:rPr>
        <w:t xml:space="preserve">, S., </w:t>
      </w:r>
      <w:proofErr w:type="spellStart"/>
      <w:r w:rsidRPr="00583644">
        <w:rPr>
          <w:rFonts w:cs="Times New Roman"/>
          <w:color w:val="000000" w:themeColor="text1"/>
        </w:rPr>
        <w:t>Binobead</w:t>
      </w:r>
      <w:proofErr w:type="spellEnd"/>
      <w:r w:rsidRPr="00583644">
        <w:rPr>
          <w:rFonts w:cs="Times New Roman"/>
          <w:color w:val="000000" w:themeColor="text1"/>
        </w:rPr>
        <w:t xml:space="preserve">, M., Alhussain, M., Obaid, M., Al-Harbi, L., … &amp; Arzoo, S. (2023). Awareness of food allergies and allergens on the menus of restaurants and cafes among </w:t>
      </w:r>
      <w:proofErr w:type="spellStart"/>
      <w:r w:rsidRPr="00583644">
        <w:rPr>
          <w:rFonts w:cs="Times New Roman"/>
          <w:color w:val="000000" w:themeColor="text1"/>
        </w:rPr>
        <w:t>saudi</w:t>
      </w:r>
      <w:proofErr w:type="spellEnd"/>
      <w:r w:rsidRPr="00583644">
        <w:rPr>
          <w:rFonts w:cs="Times New Roman"/>
          <w:color w:val="000000" w:themeColor="text1"/>
        </w:rPr>
        <w:t xml:space="preserve"> female university students. Healthcare, 11(9), 1259. https://doi.org/10.3390/healthcare11091259</w:t>
      </w:r>
    </w:p>
    <w:p w14:paraId="2D9D5DD7"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49. Barni, S., </w:t>
      </w:r>
      <w:proofErr w:type="spellStart"/>
      <w:r w:rsidRPr="00583644">
        <w:rPr>
          <w:rFonts w:cs="Times New Roman"/>
          <w:color w:val="000000" w:themeColor="text1"/>
        </w:rPr>
        <w:t>Liccioli</w:t>
      </w:r>
      <w:proofErr w:type="spellEnd"/>
      <w:r w:rsidRPr="00583644">
        <w:rPr>
          <w:rFonts w:cs="Times New Roman"/>
          <w:color w:val="000000" w:themeColor="text1"/>
        </w:rPr>
        <w:t>, G., Sarti, L., Giovannini, M., Novembre, E., &amp; Mori, F. (2020). Immunoglobulin e (</w:t>
      </w:r>
      <w:proofErr w:type="spellStart"/>
      <w:r w:rsidRPr="00583644">
        <w:rPr>
          <w:rFonts w:cs="Times New Roman"/>
          <w:color w:val="000000" w:themeColor="text1"/>
        </w:rPr>
        <w:t>ige</w:t>
      </w:r>
      <w:proofErr w:type="spellEnd"/>
      <w:r w:rsidRPr="00583644">
        <w:rPr>
          <w:rFonts w:cs="Times New Roman"/>
          <w:color w:val="000000" w:themeColor="text1"/>
        </w:rPr>
        <w:t xml:space="preserve">)-mediated food allergy in children: epidemiology, pathogenesis, diagnosis, prevention, and management. Medicina, 56(3), 111. </w:t>
      </w:r>
      <w:hyperlink r:id="rId19" w:history="1">
        <w:r w:rsidRPr="00583644">
          <w:rPr>
            <w:rStyle w:val="Hyperlink"/>
            <w:rFonts w:cs="Times New Roman"/>
            <w:color w:val="000000" w:themeColor="text1"/>
          </w:rPr>
          <w:t>https://doi.org/10.3390/medicina56030111</w:t>
        </w:r>
      </w:hyperlink>
    </w:p>
    <w:p w14:paraId="0925C2AC"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50. Foong, R., </w:t>
      </w:r>
      <w:proofErr w:type="spellStart"/>
      <w:r w:rsidRPr="00583644">
        <w:rPr>
          <w:rFonts w:cs="Times New Roman"/>
          <w:color w:val="000000" w:themeColor="text1"/>
        </w:rPr>
        <w:t>Dziubak</w:t>
      </w:r>
      <w:proofErr w:type="spellEnd"/>
      <w:r w:rsidRPr="00583644">
        <w:rPr>
          <w:rFonts w:cs="Times New Roman"/>
          <w:color w:val="000000" w:themeColor="text1"/>
        </w:rPr>
        <w:t xml:space="preserve">, R., </w:t>
      </w:r>
      <w:proofErr w:type="spellStart"/>
      <w:r w:rsidRPr="00583644">
        <w:rPr>
          <w:rFonts w:cs="Times New Roman"/>
          <w:color w:val="000000" w:themeColor="text1"/>
        </w:rPr>
        <w:t>Lozinsky</w:t>
      </w:r>
      <w:proofErr w:type="spellEnd"/>
      <w:r w:rsidRPr="00583644">
        <w:rPr>
          <w:rFonts w:cs="Times New Roman"/>
          <w:color w:val="000000" w:themeColor="text1"/>
        </w:rPr>
        <w:t xml:space="preserve">, A., Godwin, H., Reeve, K., Hussain, S., … &amp; Shah, N. (2017). Establishing the prevalence of low vitamin d in non-immunoglobulin-e mediated gastrointestinal food allergic children in a tertiary </w:t>
      </w:r>
      <w:proofErr w:type="spellStart"/>
      <w:r w:rsidRPr="00583644">
        <w:rPr>
          <w:rFonts w:cs="Times New Roman"/>
          <w:color w:val="000000" w:themeColor="text1"/>
        </w:rPr>
        <w:t>centre</w:t>
      </w:r>
      <w:proofErr w:type="spellEnd"/>
      <w:r w:rsidRPr="00583644">
        <w:rPr>
          <w:rFonts w:cs="Times New Roman"/>
          <w:color w:val="000000" w:themeColor="text1"/>
        </w:rPr>
        <w:t>. World Allergy Organization Journal, 10, 4. https://doi.org/10.1186/s40413-016-0135-y</w:t>
      </w:r>
    </w:p>
    <w:p w14:paraId="08AA087F"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51. </w:t>
      </w:r>
      <w:proofErr w:type="spellStart"/>
      <w:r w:rsidRPr="00583644">
        <w:rPr>
          <w:rFonts w:cs="Times New Roman"/>
          <w:color w:val="000000" w:themeColor="text1"/>
        </w:rPr>
        <w:t>Norolahi</w:t>
      </w:r>
      <w:proofErr w:type="spellEnd"/>
      <w:r w:rsidRPr="00583644">
        <w:rPr>
          <w:rFonts w:cs="Times New Roman"/>
          <w:color w:val="000000" w:themeColor="text1"/>
        </w:rPr>
        <w:t xml:space="preserve">, M., </w:t>
      </w:r>
      <w:proofErr w:type="spellStart"/>
      <w:r w:rsidRPr="00583644">
        <w:rPr>
          <w:rFonts w:cs="Times New Roman"/>
          <w:color w:val="000000" w:themeColor="text1"/>
        </w:rPr>
        <w:t>Hematyar</w:t>
      </w:r>
      <w:proofErr w:type="spellEnd"/>
      <w:r w:rsidRPr="00583644">
        <w:rPr>
          <w:rFonts w:cs="Times New Roman"/>
          <w:color w:val="000000" w:themeColor="text1"/>
        </w:rPr>
        <w:t xml:space="preserve">, M., </w:t>
      </w:r>
      <w:proofErr w:type="spellStart"/>
      <w:r w:rsidRPr="00583644">
        <w:rPr>
          <w:rFonts w:cs="Times New Roman"/>
          <w:color w:val="000000" w:themeColor="text1"/>
        </w:rPr>
        <w:t>Pouyanfar</w:t>
      </w:r>
      <w:proofErr w:type="spellEnd"/>
      <w:r w:rsidRPr="00583644">
        <w:rPr>
          <w:rFonts w:cs="Times New Roman"/>
          <w:color w:val="000000" w:themeColor="text1"/>
        </w:rPr>
        <w:t xml:space="preserve">, R., </w:t>
      </w:r>
      <w:proofErr w:type="spellStart"/>
      <w:r w:rsidRPr="00583644">
        <w:rPr>
          <w:rFonts w:cs="Times New Roman"/>
          <w:color w:val="000000" w:themeColor="text1"/>
        </w:rPr>
        <w:t>Hashemitari</w:t>
      </w:r>
      <w:proofErr w:type="spellEnd"/>
      <w:r w:rsidRPr="00583644">
        <w:rPr>
          <w:rFonts w:cs="Times New Roman"/>
          <w:color w:val="000000" w:themeColor="text1"/>
        </w:rPr>
        <w:t xml:space="preserve">, S., &amp; </w:t>
      </w:r>
      <w:proofErr w:type="spellStart"/>
      <w:r w:rsidRPr="00583644">
        <w:rPr>
          <w:rFonts w:cs="Times New Roman"/>
          <w:color w:val="000000" w:themeColor="text1"/>
        </w:rPr>
        <w:t>Darougar</w:t>
      </w:r>
      <w:proofErr w:type="spellEnd"/>
      <w:r w:rsidRPr="00583644">
        <w:rPr>
          <w:rFonts w:cs="Times New Roman"/>
          <w:color w:val="000000" w:themeColor="text1"/>
        </w:rPr>
        <w:t xml:space="preserve">, S. (2022). A demographics analysis of </w:t>
      </w:r>
      <w:proofErr w:type="spellStart"/>
      <w:r w:rsidRPr="00583644">
        <w:rPr>
          <w:rFonts w:cs="Times New Roman"/>
          <w:color w:val="000000" w:themeColor="text1"/>
        </w:rPr>
        <w:t>ige</w:t>
      </w:r>
      <w:proofErr w:type="spellEnd"/>
      <w:r w:rsidRPr="00583644">
        <w:rPr>
          <w:rFonts w:cs="Times New Roman"/>
          <w:color w:val="000000" w:themeColor="text1"/>
        </w:rPr>
        <w:t>- and non-</w:t>
      </w:r>
      <w:proofErr w:type="spellStart"/>
      <w:r w:rsidRPr="00583644">
        <w:rPr>
          <w:rFonts w:cs="Times New Roman"/>
          <w:color w:val="000000" w:themeColor="text1"/>
        </w:rPr>
        <w:t>ige</w:t>
      </w:r>
      <w:proofErr w:type="spellEnd"/>
      <w:r w:rsidRPr="00583644">
        <w:rPr>
          <w:rFonts w:cs="Times New Roman"/>
          <w:color w:val="000000" w:themeColor="text1"/>
        </w:rPr>
        <w:t xml:space="preserve">-mediated food allergies in children. </w:t>
      </w:r>
      <w:r w:rsidRPr="00583644">
        <w:rPr>
          <w:rFonts w:cs="Times New Roman"/>
          <w:color w:val="000000" w:themeColor="text1"/>
        </w:rPr>
        <w:lastRenderedPageBreak/>
        <w:t>Journal of Kermanshah University of Medical Sciences, 26(2). https://doi.org/10.5812/jkums-127184</w:t>
      </w:r>
    </w:p>
    <w:p w14:paraId="7E14929A"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52. Ferraro, V., </w:t>
      </w:r>
      <w:proofErr w:type="spellStart"/>
      <w:r w:rsidRPr="00583644">
        <w:rPr>
          <w:rFonts w:cs="Times New Roman"/>
          <w:color w:val="000000" w:themeColor="text1"/>
        </w:rPr>
        <w:t>Zanconato</w:t>
      </w:r>
      <w:proofErr w:type="spellEnd"/>
      <w:r w:rsidRPr="00583644">
        <w:rPr>
          <w:rFonts w:cs="Times New Roman"/>
          <w:color w:val="000000" w:themeColor="text1"/>
        </w:rPr>
        <w:t>, S., &amp; Carraro, S. (2019). Timing of food introduction and the risk of food allergy. Nutrients, 11(5), 1131. https://doi.org/10.3390/nu11051131</w:t>
      </w:r>
    </w:p>
    <w:p w14:paraId="76490D10"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53. Cox, H., Lloyd, K., Williams, H., Arkwright, P., Brown, T., Clark, C., … &amp; Warner, J. (2011). Emollients, education and quality of life: the </w:t>
      </w:r>
      <w:proofErr w:type="spellStart"/>
      <w:r w:rsidRPr="00583644">
        <w:rPr>
          <w:rFonts w:cs="Times New Roman"/>
          <w:color w:val="000000" w:themeColor="text1"/>
        </w:rPr>
        <w:t>rcpch</w:t>
      </w:r>
      <w:proofErr w:type="spellEnd"/>
      <w:r w:rsidRPr="00583644">
        <w:rPr>
          <w:rFonts w:cs="Times New Roman"/>
          <w:color w:val="000000" w:themeColor="text1"/>
        </w:rPr>
        <w:t xml:space="preserve"> care pathway for children with eczema. Archives of Disease in Childhood, 96(Supplement 2), i19-i24. https://doi.org/10.1136/archdischild-2011-300695</w:t>
      </w:r>
    </w:p>
    <w:p w14:paraId="6B870709"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54. </w:t>
      </w:r>
      <w:proofErr w:type="spellStart"/>
      <w:r w:rsidRPr="00583644">
        <w:rPr>
          <w:rFonts w:cs="Times New Roman"/>
          <w:color w:val="000000" w:themeColor="text1"/>
        </w:rPr>
        <w:t>Aljameel</w:t>
      </w:r>
      <w:proofErr w:type="spellEnd"/>
      <w:r w:rsidRPr="00583644">
        <w:rPr>
          <w:rFonts w:cs="Times New Roman"/>
          <w:color w:val="000000" w:themeColor="text1"/>
        </w:rPr>
        <w:t xml:space="preserve">, G., </w:t>
      </w:r>
      <w:proofErr w:type="spellStart"/>
      <w:r w:rsidRPr="00583644">
        <w:rPr>
          <w:rFonts w:cs="Times New Roman"/>
          <w:color w:val="000000" w:themeColor="text1"/>
        </w:rPr>
        <w:t>AlSedairy</w:t>
      </w:r>
      <w:proofErr w:type="spellEnd"/>
      <w:r w:rsidRPr="00583644">
        <w:rPr>
          <w:rFonts w:cs="Times New Roman"/>
          <w:color w:val="000000" w:themeColor="text1"/>
        </w:rPr>
        <w:t xml:space="preserve">, S., </w:t>
      </w:r>
      <w:proofErr w:type="spellStart"/>
      <w:r w:rsidRPr="00583644">
        <w:rPr>
          <w:rFonts w:cs="Times New Roman"/>
          <w:color w:val="000000" w:themeColor="text1"/>
        </w:rPr>
        <w:t>Binobead</w:t>
      </w:r>
      <w:proofErr w:type="spellEnd"/>
      <w:r w:rsidRPr="00583644">
        <w:rPr>
          <w:rFonts w:cs="Times New Roman"/>
          <w:color w:val="000000" w:themeColor="text1"/>
        </w:rPr>
        <w:t xml:space="preserve">, M., Alhussain, M., Obaid, M., Al-Harbi, L., … &amp; Arzoo, S. (2023). Awareness of food allergies and allergens on the menus of restaurants and cafes among </w:t>
      </w:r>
      <w:proofErr w:type="spellStart"/>
      <w:r w:rsidRPr="00583644">
        <w:rPr>
          <w:rFonts w:cs="Times New Roman"/>
          <w:color w:val="000000" w:themeColor="text1"/>
        </w:rPr>
        <w:t>saudi</w:t>
      </w:r>
      <w:proofErr w:type="spellEnd"/>
      <w:r w:rsidRPr="00583644">
        <w:rPr>
          <w:rFonts w:cs="Times New Roman"/>
          <w:color w:val="000000" w:themeColor="text1"/>
        </w:rPr>
        <w:t xml:space="preserve"> female university students. Healthcare, 11(9), 1259. https://doi.org/10.3390/healthcare11091259</w:t>
      </w:r>
    </w:p>
    <w:p w14:paraId="3625D796"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55. Arasi, S. (2024). Perspectives in the validation of </w:t>
      </w:r>
      <w:proofErr w:type="spellStart"/>
      <w:r w:rsidRPr="00583644">
        <w:rPr>
          <w:rFonts w:cs="Times New Roman"/>
          <w:color w:val="000000" w:themeColor="text1"/>
        </w:rPr>
        <w:t>defase</w:t>
      </w:r>
      <w:proofErr w:type="spellEnd"/>
      <w:r w:rsidRPr="00583644">
        <w:rPr>
          <w:rFonts w:cs="Times New Roman"/>
          <w:color w:val="000000" w:themeColor="text1"/>
        </w:rPr>
        <w:t>: a paradigm shift in food allergy management. Current Opinion in Allergy and Clinical Immunology, 24(3), 171-176. https://doi.org/10.1097/aci.0000000000000988</w:t>
      </w:r>
    </w:p>
    <w:p w14:paraId="64CC5DF2" w14:textId="77777777" w:rsidR="00951579" w:rsidRPr="00583644" w:rsidRDefault="00951579" w:rsidP="00583644">
      <w:pPr>
        <w:ind w:left="360"/>
        <w:jc w:val="both"/>
        <w:rPr>
          <w:rFonts w:cs="Times New Roman"/>
          <w:color w:val="000000" w:themeColor="text1"/>
        </w:rPr>
      </w:pPr>
      <w:r w:rsidRPr="00583644">
        <w:rPr>
          <w:rFonts w:cs="Times New Roman"/>
          <w:color w:val="000000" w:themeColor="text1"/>
        </w:rPr>
        <w:t xml:space="preserve">56. Anvari, S., Miller, J., Yeh, C., &amp; Davis, C. (2018). Ige-mediated food allergy. Clinical Reviews in Allergy &amp; Immunology, 57(2), 244-260. </w:t>
      </w:r>
      <w:hyperlink r:id="rId20" w:history="1">
        <w:r w:rsidRPr="00583644">
          <w:rPr>
            <w:rStyle w:val="Hyperlink"/>
            <w:rFonts w:cs="Times New Roman"/>
            <w:color w:val="000000" w:themeColor="text1"/>
          </w:rPr>
          <w:t>https://doi.org/10.1007/s12016-018-8710-3</w:t>
        </w:r>
      </w:hyperlink>
    </w:p>
    <w:p w14:paraId="0A136388" w14:textId="2ECBEDF8" w:rsidR="008F3C0B" w:rsidRPr="00583644" w:rsidRDefault="008F3C0B" w:rsidP="00583644">
      <w:pPr>
        <w:pStyle w:val="Heading1"/>
        <w:rPr>
          <w:rFonts w:cs="Times New Roman"/>
          <w:szCs w:val="24"/>
        </w:rPr>
      </w:pPr>
      <w:r w:rsidRPr="00583644">
        <w:rPr>
          <w:rFonts w:cs="Times New Roman"/>
          <w:szCs w:val="24"/>
        </w:rPr>
        <w:t>Correspondence data:</w:t>
      </w:r>
    </w:p>
    <w:p w14:paraId="289B5707" w14:textId="77777777" w:rsidR="00951579" w:rsidRPr="00583644" w:rsidRDefault="00951579" w:rsidP="00583644">
      <w:pPr>
        <w:jc w:val="both"/>
        <w:rPr>
          <w:rFonts w:cs="Times New Roman"/>
        </w:rPr>
      </w:pPr>
      <w:r w:rsidRPr="00583644">
        <w:rPr>
          <w:rFonts w:cs="Times New Roman"/>
        </w:rPr>
        <w:t>Prof. (Dr.) Srikala Bhandary,</w:t>
      </w:r>
    </w:p>
    <w:p w14:paraId="6A666CD9" w14:textId="77777777" w:rsidR="00951579" w:rsidRPr="00583644" w:rsidRDefault="00951579" w:rsidP="00583644">
      <w:pPr>
        <w:jc w:val="both"/>
        <w:rPr>
          <w:rFonts w:cs="Times New Roman"/>
        </w:rPr>
      </w:pPr>
      <w:r w:rsidRPr="00583644">
        <w:rPr>
          <w:rFonts w:cs="Times New Roman"/>
        </w:rPr>
        <w:t xml:space="preserve">Professor, </w:t>
      </w:r>
    </w:p>
    <w:p w14:paraId="766AC1B5" w14:textId="77777777" w:rsidR="00951579" w:rsidRPr="00583644" w:rsidRDefault="00951579" w:rsidP="00583644">
      <w:pPr>
        <w:tabs>
          <w:tab w:val="left" w:pos="284"/>
        </w:tabs>
        <w:ind w:left="-284"/>
        <w:rPr>
          <w:rFonts w:cs="Times New Roman"/>
          <w:lang w:val="en-IN"/>
        </w:rPr>
      </w:pPr>
      <w:r w:rsidRPr="00583644">
        <w:rPr>
          <w:rFonts w:cs="Times New Roman"/>
          <w:lang w:val="en-IN"/>
        </w:rPr>
        <w:t xml:space="preserve">     Nitte (Deemed to be University)</w:t>
      </w:r>
    </w:p>
    <w:p w14:paraId="789626C6" w14:textId="77777777" w:rsidR="00951579" w:rsidRPr="00583644" w:rsidRDefault="00951579" w:rsidP="00583644">
      <w:pPr>
        <w:tabs>
          <w:tab w:val="left" w:pos="284"/>
        </w:tabs>
        <w:rPr>
          <w:rFonts w:cs="Times New Roman"/>
          <w:lang w:val="en-IN"/>
        </w:rPr>
      </w:pPr>
      <w:r w:rsidRPr="00583644">
        <w:rPr>
          <w:rFonts w:cs="Times New Roman"/>
          <w:lang w:val="en-IN"/>
        </w:rPr>
        <w:t>AB Shetty Memorial Institute of Dental Sciences (ABSMIDS),</w:t>
      </w:r>
    </w:p>
    <w:p w14:paraId="335A7B08" w14:textId="77777777" w:rsidR="00951579" w:rsidRPr="00583644" w:rsidRDefault="00951579" w:rsidP="00583644">
      <w:pPr>
        <w:tabs>
          <w:tab w:val="left" w:pos="284"/>
        </w:tabs>
        <w:ind w:left="-284"/>
        <w:rPr>
          <w:rFonts w:cs="Times New Roman"/>
          <w:lang w:val="en-IN"/>
        </w:rPr>
      </w:pPr>
      <w:r w:rsidRPr="00583644">
        <w:rPr>
          <w:rFonts w:cs="Times New Roman"/>
          <w:lang w:val="en-IN"/>
        </w:rPr>
        <w:t xml:space="preserve">     Department of Paediatric &amp; Preventive Dentistry, </w:t>
      </w:r>
    </w:p>
    <w:p w14:paraId="312EBA8C" w14:textId="77777777" w:rsidR="00951579" w:rsidRPr="00583644" w:rsidRDefault="00951579" w:rsidP="00583644">
      <w:pPr>
        <w:tabs>
          <w:tab w:val="left" w:pos="284"/>
        </w:tabs>
        <w:ind w:left="-284"/>
        <w:rPr>
          <w:rFonts w:cs="Times New Roman"/>
          <w:lang w:val="en-IN"/>
        </w:rPr>
      </w:pPr>
      <w:r w:rsidRPr="00583644">
        <w:rPr>
          <w:rFonts w:cs="Times New Roman"/>
          <w:lang w:val="en-IN"/>
        </w:rPr>
        <w:t xml:space="preserve">     Mangalore – 575018, Karnataka, India</w:t>
      </w:r>
    </w:p>
    <w:p w14:paraId="68B76220" w14:textId="77777777" w:rsidR="00951579" w:rsidRPr="00583644" w:rsidRDefault="00951579" w:rsidP="00583644">
      <w:pPr>
        <w:tabs>
          <w:tab w:val="left" w:pos="284"/>
        </w:tabs>
        <w:ind w:left="-284"/>
        <w:rPr>
          <w:rFonts w:cs="Times New Roman"/>
          <w:lang w:val="en-IN"/>
        </w:rPr>
      </w:pPr>
      <w:r w:rsidRPr="00583644">
        <w:rPr>
          <w:rFonts w:cs="Times New Roman"/>
          <w:lang w:val="en-IN"/>
        </w:rPr>
        <w:t xml:space="preserve">     Tel: +91- 9535620371</w:t>
      </w:r>
    </w:p>
    <w:p w14:paraId="5E3C5A96" w14:textId="77777777" w:rsidR="00951579" w:rsidRPr="00583644" w:rsidRDefault="00951579" w:rsidP="00583644">
      <w:pPr>
        <w:tabs>
          <w:tab w:val="left" w:pos="284"/>
        </w:tabs>
        <w:ind w:left="-284"/>
        <w:rPr>
          <w:rFonts w:cs="Times New Roman"/>
          <w:lang w:val="en-IN"/>
        </w:rPr>
      </w:pPr>
      <w:r w:rsidRPr="00583644">
        <w:rPr>
          <w:rFonts w:cs="Times New Roman"/>
          <w:lang w:val="en-IN"/>
        </w:rPr>
        <w:t xml:space="preserve">     Email: </w:t>
      </w:r>
      <w:hyperlink r:id="rId21" w:tgtFrame="_blank" w:history="1">
        <w:r w:rsidRPr="00583644">
          <w:rPr>
            <w:rStyle w:val="Hyperlink"/>
            <w:rFonts w:cs="Times New Roman"/>
            <w:lang w:val="en-IN"/>
          </w:rPr>
          <w:t>docsrikala@gmail.com</w:t>
        </w:r>
      </w:hyperlink>
    </w:p>
    <w:p w14:paraId="3F2AAC0B" w14:textId="151A654D" w:rsidR="008F3C0B" w:rsidRPr="00583644" w:rsidRDefault="008F3C0B" w:rsidP="00583644">
      <w:pPr>
        <w:rPr>
          <w:rFonts w:cs="Times New Roman"/>
        </w:rPr>
      </w:pPr>
    </w:p>
    <w:sectPr w:rsidR="008F3C0B" w:rsidRPr="00583644" w:rsidSect="00DE3775">
      <w:footerReference w:type="default" r:id="rId22"/>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9D9F" w14:textId="77777777" w:rsidR="004E31F5" w:rsidRDefault="004E31F5">
      <w:pPr>
        <w:spacing w:line="240" w:lineRule="auto"/>
      </w:pPr>
      <w:r>
        <w:separator/>
      </w:r>
    </w:p>
  </w:endnote>
  <w:endnote w:type="continuationSeparator" w:id="0">
    <w:p w14:paraId="4EFCC4A2" w14:textId="77777777" w:rsidR="004E31F5" w:rsidRDefault="004E3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383419"/>
      <w:docPartObj>
        <w:docPartGallery w:val="Page Numbers (Bottom of Page)"/>
        <w:docPartUnique/>
      </w:docPartObj>
    </w:sdtPr>
    <w:sdtEndPr>
      <w:rPr>
        <w:noProof/>
      </w:rPr>
    </w:sdtEndPr>
    <w:sdtContent>
      <w:p w14:paraId="1556E26D" w14:textId="77777777" w:rsidR="001423C1"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3924F2" w14:textId="77777777" w:rsidR="001423C1" w:rsidRDefault="00142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0681" w14:textId="77777777" w:rsidR="004E31F5" w:rsidRDefault="004E31F5">
      <w:pPr>
        <w:spacing w:line="240" w:lineRule="auto"/>
      </w:pPr>
      <w:r>
        <w:separator/>
      </w:r>
    </w:p>
  </w:footnote>
  <w:footnote w:type="continuationSeparator" w:id="0">
    <w:p w14:paraId="52A79561" w14:textId="77777777" w:rsidR="004E31F5" w:rsidRDefault="004E31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5324"/>
    <w:multiLevelType w:val="hybridMultilevel"/>
    <w:tmpl w:val="3A04031A"/>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7C66F2A"/>
    <w:multiLevelType w:val="hybridMultilevel"/>
    <w:tmpl w:val="B7ACE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468F4"/>
    <w:multiLevelType w:val="hybridMultilevel"/>
    <w:tmpl w:val="A14EB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D7C6B"/>
    <w:multiLevelType w:val="hybridMultilevel"/>
    <w:tmpl w:val="3C4A54D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DB7EA7"/>
    <w:multiLevelType w:val="hybridMultilevel"/>
    <w:tmpl w:val="4852F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3011C"/>
    <w:multiLevelType w:val="hybridMultilevel"/>
    <w:tmpl w:val="73AE3C4C"/>
    <w:lvl w:ilvl="0" w:tplc="2F1CBDD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724CBC"/>
    <w:multiLevelType w:val="hybridMultilevel"/>
    <w:tmpl w:val="324264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F77433"/>
    <w:multiLevelType w:val="multilevel"/>
    <w:tmpl w:val="90EE64E4"/>
    <w:styleLink w:val="Affiliations"/>
    <w:lvl w:ilvl="0">
      <w:start w:val="1"/>
      <w:numFmt w:val="decimal"/>
      <w:lvlText w:val="%1."/>
      <w:lvlJc w:val="center"/>
      <w:pPr>
        <w:ind w:left="360" w:hanging="72"/>
      </w:pPr>
      <w:rPr>
        <w:rFonts w:ascii="Times New Roman" w:hAnsi="Times New Roman" w:hint="default"/>
        <w:b w:val="0"/>
        <w:i w:val="0"/>
        <w:color w:val="000000"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0884472">
    <w:abstractNumId w:val="7"/>
  </w:num>
  <w:num w:numId="2" w16cid:durableId="125248068">
    <w:abstractNumId w:val="1"/>
  </w:num>
  <w:num w:numId="3" w16cid:durableId="104078258">
    <w:abstractNumId w:val="4"/>
  </w:num>
  <w:num w:numId="4" w16cid:durableId="135534864">
    <w:abstractNumId w:val="6"/>
  </w:num>
  <w:num w:numId="5" w16cid:durableId="1897012626">
    <w:abstractNumId w:val="2"/>
  </w:num>
  <w:num w:numId="6" w16cid:durableId="824320335">
    <w:abstractNumId w:val="5"/>
  </w:num>
  <w:num w:numId="7" w16cid:durableId="1819418626">
    <w:abstractNumId w:val="3"/>
  </w:num>
  <w:num w:numId="8" w16cid:durableId="157601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0A"/>
    <w:rsid w:val="000417E7"/>
    <w:rsid w:val="000828AF"/>
    <w:rsid w:val="001423C1"/>
    <w:rsid w:val="00142466"/>
    <w:rsid w:val="001A22D3"/>
    <w:rsid w:val="001F6F7A"/>
    <w:rsid w:val="00265A0A"/>
    <w:rsid w:val="00285A7E"/>
    <w:rsid w:val="002935D1"/>
    <w:rsid w:val="0032090B"/>
    <w:rsid w:val="00345147"/>
    <w:rsid w:val="00431B46"/>
    <w:rsid w:val="004B5BB9"/>
    <w:rsid w:val="004E31F5"/>
    <w:rsid w:val="0055406B"/>
    <w:rsid w:val="00583644"/>
    <w:rsid w:val="005F7EEC"/>
    <w:rsid w:val="00692175"/>
    <w:rsid w:val="00721B0F"/>
    <w:rsid w:val="00796FBC"/>
    <w:rsid w:val="007A3D1D"/>
    <w:rsid w:val="007D190A"/>
    <w:rsid w:val="0085037B"/>
    <w:rsid w:val="008D16FD"/>
    <w:rsid w:val="008E3AC6"/>
    <w:rsid w:val="008F3C0B"/>
    <w:rsid w:val="00951579"/>
    <w:rsid w:val="00982F15"/>
    <w:rsid w:val="009E4168"/>
    <w:rsid w:val="00AF4FC8"/>
    <w:rsid w:val="00B10F50"/>
    <w:rsid w:val="00B4211C"/>
    <w:rsid w:val="00B905BE"/>
    <w:rsid w:val="00B93E25"/>
    <w:rsid w:val="00BB7169"/>
    <w:rsid w:val="00BF01B8"/>
    <w:rsid w:val="00C40C23"/>
    <w:rsid w:val="00C4249D"/>
    <w:rsid w:val="00C610B7"/>
    <w:rsid w:val="00CB466C"/>
    <w:rsid w:val="00CB7CFC"/>
    <w:rsid w:val="00DB54F7"/>
    <w:rsid w:val="00DE3775"/>
    <w:rsid w:val="00E10CEA"/>
    <w:rsid w:val="00E357A2"/>
    <w:rsid w:val="00E50B2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CE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3AC6"/>
    <w:pPr>
      <w:spacing w:line="360" w:lineRule="auto"/>
      <w:ind w:firstLine="720"/>
    </w:pPr>
    <w:rPr>
      <w:rFonts w:ascii="Times New Roman" w:hAnsi="Times New Roman"/>
    </w:rPr>
  </w:style>
  <w:style w:type="paragraph" w:styleId="Heading1">
    <w:name w:val="heading 1"/>
    <w:basedOn w:val="Normal"/>
    <w:next w:val="Normal"/>
    <w:link w:val="Heading1Char"/>
    <w:uiPriority w:val="9"/>
    <w:qFormat/>
    <w:rsid w:val="00E10CEA"/>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8E3AC6"/>
    <w:pPr>
      <w:keepNext/>
      <w:keepLines/>
      <w:spacing w:before="40"/>
      <w:outlineLvl w:val="1"/>
    </w:pPr>
    <w:rPr>
      <w:rFonts w:eastAsiaTheme="majorEastAsia" w:cstheme="majorBidi"/>
      <w:i/>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5BB9"/>
    <w:pPr>
      <w:spacing w:after="160"/>
      <w:contextualSpacing/>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4B5BB9"/>
    <w:rPr>
      <w:rFonts w:ascii="Times New Roman" w:eastAsiaTheme="majorEastAsia" w:hAnsi="Times New Roman" w:cstheme="majorBidi"/>
      <w:b/>
      <w:caps/>
      <w:spacing w:val="-10"/>
      <w:kern w:val="28"/>
      <w:szCs w:val="56"/>
    </w:rPr>
  </w:style>
  <w:style w:type="paragraph" w:customStyle="1" w:styleId="Authors">
    <w:name w:val="Authors"/>
    <w:basedOn w:val="Normal"/>
    <w:next w:val="Normal"/>
    <w:qFormat/>
    <w:rsid w:val="004B5BB9"/>
    <w:pPr>
      <w:spacing w:after="160"/>
      <w:jc w:val="center"/>
    </w:pPr>
    <w:rPr>
      <w:b/>
      <w:i/>
    </w:rPr>
  </w:style>
  <w:style w:type="numbering" w:customStyle="1" w:styleId="Affiliations">
    <w:name w:val="Affiliations"/>
    <w:basedOn w:val="NoList"/>
    <w:uiPriority w:val="99"/>
    <w:rsid w:val="00C4249D"/>
    <w:pPr>
      <w:numPr>
        <w:numId w:val="1"/>
      </w:numPr>
    </w:pPr>
  </w:style>
  <w:style w:type="paragraph" w:styleId="ListParagraph">
    <w:name w:val="List Paragraph"/>
    <w:basedOn w:val="Normal"/>
    <w:uiPriority w:val="34"/>
    <w:qFormat/>
    <w:rsid w:val="00C4249D"/>
    <w:pPr>
      <w:ind w:left="720"/>
      <w:contextualSpacing/>
    </w:pPr>
  </w:style>
  <w:style w:type="character" w:customStyle="1" w:styleId="Heading1Char">
    <w:name w:val="Heading 1 Char"/>
    <w:basedOn w:val="DefaultParagraphFont"/>
    <w:link w:val="Heading1"/>
    <w:uiPriority w:val="9"/>
    <w:rsid w:val="00E10CEA"/>
    <w:rPr>
      <w:rFonts w:ascii="Times New Roman" w:eastAsiaTheme="majorEastAsia" w:hAnsi="Times New Roman" w:cstheme="majorBidi"/>
      <w:b/>
      <w:color w:val="000000" w:themeColor="text1"/>
      <w:szCs w:val="32"/>
    </w:rPr>
  </w:style>
  <w:style w:type="paragraph" w:customStyle="1" w:styleId="Abstracttext">
    <w:name w:val="Abstract text"/>
    <w:basedOn w:val="Normal"/>
    <w:qFormat/>
    <w:rsid w:val="00982F15"/>
    <w:rPr>
      <w:i/>
    </w:rPr>
  </w:style>
  <w:style w:type="character" w:customStyle="1" w:styleId="Heading2Char">
    <w:name w:val="Heading 2 Char"/>
    <w:basedOn w:val="DefaultParagraphFont"/>
    <w:link w:val="Heading2"/>
    <w:uiPriority w:val="9"/>
    <w:rsid w:val="008E3AC6"/>
    <w:rPr>
      <w:rFonts w:ascii="Times New Roman" w:eastAsiaTheme="majorEastAsia" w:hAnsi="Times New Roman" w:cstheme="majorBidi"/>
      <w:i/>
      <w:color w:val="000000" w:themeColor="text1"/>
      <w:szCs w:val="26"/>
    </w:rPr>
  </w:style>
  <w:style w:type="paragraph" w:styleId="Footer">
    <w:name w:val="footer"/>
    <w:basedOn w:val="Normal"/>
    <w:link w:val="FooterChar"/>
    <w:uiPriority w:val="99"/>
    <w:unhideWhenUsed/>
    <w:rsid w:val="00B4211C"/>
    <w:pPr>
      <w:tabs>
        <w:tab w:val="center" w:pos="4513"/>
        <w:tab w:val="right" w:pos="9026"/>
      </w:tabs>
      <w:spacing w:line="240" w:lineRule="auto"/>
      <w:ind w:firstLine="0"/>
    </w:pPr>
    <w:rPr>
      <w:rFonts w:asciiTheme="minorHAnsi" w:hAnsiTheme="minorHAnsi"/>
      <w:kern w:val="2"/>
      <w:sz w:val="22"/>
      <w:szCs w:val="28"/>
      <w:lang w:val="en-GB" w:bidi="as-IN"/>
      <w14:ligatures w14:val="standardContextual"/>
    </w:rPr>
  </w:style>
  <w:style w:type="character" w:customStyle="1" w:styleId="FooterChar">
    <w:name w:val="Footer Char"/>
    <w:basedOn w:val="DefaultParagraphFont"/>
    <w:link w:val="Footer"/>
    <w:uiPriority w:val="99"/>
    <w:rsid w:val="00B4211C"/>
    <w:rPr>
      <w:kern w:val="2"/>
      <w:sz w:val="22"/>
      <w:szCs w:val="28"/>
      <w:lang w:val="en-GB" w:bidi="as-IN"/>
      <w14:ligatures w14:val="standardContextual"/>
    </w:rPr>
  </w:style>
  <w:style w:type="character" w:styleId="Hyperlink">
    <w:name w:val="Hyperlink"/>
    <w:basedOn w:val="DefaultParagraphFont"/>
    <w:uiPriority w:val="99"/>
    <w:unhideWhenUsed/>
    <w:rsid w:val="00951579"/>
    <w:rPr>
      <w:color w:val="0563C1" w:themeColor="hyperlink"/>
      <w:u w:val="single"/>
    </w:rPr>
  </w:style>
  <w:style w:type="table" w:styleId="TableGridLight">
    <w:name w:val="Grid Table Light"/>
    <w:basedOn w:val="TableNormal"/>
    <w:uiPriority w:val="40"/>
    <w:rsid w:val="00AF4F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E4168"/>
    <w:pPr>
      <w:tabs>
        <w:tab w:val="center" w:pos="4513"/>
        <w:tab w:val="right" w:pos="9026"/>
      </w:tabs>
      <w:spacing w:line="240" w:lineRule="auto"/>
    </w:pPr>
  </w:style>
  <w:style w:type="character" w:customStyle="1" w:styleId="HeaderChar">
    <w:name w:val="Header Char"/>
    <w:basedOn w:val="DefaultParagraphFont"/>
    <w:link w:val="Header"/>
    <w:uiPriority w:val="99"/>
    <w:rsid w:val="009E416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520">
      <w:bodyDiv w:val="1"/>
      <w:marLeft w:val="0"/>
      <w:marRight w:val="0"/>
      <w:marTop w:val="0"/>
      <w:marBottom w:val="0"/>
      <w:divBdr>
        <w:top w:val="none" w:sz="0" w:space="0" w:color="auto"/>
        <w:left w:val="none" w:sz="0" w:space="0" w:color="auto"/>
        <w:bottom w:val="none" w:sz="0" w:space="0" w:color="auto"/>
        <w:right w:val="none" w:sz="0" w:space="0" w:color="auto"/>
      </w:divBdr>
    </w:div>
    <w:div w:id="285700309">
      <w:bodyDiv w:val="1"/>
      <w:marLeft w:val="0"/>
      <w:marRight w:val="0"/>
      <w:marTop w:val="0"/>
      <w:marBottom w:val="0"/>
      <w:divBdr>
        <w:top w:val="none" w:sz="0" w:space="0" w:color="auto"/>
        <w:left w:val="none" w:sz="0" w:space="0" w:color="auto"/>
        <w:bottom w:val="none" w:sz="0" w:space="0" w:color="auto"/>
        <w:right w:val="none" w:sz="0" w:space="0" w:color="auto"/>
      </w:divBdr>
    </w:div>
    <w:div w:id="481890208">
      <w:bodyDiv w:val="1"/>
      <w:marLeft w:val="0"/>
      <w:marRight w:val="0"/>
      <w:marTop w:val="0"/>
      <w:marBottom w:val="0"/>
      <w:divBdr>
        <w:top w:val="none" w:sz="0" w:space="0" w:color="auto"/>
        <w:left w:val="none" w:sz="0" w:space="0" w:color="auto"/>
        <w:bottom w:val="none" w:sz="0" w:space="0" w:color="auto"/>
        <w:right w:val="none" w:sz="0" w:space="0" w:color="auto"/>
      </w:divBdr>
    </w:div>
    <w:div w:id="486482944">
      <w:bodyDiv w:val="1"/>
      <w:marLeft w:val="0"/>
      <w:marRight w:val="0"/>
      <w:marTop w:val="0"/>
      <w:marBottom w:val="0"/>
      <w:divBdr>
        <w:top w:val="none" w:sz="0" w:space="0" w:color="auto"/>
        <w:left w:val="none" w:sz="0" w:space="0" w:color="auto"/>
        <w:bottom w:val="none" w:sz="0" w:space="0" w:color="auto"/>
        <w:right w:val="none" w:sz="0" w:space="0" w:color="auto"/>
      </w:divBdr>
    </w:div>
    <w:div w:id="839349763">
      <w:bodyDiv w:val="1"/>
      <w:marLeft w:val="0"/>
      <w:marRight w:val="0"/>
      <w:marTop w:val="0"/>
      <w:marBottom w:val="0"/>
      <w:divBdr>
        <w:top w:val="none" w:sz="0" w:space="0" w:color="auto"/>
        <w:left w:val="none" w:sz="0" w:space="0" w:color="auto"/>
        <w:bottom w:val="none" w:sz="0" w:space="0" w:color="auto"/>
        <w:right w:val="none" w:sz="0" w:space="0" w:color="auto"/>
      </w:divBdr>
    </w:div>
    <w:div w:id="1970549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203/rs.3.rs-4596789/v1" TargetMode="External"/><Relationship Id="rId13" Type="http://schemas.openxmlformats.org/officeDocument/2006/relationships/hyperlink" Target="https://doi.org/10.21037/atm.2018.10.57" TargetMode="External"/><Relationship Id="rId18" Type="http://schemas.openxmlformats.org/officeDocument/2006/relationships/hyperlink" Target="https://doi.org/10.1007/s10545-018-0182-3" TargetMode="External"/><Relationship Id="rId3" Type="http://schemas.openxmlformats.org/officeDocument/2006/relationships/settings" Target="settings.xml"/><Relationship Id="rId21" Type="http://schemas.openxmlformats.org/officeDocument/2006/relationships/hyperlink" Target="mailto:docsrikala@gmail.com" TargetMode="External"/><Relationship Id="rId7" Type="http://schemas.openxmlformats.org/officeDocument/2006/relationships/image" Target="media/image1.png"/><Relationship Id="rId12" Type="http://schemas.openxmlformats.org/officeDocument/2006/relationships/hyperlink" Target="https://doi.org/10.1017/s104795110999134x" TargetMode="External"/><Relationship Id="rId17" Type="http://schemas.openxmlformats.org/officeDocument/2006/relationships/hyperlink" Target="https://doi.org/10.1002/jcla.23159" TargetMode="External"/><Relationship Id="rId2" Type="http://schemas.openxmlformats.org/officeDocument/2006/relationships/styles" Target="styles.xml"/><Relationship Id="rId16" Type="http://schemas.openxmlformats.org/officeDocument/2006/relationships/hyperlink" Target="https://doi.org/10.2174/1566524024605798" TargetMode="External"/><Relationship Id="rId20" Type="http://schemas.openxmlformats.org/officeDocument/2006/relationships/hyperlink" Target="https://doi.org/10.1007/s12016-018-871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ccr3.360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29/jbcps.v33i1.28004" TargetMode="External"/><Relationship Id="rId23" Type="http://schemas.openxmlformats.org/officeDocument/2006/relationships/fontTable" Target="fontTable.xml"/><Relationship Id="rId10" Type="http://schemas.openxmlformats.org/officeDocument/2006/relationships/hyperlink" Target="https://doi.org/10.12923/2353-8627/2024-0010" TargetMode="External"/><Relationship Id="rId19" Type="http://schemas.openxmlformats.org/officeDocument/2006/relationships/hyperlink" Target="https://doi.org/10.3390/medicina56030111" TargetMode="External"/><Relationship Id="rId4" Type="http://schemas.openxmlformats.org/officeDocument/2006/relationships/webSettings" Target="webSettings.xml"/><Relationship Id="rId9" Type="http://schemas.openxmlformats.org/officeDocument/2006/relationships/hyperlink" Target="https://doi.org/10.53350/pjmhs2023172562" TargetMode="External"/><Relationship Id="rId14" Type="http://schemas.openxmlformats.org/officeDocument/2006/relationships/hyperlink" Target="https://doi.org/10.1177/002203451560604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4659</Words>
  <Characters>26560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Timar</dc:creator>
  <cp:keywords/>
  <dc:description/>
  <cp:lastModifiedBy>Pratyasha Sharma</cp:lastModifiedBy>
  <cp:revision>10</cp:revision>
  <dcterms:created xsi:type="dcterms:W3CDTF">2025-03-28T05:41:00Z</dcterms:created>
  <dcterms:modified xsi:type="dcterms:W3CDTF">2025-03-28T06:23:00Z</dcterms:modified>
</cp:coreProperties>
</file>